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650" w:type="pct"/>
        <w:jc w:val="center"/>
        <w:tblCellSpacing w:w="0" w:type="dxa"/>
        <w:tblCellMar>
          <w:left w:w="0" w:type="dxa"/>
          <w:right w:w="0" w:type="dxa"/>
        </w:tblCellMar>
        <w:tblLook w:val="04A0" w:firstRow="1" w:lastRow="0" w:firstColumn="1" w:lastColumn="0" w:noHBand="0" w:noVBand="1"/>
      </w:tblPr>
      <w:tblGrid>
        <w:gridCol w:w="7725"/>
      </w:tblGrid>
      <w:tr w:rsidR="009D1A07" w:rsidRPr="009D1A07" w:rsidTr="009D1A07">
        <w:trPr>
          <w:tblCellSpacing w:w="0" w:type="dxa"/>
          <w:jc w:val="center"/>
        </w:trPr>
        <w:tc>
          <w:tcPr>
            <w:tcW w:w="0" w:type="auto"/>
            <w:vAlign w:val="center"/>
            <w:hideMark/>
          </w:tcPr>
          <w:p w:rsidR="009D1A07" w:rsidRPr="009D1A07" w:rsidRDefault="009D1A07" w:rsidP="009D1A07">
            <w:pPr>
              <w:widowControl/>
              <w:spacing w:line="300" w:lineRule="atLeast"/>
              <w:jc w:val="center"/>
              <w:rPr>
                <w:rFonts w:ascii="ˎ̥" w:eastAsia="宋体" w:hAnsi="ˎ̥" w:cs="宋体"/>
                <w:b/>
                <w:bCs/>
                <w:color w:val="454545"/>
                <w:kern w:val="0"/>
                <w:sz w:val="24"/>
                <w:szCs w:val="24"/>
              </w:rPr>
            </w:pPr>
            <w:r w:rsidRPr="009D1A07">
              <w:rPr>
                <w:rFonts w:ascii="ˎ̥" w:eastAsia="宋体" w:hAnsi="ˎ̥" w:cs="宋体"/>
                <w:b/>
                <w:bCs/>
                <w:color w:val="454545"/>
                <w:kern w:val="0"/>
                <w:sz w:val="27"/>
                <w:szCs w:val="27"/>
              </w:rPr>
              <w:t>财政部</w:t>
            </w:r>
            <w:r w:rsidRPr="009D1A07">
              <w:rPr>
                <w:rFonts w:ascii="ˎ̥" w:eastAsia="宋体" w:hAnsi="ˎ̥" w:cs="宋体"/>
                <w:b/>
                <w:bCs/>
                <w:color w:val="454545"/>
                <w:kern w:val="0"/>
                <w:sz w:val="27"/>
                <w:szCs w:val="27"/>
              </w:rPr>
              <w:t xml:space="preserve"> </w:t>
            </w:r>
            <w:r w:rsidRPr="009D1A07">
              <w:rPr>
                <w:rFonts w:ascii="ˎ̥" w:eastAsia="宋体" w:hAnsi="ˎ̥" w:cs="宋体"/>
                <w:b/>
                <w:bCs/>
                <w:color w:val="454545"/>
                <w:kern w:val="0"/>
                <w:sz w:val="27"/>
                <w:szCs w:val="27"/>
              </w:rPr>
              <w:t>税务总局</w:t>
            </w:r>
            <w:r w:rsidRPr="009D1A07">
              <w:rPr>
                <w:rFonts w:ascii="ˎ̥" w:eastAsia="宋体" w:hAnsi="ˎ̥" w:cs="宋体"/>
                <w:b/>
                <w:bCs/>
                <w:color w:val="454545"/>
                <w:kern w:val="0"/>
                <w:sz w:val="27"/>
                <w:szCs w:val="27"/>
              </w:rPr>
              <w:t xml:space="preserve"> </w:t>
            </w:r>
            <w:r w:rsidRPr="009D1A07">
              <w:rPr>
                <w:rFonts w:ascii="ˎ̥" w:eastAsia="宋体" w:hAnsi="ˎ̥" w:cs="宋体"/>
                <w:b/>
                <w:bCs/>
                <w:color w:val="454545"/>
                <w:kern w:val="0"/>
                <w:sz w:val="27"/>
                <w:szCs w:val="27"/>
              </w:rPr>
              <w:t>证监会关于个人转让全国中小企业股份转让系统挂牌公司股票有关个人所得税政策的通知</w:t>
            </w:r>
            <w:r w:rsidRPr="009D1A07">
              <w:rPr>
                <w:rFonts w:ascii="ˎ̥" w:eastAsia="宋体" w:hAnsi="ˎ̥" w:cs="宋体"/>
                <w:b/>
                <w:bCs/>
                <w:color w:val="454545"/>
                <w:kern w:val="0"/>
                <w:sz w:val="27"/>
                <w:szCs w:val="27"/>
              </w:rPr>
              <w:t xml:space="preserve"> </w:t>
            </w:r>
            <w:r w:rsidRPr="009D1A07">
              <w:rPr>
                <w:rFonts w:ascii="ˎ̥" w:eastAsia="宋体" w:hAnsi="ˎ̥" w:cs="宋体"/>
                <w:b/>
                <w:bCs/>
                <w:color w:val="454545"/>
                <w:kern w:val="0"/>
                <w:sz w:val="24"/>
                <w:szCs w:val="24"/>
              </w:rPr>
              <w:t xml:space="preserve">  </w:t>
            </w:r>
          </w:p>
        </w:tc>
      </w:tr>
      <w:tr w:rsidR="009D1A07" w:rsidRPr="009D1A07" w:rsidTr="009D1A07">
        <w:trPr>
          <w:trHeight w:val="160"/>
          <w:tblCellSpacing w:w="0" w:type="dxa"/>
          <w:jc w:val="center"/>
        </w:trPr>
        <w:tc>
          <w:tcPr>
            <w:tcW w:w="0" w:type="auto"/>
            <w:vAlign w:val="center"/>
            <w:hideMark/>
          </w:tcPr>
          <w:p w:rsidR="009D1A07" w:rsidRPr="009D1A07" w:rsidRDefault="009D1A07" w:rsidP="009D1A07">
            <w:pPr>
              <w:widowControl/>
              <w:spacing w:line="300" w:lineRule="atLeast"/>
              <w:jc w:val="left"/>
              <w:rPr>
                <w:rFonts w:ascii="ˎ̥" w:eastAsia="宋体" w:hAnsi="ˎ̥" w:cs="宋体"/>
                <w:b/>
                <w:bCs/>
                <w:color w:val="454545"/>
                <w:kern w:val="0"/>
                <w:sz w:val="24"/>
                <w:szCs w:val="24"/>
              </w:rPr>
            </w:pPr>
            <w:r w:rsidRPr="009D1A07">
              <w:rPr>
                <w:rFonts w:ascii="ˎ̥" w:eastAsia="宋体" w:hAnsi="ˎ̥" w:cs="宋体"/>
                <w:b/>
                <w:bCs/>
                <w:color w:val="454545"/>
                <w:kern w:val="0"/>
                <w:sz w:val="24"/>
                <w:szCs w:val="24"/>
              </w:rPr>
              <w:pict>
                <v:rect id="_x0000_i1025" style="width:0;height:.5pt" o:hralign="center" o:hrstd="t" o:hr="t" fillcolor="#a0a0a0" stroked="f"/>
              </w:pict>
            </w:r>
          </w:p>
        </w:tc>
      </w:tr>
      <w:tr w:rsidR="009D1A07" w:rsidRPr="009D1A07" w:rsidTr="009D1A07">
        <w:trPr>
          <w:trHeight w:val="250"/>
          <w:tblCellSpacing w:w="0" w:type="dxa"/>
          <w:jc w:val="center"/>
        </w:trPr>
        <w:tc>
          <w:tcPr>
            <w:tcW w:w="0" w:type="auto"/>
            <w:vAlign w:val="center"/>
            <w:hideMark/>
          </w:tcPr>
          <w:p w:rsidR="009D1A07" w:rsidRPr="009D1A07" w:rsidRDefault="009D1A07" w:rsidP="009D1A07">
            <w:pPr>
              <w:widowControl/>
              <w:spacing w:line="540" w:lineRule="atLeast"/>
              <w:jc w:val="center"/>
              <w:rPr>
                <w:rFonts w:ascii="ˎ̥" w:eastAsia="宋体" w:hAnsi="ˎ̥" w:cs="宋体"/>
                <w:b/>
                <w:bCs/>
                <w:color w:val="DF0000"/>
                <w:kern w:val="0"/>
                <w:sz w:val="18"/>
                <w:szCs w:val="18"/>
              </w:rPr>
            </w:pPr>
            <w:r w:rsidRPr="009D1A07">
              <w:rPr>
                <w:rFonts w:ascii="ˎ̥" w:eastAsia="宋体" w:hAnsi="ˎ̥" w:cs="宋体"/>
                <w:b/>
                <w:bCs/>
                <w:color w:val="DF0000"/>
                <w:kern w:val="0"/>
                <w:sz w:val="18"/>
                <w:szCs w:val="18"/>
              </w:rPr>
              <w:t>财税〔</w:t>
            </w:r>
            <w:r w:rsidRPr="009D1A07">
              <w:rPr>
                <w:rFonts w:ascii="ˎ̥" w:eastAsia="宋体" w:hAnsi="ˎ̥" w:cs="宋体"/>
                <w:b/>
                <w:bCs/>
                <w:color w:val="DF0000"/>
                <w:kern w:val="0"/>
                <w:sz w:val="18"/>
                <w:szCs w:val="18"/>
              </w:rPr>
              <w:t>2018</w:t>
            </w:r>
            <w:r w:rsidRPr="009D1A07">
              <w:rPr>
                <w:rFonts w:ascii="ˎ̥" w:eastAsia="宋体" w:hAnsi="ˎ̥" w:cs="宋体"/>
                <w:b/>
                <w:bCs/>
                <w:color w:val="DF0000"/>
                <w:kern w:val="0"/>
                <w:sz w:val="18"/>
                <w:szCs w:val="18"/>
              </w:rPr>
              <w:t>〕</w:t>
            </w:r>
            <w:r w:rsidRPr="009D1A07">
              <w:rPr>
                <w:rFonts w:ascii="ˎ̥" w:eastAsia="宋体" w:hAnsi="ˎ̥" w:cs="宋体"/>
                <w:b/>
                <w:bCs/>
                <w:color w:val="DF0000"/>
                <w:kern w:val="0"/>
                <w:sz w:val="18"/>
                <w:szCs w:val="18"/>
              </w:rPr>
              <w:t>137</w:t>
            </w:r>
            <w:r w:rsidRPr="009D1A07">
              <w:rPr>
                <w:rFonts w:ascii="ˎ̥" w:eastAsia="宋体" w:hAnsi="ˎ̥" w:cs="宋体"/>
                <w:b/>
                <w:bCs/>
                <w:color w:val="DF0000"/>
                <w:kern w:val="0"/>
                <w:sz w:val="18"/>
                <w:szCs w:val="18"/>
              </w:rPr>
              <w:t>号</w:t>
            </w:r>
            <w:r w:rsidRPr="009D1A07">
              <w:rPr>
                <w:rFonts w:ascii="ˎ̥" w:eastAsia="宋体" w:hAnsi="ˎ̥" w:cs="宋体"/>
                <w:b/>
                <w:bCs/>
                <w:color w:val="DF0000"/>
                <w:kern w:val="0"/>
                <w:sz w:val="18"/>
                <w:szCs w:val="18"/>
              </w:rPr>
              <w:t> </w:t>
            </w:r>
          </w:p>
        </w:tc>
      </w:tr>
      <w:tr w:rsidR="009D1A07" w:rsidRPr="009D1A07" w:rsidTr="009D1A07">
        <w:trPr>
          <w:tblCellSpacing w:w="0" w:type="dxa"/>
          <w:jc w:val="center"/>
        </w:trPr>
        <w:tc>
          <w:tcPr>
            <w:tcW w:w="0" w:type="auto"/>
            <w:vAlign w:val="center"/>
            <w:hideMark/>
          </w:tcPr>
          <w:p w:rsidR="009D1A07" w:rsidRPr="009D1A07" w:rsidRDefault="009D1A07" w:rsidP="009D1A07">
            <w:pPr>
              <w:widowControl/>
              <w:spacing w:line="540" w:lineRule="atLeast"/>
              <w:jc w:val="right"/>
              <w:rPr>
                <w:rFonts w:ascii="ˎ̥" w:eastAsia="宋体" w:hAnsi="ˎ̥" w:cs="宋体"/>
                <w:color w:val="005DDC"/>
                <w:kern w:val="0"/>
                <w:sz w:val="18"/>
                <w:szCs w:val="18"/>
              </w:rPr>
            </w:pPr>
            <w:r w:rsidRPr="009D1A07">
              <w:rPr>
                <w:rFonts w:ascii="ˎ̥" w:eastAsia="宋体" w:hAnsi="ˎ̥" w:cs="宋体"/>
                <w:color w:val="FF0000"/>
                <w:kern w:val="0"/>
                <w:sz w:val="18"/>
                <w:szCs w:val="18"/>
              </w:rPr>
              <w:t>全文有效</w:t>
            </w:r>
            <w:r w:rsidRPr="009D1A07">
              <w:rPr>
                <w:rFonts w:ascii="ˎ̥" w:eastAsia="宋体" w:hAnsi="ˎ̥" w:cs="宋体"/>
                <w:color w:val="005DDC"/>
                <w:kern w:val="0"/>
                <w:sz w:val="18"/>
                <w:szCs w:val="18"/>
              </w:rPr>
              <w:t>   </w:t>
            </w:r>
            <w:r w:rsidRPr="009D1A07">
              <w:rPr>
                <w:rFonts w:ascii="ˎ̥" w:eastAsia="宋体" w:hAnsi="ˎ̥" w:cs="宋体"/>
                <w:color w:val="005DDC"/>
                <w:kern w:val="0"/>
                <w:sz w:val="18"/>
                <w:szCs w:val="18"/>
              </w:rPr>
              <w:t>成文日期：</w:t>
            </w:r>
            <w:r w:rsidRPr="009D1A07">
              <w:rPr>
                <w:rFonts w:ascii="ˎ̥" w:eastAsia="宋体" w:hAnsi="ˎ̥" w:cs="宋体"/>
                <w:color w:val="005DDC"/>
                <w:kern w:val="0"/>
                <w:sz w:val="18"/>
                <w:szCs w:val="18"/>
              </w:rPr>
              <w:t>2018-11-30</w:t>
            </w:r>
          </w:p>
        </w:tc>
      </w:tr>
    </w:tbl>
    <w:p w:rsidR="009D1A07" w:rsidRPr="009D1A07" w:rsidRDefault="009D1A07" w:rsidP="009D1A07">
      <w:pPr>
        <w:widowControl/>
        <w:jc w:val="center"/>
        <w:rPr>
          <w:rFonts w:ascii="宋体" w:eastAsia="宋体" w:hAnsi="宋体" w:cs="宋体"/>
          <w:vanish/>
          <w:kern w:val="0"/>
          <w:sz w:val="24"/>
          <w:szCs w:val="24"/>
        </w:rPr>
      </w:pPr>
    </w:p>
    <w:p w:rsidR="009D1A07" w:rsidRPr="009D1A07" w:rsidRDefault="009D1A07" w:rsidP="009D1A07">
      <w:pPr>
        <w:widowControl/>
        <w:jc w:val="center"/>
        <w:rPr>
          <w:rFonts w:ascii="宋体" w:eastAsia="宋体" w:hAnsi="宋体" w:cs="宋体"/>
          <w:vanish/>
          <w:kern w:val="0"/>
          <w:sz w:val="24"/>
          <w:szCs w:val="24"/>
        </w:rPr>
      </w:pPr>
    </w:p>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9D1A07" w:rsidRPr="009D1A07" w:rsidTr="009D1A07">
        <w:trPr>
          <w:tblCellSpacing w:w="0" w:type="dxa"/>
          <w:jc w:val="center"/>
        </w:trPr>
        <w:tc>
          <w:tcPr>
            <w:tcW w:w="0" w:type="auto"/>
            <w:vAlign w:val="center"/>
            <w:hideMark/>
          </w:tcPr>
          <w:p w:rsidR="009D1A07" w:rsidRPr="009D1A07" w:rsidRDefault="009D1A07" w:rsidP="009D1A07">
            <w:pPr>
              <w:widowControl/>
              <w:spacing w:line="360" w:lineRule="auto"/>
              <w:jc w:val="left"/>
              <w:rPr>
                <w:rFonts w:ascii="宋体" w:eastAsia="宋体" w:hAnsi="宋体" w:cs="宋体"/>
                <w:color w:val="000000"/>
                <w:kern w:val="0"/>
                <w:sz w:val="24"/>
                <w:szCs w:val="24"/>
              </w:rPr>
            </w:pPr>
            <w:r w:rsidRPr="009D1A07">
              <w:rPr>
                <w:rFonts w:ascii="宋体" w:eastAsia="宋体" w:hAnsi="宋体" w:cs="宋体" w:hint="eastAsia"/>
                <w:color w:val="000000"/>
                <w:kern w:val="0"/>
                <w:sz w:val="24"/>
                <w:szCs w:val="24"/>
              </w:rPr>
              <w:t>各省、自治区、直辖市、计划单列市财政厅（局），国家税务总局各省、自治区、直辖市、计划单列市税务局，新疆生产建设兵团财政局，全国中小企业股份转让系统有限责任公司，中国证券登记结算有限责任公司：</w:t>
            </w:r>
          </w:p>
          <w:p w:rsidR="009D1A07" w:rsidRPr="009D1A07" w:rsidRDefault="009D1A07" w:rsidP="009D1A07">
            <w:pPr>
              <w:widowControl/>
              <w:spacing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 xml:space="preserve">　　为促进全国中小企业股份转让系统（以下简称新三板）长期稳定发展，现就个人转让新三板挂牌公司股票有关个人所得税政策通知如下：</w:t>
            </w:r>
          </w:p>
          <w:p w:rsidR="009D1A07" w:rsidRPr="009D1A07" w:rsidRDefault="009D1A07" w:rsidP="00600AAD">
            <w:pPr>
              <w:widowControl/>
              <w:spacing w:beforeLines="50" w:before="156"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 xml:space="preserve">　　一、自2018年11月1日（含）起，对个人转让新三板挂牌公司非原始</w:t>
            </w:r>
            <w:proofErr w:type="gramStart"/>
            <w:r w:rsidRPr="009D1A07">
              <w:rPr>
                <w:rFonts w:ascii="宋体" w:eastAsia="宋体" w:hAnsi="宋体" w:cs="宋体" w:hint="eastAsia"/>
                <w:color w:val="000000"/>
                <w:kern w:val="0"/>
                <w:sz w:val="24"/>
                <w:szCs w:val="24"/>
              </w:rPr>
              <w:t>股取得</w:t>
            </w:r>
            <w:proofErr w:type="gramEnd"/>
            <w:r w:rsidRPr="009D1A07">
              <w:rPr>
                <w:rFonts w:ascii="宋体" w:eastAsia="宋体" w:hAnsi="宋体" w:cs="宋体" w:hint="eastAsia"/>
                <w:color w:val="000000"/>
                <w:kern w:val="0"/>
                <w:sz w:val="24"/>
                <w:szCs w:val="24"/>
              </w:rPr>
              <w:t>的所得，暂免征收个人所得税。</w:t>
            </w:r>
          </w:p>
          <w:p w:rsidR="009D1A07" w:rsidRPr="009D1A07" w:rsidRDefault="009D1A07" w:rsidP="009D1A07">
            <w:pPr>
              <w:widowControl/>
              <w:spacing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 xml:space="preserve">　　本通知所称非原始股是指个人在新三板挂牌公司挂牌后取得的股票，以及由上述股票孳生的送、转股。</w:t>
            </w:r>
            <w:bookmarkStart w:id="0" w:name="_GoBack"/>
            <w:bookmarkEnd w:id="0"/>
          </w:p>
          <w:p w:rsidR="009D1A07" w:rsidRPr="009D1A07" w:rsidRDefault="009D1A07" w:rsidP="001679E2">
            <w:pPr>
              <w:widowControl/>
              <w:spacing w:beforeLines="50" w:before="156"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 xml:space="preserve">　　二、对个人转让新三板挂牌公司原始</w:t>
            </w:r>
            <w:proofErr w:type="gramStart"/>
            <w:r w:rsidRPr="009D1A07">
              <w:rPr>
                <w:rFonts w:ascii="宋体" w:eastAsia="宋体" w:hAnsi="宋体" w:cs="宋体" w:hint="eastAsia"/>
                <w:color w:val="000000"/>
                <w:kern w:val="0"/>
                <w:sz w:val="24"/>
                <w:szCs w:val="24"/>
              </w:rPr>
              <w:t>股取得</w:t>
            </w:r>
            <w:proofErr w:type="gramEnd"/>
            <w:r w:rsidRPr="009D1A07">
              <w:rPr>
                <w:rFonts w:ascii="宋体" w:eastAsia="宋体" w:hAnsi="宋体" w:cs="宋体" w:hint="eastAsia"/>
                <w:color w:val="000000"/>
                <w:kern w:val="0"/>
                <w:sz w:val="24"/>
                <w:szCs w:val="24"/>
              </w:rPr>
              <w:t>的所得，按照“财产转让所得”，适用20%的比例税率征收个人所得税。</w:t>
            </w:r>
          </w:p>
          <w:p w:rsidR="009D1A07" w:rsidRPr="009D1A07" w:rsidRDefault="009D1A07" w:rsidP="009D1A07">
            <w:pPr>
              <w:widowControl/>
              <w:spacing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 xml:space="preserve">　　本通知所称原始股是指个人在新三板挂牌公司挂牌前取得的股票，以及在该公司挂牌前和挂牌后由上述股票孳生的送、转股。</w:t>
            </w:r>
          </w:p>
          <w:p w:rsidR="009D1A07" w:rsidRPr="009D1A07" w:rsidRDefault="009D1A07" w:rsidP="001679E2">
            <w:pPr>
              <w:widowControl/>
              <w:spacing w:beforeLines="50" w:before="156"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 xml:space="preserve">　　三、2019年9月1日之前，个人转让新三板挂牌公司原始股的个人所得税，征收管理办法按照现行股权转让所得有关规定执行，以股票受让方为扣缴义务人，由被投资企业所在地税务机关负责征收管理。</w:t>
            </w:r>
          </w:p>
          <w:p w:rsidR="009D1A07" w:rsidRPr="009D1A07" w:rsidRDefault="009D1A07" w:rsidP="009D1A07">
            <w:pPr>
              <w:widowControl/>
              <w:spacing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 xml:space="preserve">　　自2019年9月1日（含）起，个人转让新三板挂牌公司原始股的个人所得税，以股票托管的证券机构为扣缴义务人，由股票托管的证券机构所在地主管税务机关负责征收管理。具体征收管理办法参照《财政部 国家税务总局 证监会关于个人转让上市公司限售股所得征收个人所得税有关问题的通知》（财税〔2009〕167号）和《财政部 国家税务总局 证监会关于个人转让上市公司限售股所得征收个人所得税有关问题的补充通知》（财税〔2010〕70号）有关规定执行。</w:t>
            </w:r>
          </w:p>
          <w:p w:rsidR="009D1A07" w:rsidRPr="009D1A07" w:rsidRDefault="009D1A07" w:rsidP="001679E2">
            <w:pPr>
              <w:widowControl/>
              <w:spacing w:beforeLines="50" w:before="156"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lastRenderedPageBreak/>
              <w:t xml:space="preserve">　　四、2018年11月1日之前，个人转让新三板挂牌公司非原始股，尚未进行税收处理的，可比照本通知第一条规定执行，已经进行相关税收处理的，不再进行税收调整。</w:t>
            </w:r>
          </w:p>
          <w:p w:rsidR="009D1A07" w:rsidRPr="009D1A07" w:rsidRDefault="009D1A07" w:rsidP="001679E2">
            <w:pPr>
              <w:widowControl/>
              <w:spacing w:beforeLines="50" w:before="156" w:line="360" w:lineRule="auto"/>
              <w:jc w:val="lef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 xml:space="preserve">　　五、中国证券登记结算公司应当在登记结算系统内明确区分新三板原始股和非原始股。中国证券登记结算公司、证券公司及其分支机构应当积极配合财政、税务部门做好相关工作。</w:t>
            </w:r>
          </w:p>
          <w:p w:rsidR="009D1A07" w:rsidRPr="009D1A07" w:rsidRDefault="009D1A07" w:rsidP="009D1A07">
            <w:pPr>
              <w:widowControl/>
              <w:spacing w:line="360" w:lineRule="auto"/>
              <w:jc w:val="righ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财政部 税务总局 证监会</w:t>
            </w:r>
          </w:p>
          <w:p w:rsidR="009D1A07" w:rsidRPr="009D1A07" w:rsidRDefault="009D1A07" w:rsidP="009D1A07">
            <w:pPr>
              <w:widowControl/>
              <w:spacing w:line="360" w:lineRule="auto"/>
              <w:jc w:val="right"/>
              <w:rPr>
                <w:rFonts w:ascii="宋体" w:eastAsia="宋体" w:hAnsi="宋体" w:cs="宋体" w:hint="eastAsia"/>
                <w:color w:val="000000"/>
                <w:kern w:val="0"/>
                <w:sz w:val="24"/>
                <w:szCs w:val="24"/>
              </w:rPr>
            </w:pPr>
            <w:r w:rsidRPr="009D1A07">
              <w:rPr>
                <w:rFonts w:ascii="宋体" w:eastAsia="宋体" w:hAnsi="宋体" w:cs="宋体" w:hint="eastAsia"/>
                <w:color w:val="000000"/>
                <w:kern w:val="0"/>
                <w:sz w:val="24"/>
                <w:szCs w:val="24"/>
              </w:rPr>
              <w:t>2018年11月30日</w:t>
            </w:r>
          </w:p>
        </w:tc>
      </w:tr>
    </w:tbl>
    <w:p w:rsidR="000C7289" w:rsidRPr="009D1A07" w:rsidRDefault="000C7289" w:rsidP="009D1A07"/>
    <w:sectPr w:rsidR="000C7289" w:rsidRPr="009D1A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EFC" w:rsidRDefault="00CD3EFC" w:rsidP="009D1A07">
      <w:r>
        <w:separator/>
      </w:r>
    </w:p>
  </w:endnote>
  <w:endnote w:type="continuationSeparator" w:id="0">
    <w:p w:rsidR="00CD3EFC" w:rsidRDefault="00CD3EFC" w:rsidP="009D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EFC" w:rsidRDefault="00CD3EFC" w:rsidP="009D1A07">
      <w:r>
        <w:separator/>
      </w:r>
    </w:p>
  </w:footnote>
  <w:footnote w:type="continuationSeparator" w:id="0">
    <w:p w:rsidR="00CD3EFC" w:rsidRDefault="00CD3EFC" w:rsidP="009D1A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DB"/>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679E2"/>
    <w:rsid w:val="001853F9"/>
    <w:rsid w:val="001C34F0"/>
    <w:rsid w:val="001F7931"/>
    <w:rsid w:val="0025123E"/>
    <w:rsid w:val="00251CDF"/>
    <w:rsid w:val="002723A5"/>
    <w:rsid w:val="00285D2A"/>
    <w:rsid w:val="002B059A"/>
    <w:rsid w:val="002C2EC8"/>
    <w:rsid w:val="002C60DB"/>
    <w:rsid w:val="002D4C84"/>
    <w:rsid w:val="002D5E6B"/>
    <w:rsid w:val="002E19AC"/>
    <w:rsid w:val="002E5CD7"/>
    <w:rsid w:val="002E6F18"/>
    <w:rsid w:val="0030337F"/>
    <w:rsid w:val="00324068"/>
    <w:rsid w:val="00332F79"/>
    <w:rsid w:val="003832A8"/>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00AAD"/>
    <w:rsid w:val="0062786A"/>
    <w:rsid w:val="00650838"/>
    <w:rsid w:val="00675E03"/>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1A07"/>
    <w:rsid w:val="009D62FC"/>
    <w:rsid w:val="009D7264"/>
    <w:rsid w:val="009F7DD9"/>
    <w:rsid w:val="00A01876"/>
    <w:rsid w:val="00A445E6"/>
    <w:rsid w:val="00A83CF8"/>
    <w:rsid w:val="00AB22C1"/>
    <w:rsid w:val="00AC1D5F"/>
    <w:rsid w:val="00AD01D5"/>
    <w:rsid w:val="00AD6D1B"/>
    <w:rsid w:val="00B61777"/>
    <w:rsid w:val="00B738F8"/>
    <w:rsid w:val="00B840E1"/>
    <w:rsid w:val="00BA2FAA"/>
    <w:rsid w:val="00BA68AD"/>
    <w:rsid w:val="00BB4F2F"/>
    <w:rsid w:val="00BB5C75"/>
    <w:rsid w:val="00BB6A2C"/>
    <w:rsid w:val="00C376BF"/>
    <w:rsid w:val="00C7616A"/>
    <w:rsid w:val="00C82145"/>
    <w:rsid w:val="00C8589F"/>
    <w:rsid w:val="00CB7057"/>
    <w:rsid w:val="00CD3491"/>
    <w:rsid w:val="00CD3EFC"/>
    <w:rsid w:val="00CE2A3B"/>
    <w:rsid w:val="00D11F21"/>
    <w:rsid w:val="00D14777"/>
    <w:rsid w:val="00D6608E"/>
    <w:rsid w:val="00D75B90"/>
    <w:rsid w:val="00D80CA4"/>
    <w:rsid w:val="00D927EC"/>
    <w:rsid w:val="00D96A30"/>
    <w:rsid w:val="00DA79CD"/>
    <w:rsid w:val="00DC0535"/>
    <w:rsid w:val="00DD205A"/>
    <w:rsid w:val="00E07C6C"/>
    <w:rsid w:val="00E30384"/>
    <w:rsid w:val="00E5058C"/>
    <w:rsid w:val="00E53D58"/>
    <w:rsid w:val="00E5616E"/>
    <w:rsid w:val="00E71586"/>
    <w:rsid w:val="00E71910"/>
    <w:rsid w:val="00E85E5B"/>
    <w:rsid w:val="00E968D6"/>
    <w:rsid w:val="00EA4801"/>
    <w:rsid w:val="00EA6236"/>
    <w:rsid w:val="00EC360E"/>
    <w:rsid w:val="00ED38E6"/>
    <w:rsid w:val="00ED5CA4"/>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DDBAE3-648A-4773-AF12-26CD7E48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C60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C60DB"/>
    <w:rPr>
      <w:rFonts w:ascii="宋体" w:eastAsia="宋体" w:hAnsi="宋体" w:cs="宋体"/>
      <w:b/>
      <w:bCs/>
      <w:kern w:val="0"/>
      <w:sz w:val="27"/>
      <w:szCs w:val="27"/>
    </w:rPr>
  </w:style>
  <w:style w:type="paragraph" w:styleId="a3">
    <w:name w:val="Normal (Web)"/>
    <w:basedOn w:val="a"/>
    <w:uiPriority w:val="99"/>
    <w:semiHidden/>
    <w:unhideWhenUsed/>
    <w:rsid w:val="002C60D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D1A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1A07"/>
    <w:rPr>
      <w:sz w:val="18"/>
      <w:szCs w:val="18"/>
    </w:rPr>
  </w:style>
  <w:style w:type="paragraph" w:styleId="a6">
    <w:name w:val="footer"/>
    <w:basedOn w:val="a"/>
    <w:link w:val="a7"/>
    <w:uiPriority w:val="99"/>
    <w:unhideWhenUsed/>
    <w:rsid w:val="009D1A07"/>
    <w:pPr>
      <w:tabs>
        <w:tab w:val="center" w:pos="4153"/>
        <w:tab w:val="right" w:pos="8306"/>
      </w:tabs>
      <w:snapToGrid w:val="0"/>
      <w:jc w:val="left"/>
    </w:pPr>
    <w:rPr>
      <w:sz w:val="18"/>
      <w:szCs w:val="18"/>
    </w:rPr>
  </w:style>
  <w:style w:type="character" w:customStyle="1" w:styleId="a7">
    <w:name w:val="页脚 字符"/>
    <w:basedOn w:val="a0"/>
    <w:link w:val="a6"/>
    <w:uiPriority w:val="99"/>
    <w:rsid w:val="009D1A07"/>
    <w:rPr>
      <w:sz w:val="18"/>
      <w:szCs w:val="18"/>
    </w:rPr>
  </w:style>
  <w:style w:type="character" w:styleId="a8">
    <w:name w:val="Hyperlink"/>
    <w:basedOn w:val="a0"/>
    <w:uiPriority w:val="99"/>
    <w:semiHidden/>
    <w:unhideWhenUsed/>
    <w:rsid w:val="009D1A07"/>
    <w:rPr>
      <w:strike w:val="0"/>
      <w:dstrike w:val="0"/>
      <w:color w:val="222222"/>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154953">
      <w:bodyDiv w:val="1"/>
      <w:marLeft w:val="0"/>
      <w:marRight w:val="0"/>
      <w:marTop w:val="0"/>
      <w:marBottom w:val="0"/>
      <w:divBdr>
        <w:top w:val="none" w:sz="0" w:space="0" w:color="auto"/>
        <w:left w:val="none" w:sz="0" w:space="0" w:color="auto"/>
        <w:bottom w:val="none" w:sz="0" w:space="0" w:color="auto"/>
        <w:right w:val="none" w:sz="0" w:space="0" w:color="auto"/>
      </w:divBdr>
      <w:divsChild>
        <w:div w:id="1248002954">
          <w:marLeft w:val="0"/>
          <w:marRight w:val="0"/>
          <w:marTop w:val="0"/>
          <w:marBottom w:val="0"/>
          <w:divBdr>
            <w:top w:val="none" w:sz="0" w:space="0" w:color="auto"/>
            <w:left w:val="none" w:sz="0" w:space="0" w:color="auto"/>
            <w:bottom w:val="none" w:sz="0" w:space="0" w:color="auto"/>
            <w:right w:val="none" w:sz="0" w:space="0" w:color="auto"/>
          </w:divBdr>
        </w:div>
      </w:divsChild>
    </w:div>
    <w:div w:id="1551571106">
      <w:bodyDiv w:val="1"/>
      <w:marLeft w:val="0"/>
      <w:marRight w:val="0"/>
      <w:marTop w:val="0"/>
      <w:marBottom w:val="0"/>
      <w:divBdr>
        <w:top w:val="none" w:sz="0" w:space="0" w:color="auto"/>
        <w:left w:val="none" w:sz="0" w:space="0" w:color="auto"/>
        <w:bottom w:val="none" w:sz="0" w:space="0" w:color="auto"/>
        <w:right w:val="none" w:sz="0" w:space="0" w:color="auto"/>
      </w:divBdr>
      <w:divsChild>
        <w:div w:id="736971877">
          <w:marLeft w:val="0"/>
          <w:marRight w:val="0"/>
          <w:marTop w:val="0"/>
          <w:marBottom w:val="0"/>
          <w:divBdr>
            <w:top w:val="none" w:sz="0" w:space="0" w:color="auto"/>
            <w:left w:val="none" w:sz="0" w:space="0" w:color="auto"/>
            <w:bottom w:val="none" w:sz="0" w:space="0" w:color="auto"/>
            <w:right w:val="none" w:sz="0" w:space="0" w:color="auto"/>
          </w:divBdr>
        </w:div>
      </w:divsChild>
    </w:div>
    <w:div w:id="2022580461">
      <w:bodyDiv w:val="1"/>
      <w:marLeft w:val="0"/>
      <w:marRight w:val="0"/>
      <w:marTop w:val="0"/>
      <w:marBottom w:val="0"/>
      <w:divBdr>
        <w:top w:val="none" w:sz="0" w:space="0" w:color="auto"/>
        <w:left w:val="none" w:sz="0" w:space="0" w:color="auto"/>
        <w:bottom w:val="none" w:sz="0" w:space="0" w:color="auto"/>
        <w:right w:val="none" w:sz="0" w:space="0" w:color="auto"/>
      </w:divBdr>
      <w:divsChild>
        <w:div w:id="1090734785">
          <w:marLeft w:val="0"/>
          <w:marRight w:val="0"/>
          <w:marTop w:val="0"/>
          <w:marBottom w:val="0"/>
          <w:divBdr>
            <w:top w:val="none" w:sz="0" w:space="0" w:color="auto"/>
            <w:left w:val="none" w:sz="0" w:space="0" w:color="auto"/>
            <w:bottom w:val="none" w:sz="0" w:space="0" w:color="auto"/>
            <w:right w:val="none" w:sz="0" w:space="0" w:color="auto"/>
          </w:divBdr>
        </w:div>
        <w:div w:id="2086222968">
          <w:marLeft w:val="0"/>
          <w:marRight w:val="0"/>
          <w:marTop w:val="0"/>
          <w:marBottom w:val="0"/>
          <w:divBdr>
            <w:top w:val="none" w:sz="0" w:space="0" w:color="auto"/>
            <w:left w:val="none" w:sz="0" w:space="0" w:color="auto"/>
            <w:bottom w:val="none" w:sz="0" w:space="0" w:color="auto"/>
            <w:right w:val="none" w:sz="0" w:space="0" w:color="auto"/>
          </w:divBdr>
        </w:div>
        <w:div w:id="1342514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Test Test</cp:lastModifiedBy>
  <cp:revision>6</cp:revision>
  <dcterms:created xsi:type="dcterms:W3CDTF">2017-01-12T06:54:00Z</dcterms:created>
  <dcterms:modified xsi:type="dcterms:W3CDTF">2019-03-03T15:48:00Z</dcterms:modified>
</cp:coreProperties>
</file>