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BF" w:rsidRPr="00394CBF" w:rsidRDefault="00394CBF" w:rsidP="00394CBF">
      <w:pPr>
        <w:adjustRightInd w:val="0"/>
        <w:snapToGrid w:val="0"/>
        <w:rPr>
          <w:rFonts w:ascii="黑体" w:eastAsia="黑体" w:hAnsi="黑体" w:cs="Times New Roman" w:hint="eastAsia"/>
          <w:color w:val="000000"/>
          <w:kern w:val="0"/>
          <w:sz w:val="32"/>
          <w:szCs w:val="42"/>
        </w:rPr>
      </w:pPr>
      <w:r w:rsidRPr="00394CBF">
        <w:rPr>
          <w:rFonts w:ascii="黑体" w:eastAsia="黑体" w:hAnsi="黑体" w:cs="Times New Roman" w:hint="eastAsia"/>
          <w:color w:val="000000"/>
          <w:kern w:val="0"/>
          <w:sz w:val="32"/>
          <w:szCs w:val="42"/>
        </w:rPr>
        <w:t>附件</w:t>
      </w:r>
    </w:p>
    <w:p w:rsidR="003E7DAA" w:rsidRDefault="003E7DAA" w:rsidP="00751C29">
      <w:pPr>
        <w:adjustRightInd w:val="0"/>
        <w:snapToGrid w:val="0"/>
        <w:jc w:val="center"/>
        <w:rPr>
          <w:rFonts w:ascii="Times New Roman" w:eastAsia="方正大标宋简体" w:hAnsi="Times New Roman" w:cs="Times New Roman"/>
          <w:color w:val="000000"/>
          <w:kern w:val="0"/>
          <w:sz w:val="44"/>
          <w:szCs w:val="42"/>
        </w:rPr>
      </w:pPr>
    </w:p>
    <w:p w:rsidR="00385ECC" w:rsidRPr="003E7DAA" w:rsidRDefault="00385ECC" w:rsidP="00751C29">
      <w:pPr>
        <w:adjustRightInd w:val="0"/>
        <w:snapToGrid w:val="0"/>
        <w:jc w:val="center"/>
        <w:rPr>
          <w:rFonts w:ascii="Times New Roman" w:eastAsia="方正大标宋简体" w:hAnsi="Times New Roman" w:cs="Times New Roman"/>
          <w:color w:val="000000"/>
          <w:kern w:val="0"/>
          <w:sz w:val="44"/>
          <w:szCs w:val="42"/>
        </w:rPr>
      </w:pPr>
      <w:r w:rsidRPr="003E7DAA">
        <w:rPr>
          <w:rFonts w:ascii="Times New Roman" w:eastAsia="方正大标宋简体" w:hAnsi="Times New Roman" w:cs="Times New Roman" w:hint="eastAsia"/>
          <w:color w:val="000000"/>
          <w:kern w:val="0"/>
          <w:sz w:val="44"/>
          <w:szCs w:val="42"/>
        </w:rPr>
        <w:t>挂牌</w:t>
      </w:r>
      <w:r w:rsidRPr="003E7DAA">
        <w:rPr>
          <w:rFonts w:ascii="Times New Roman" w:eastAsia="方正大标宋简体" w:hAnsi="Times New Roman" w:cs="Times New Roman"/>
          <w:color w:val="000000"/>
          <w:kern w:val="0"/>
          <w:sz w:val="44"/>
          <w:szCs w:val="42"/>
        </w:rPr>
        <w:t>公司并购重组</w:t>
      </w:r>
      <w:bookmarkStart w:id="0" w:name="_GoBack"/>
      <w:bookmarkEnd w:id="0"/>
      <w:r w:rsidRPr="003E7DAA">
        <w:rPr>
          <w:rFonts w:ascii="Times New Roman" w:eastAsia="方正大标宋简体" w:hAnsi="Times New Roman" w:cs="Times New Roman"/>
          <w:color w:val="000000"/>
          <w:kern w:val="0"/>
          <w:sz w:val="44"/>
          <w:szCs w:val="42"/>
        </w:rPr>
        <w:t>业务问答（</w:t>
      </w:r>
      <w:r w:rsidR="002E28D1" w:rsidRPr="003E7DAA">
        <w:rPr>
          <w:rFonts w:ascii="Times New Roman" w:eastAsia="方正大标宋简体" w:hAnsi="Times New Roman" w:cs="Times New Roman" w:hint="eastAsia"/>
          <w:color w:val="000000"/>
          <w:kern w:val="0"/>
          <w:sz w:val="44"/>
          <w:szCs w:val="42"/>
        </w:rPr>
        <w:t>三</w:t>
      </w:r>
      <w:r w:rsidRPr="003E7DAA">
        <w:rPr>
          <w:rFonts w:ascii="Times New Roman" w:eastAsia="方正大标宋简体" w:hAnsi="Times New Roman" w:cs="Times New Roman"/>
          <w:color w:val="000000"/>
          <w:kern w:val="0"/>
          <w:sz w:val="44"/>
          <w:szCs w:val="42"/>
        </w:rPr>
        <w:t>）</w:t>
      </w:r>
    </w:p>
    <w:p w:rsidR="00385ECC" w:rsidRPr="00004E05" w:rsidRDefault="00385ECC" w:rsidP="00751C29">
      <w:pPr>
        <w:adjustRightInd w:val="0"/>
        <w:snapToGrid w:val="0"/>
        <w:spacing w:line="360" w:lineRule="auto"/>
        <w:ind w:firstLineChars="200" w:firstLine="840"/>
        <w:rPr>
          <w:rFonts w:ascii="Times New Roman" w:eastAsia="方正大标宋简体" w:hAnsi="Times New Roman" w:cs="Times New Roman"/>
          <w:color w:val="000000"/>
          <w:sz w:val="42"/>
          <w:szCs w:val="42"/>
        </w:rPr>
      </w:pPr>
    </w:p>
    <w:p w:rsidR="00DB4273" w:rsidRPr="003E7DAA" w:rsidRDefault="00414619" w:rsidP="003E7DAA">
      <w:pPr>
        <w:spacing w:line="600" w:lineRule="exact"/>
        <w:ind w:firstLineChars="200" w:firstLine="640"/>
        <w:rPr>
          <w:rFonts w:ascii="Times New Roman" w:eastAsia="黑体" w:hAnsi="Times New Roman" w:cs="Times New Roman"/>
          <w:sz w:val="32"/>
          <w:szCs w:val="30"/>
        </w:rPr>
      </w:pPr>
      <w:r w:rsidRPr="003E7DAA">
        <w:rPr>
          <w:rFonts w:ascii="Times New Roman" w:eastAsia="黑体" w:hAnsi="Times New Roman" w:cs="Times New Roman"/>
          <w:sz w:val="32"/>
          <w:szCs w:val="30"/>
        </w:rPr>
        <w:t>一、《非上市公众公司重大资产管理办法》第二十九条规定</w:t>
      </w:r>
      <w:r w:rsidR="00DB4273" w:rsidRPr="003E7DAA">
        <w:rPr>
          <w:rFonts w:ascii="Times New Roman" w:eastAsia="黑体" w:hAnsi="Times New Roman" w:cs="Times New Roman" w:hint="eastAsia"/>
          <w:sz w:val="32"/>
          <w:szCs w:val="30"/>
        </w:rPr>
        <w:t>的</w:t>
      </w:r>
      <w:r w:rsidR="00DB4273" w:rsidRPr="003E7DAA">
        <w:rPr>
          <w:rFonts w:ascii="Times New Roman" w:eastAsia="黑体" w:hAnsi="Times New Roman" w:cs="Times New Roman"/>
          <w:sz w:val="32"/>
          <w:szCs w:val="30"/>
        </w:rPr>
        <w:t>“</w:t>
      </w:r>
      <w:r w:rsidR="00DB4273" w:rsidRPr="003E7DAA">
        <w:rPr>
          <w:rFonts w:ascii="Times New Roman" w:eastAsia="黑体" w:hAnsi="Times New Roman" w:cs="Times New Roman" w:hint="eastAsia"/>
          <w:sz w:val="32"/>
          <w:szCs w:val="30"/>
        </w:rPr>
        <w:t>购买资产</w:t>
      </w:r>
      <w:r w:rsidR="00DB4273" w:rsidRPr="003E7DAA">
        <w:rPr>
          <w:rFonts w:ascii="Times New Roman" w:eastAsia="黑体" w:hAnsi="Times New Roman" w:cs="Times New Roman"/>
          <w:sz w:val="32"/>
          <w:szCs w:val="30"/>
        </w:rPr>
        <w:t>实现的利润</w:t>
      </w:r>
      <w:r w:rsidR="00DB4273" w:rsidRPr="003E7DAA">
        <w:rPr>
          <w:rFonts w:ascii="Times New Roman" w:eastAsia="黑体" w:hAnsi="Times New Roman" w:cs="Times New Roman"/>
          <w:sz w:val="32"/>
          <w:szCs w:val="30"/>
        </w:rPr>
        <w:t>”</w:t>
      </w:r>
      <w:r w:rsidR="00215AD9" w:rsidRPr="003E7DAA">
        <w:rPr>
          <w:rFonts w:ascii="Times New Roman" w:eastAsia="黑体" w:hAnsi="Times New Roman" w:cs="Times New Roman" w:hint="eastAsia"/>
          <w:sz w:val="32"/>
          <w:szCs w:val="30"/>
        </w:rPr>
        <w:t>是否包括</w:t>
      </w:r>
      <w:r w:rsidR="00003ED4" w:rsidRPr="003E7DAA">
        <w:rPr>
          <w:rFonts w:ascii="Times New Roman" w:eastAsia="黑体" w:hAnsi="Times New Roman" w:cs="Times New Roman"/>
          <w:sz w:val="32"/>
          <w:szCs w:val="30"/>
        </w:rPr>
        <w:t>非经常性损益</w:t>
      </w:r>
      <w:r w:rsidR="00DB4273" w:rsidRPr="003E7DAA">
        <w:rPr>
          <w:rFonts w:ascii="Times New Roman" w:eastAsia="黑体" w:hAnsi="Times New Roman" w:cs="Times New Roman"/>
          <w:sz w:val="32"/>
          <w:szCs w:val="30"/>
        </w:rPr>
        <w:t>？</w:t>
      </w:r>
    </w:p>
    <w:p w:rsidR="00751C29" w:rsidRPr="003E7DAA" w:rsidRDefault="00DB4273" w:rsidP="003E7DAA">
      <w:pPr>
        <w:spacing w:line="600" w:lineRule="exact"/>
        <w:ind w:firstLineChars="200" w:firstLine="640"/>
        <w:rPr>
          <w:rFonts w:ascii="Times New Roman" w:eastAsia="仿宋" w:hAnsi="Times New Roman" w:cs="Times New Roman"/>
          <w:sz w:val="32"/>
          <w:szCs w:val="30"/>
        </w:rPr>
      </w:pPr>
      <w:r w:rsidRPr="003E7DAA">
        <w:rPr>
          <w:rFonts w:ascii="Times New Roman" w:eastAsia="仿宋" w:hAnsi="Times New Roman" w:cs="Times New Roman" w:hint="eastAsia"/>
          <w:sz w:val="32"/>
          <w:szCs w:val="30"/>
        </w:rPr>
        <w:t>答</w:t>
      </w:r>
      <w:r w:rsidRPr="003E7DAA">
        <w:rPr>
          <w:rFonts w:ascii="Times New Roman" w:eastAsia="仿宋" w:hAnsi="Times New Roman" w:cs="Times New Roman"/>
          <w:sz w:val="32"/>
          <w:szCs w:val="30"/>
        </w:rPr>
        <w:t>：</w:t>
      </w:r>
      <w:r w:rsidR="00215AD9" w:rsidRPr="003E7DAA">
        <w:rPr>
          <w:rFonts w:ascii="Times New Roman" w:eastAsia="仿宋" w:hAnsi="Times New Roman" w:cs="Times New Roman" w:hint="eastAsia"/>
          <w:sz w:val="32"/>
          <w:szCs w:val="30"/>
        </w:rPr>
        <w:t>不包括</w:t>
      </w:r>
      <w:r w:rsidR="00003ED4" w:rsidRPr="003E7DAA">
        <w:rPr>
          <w:rFonts w:ascii="Times New Roman" w:eastAsia="仿宋" w:hAnsi="Times New Roman" w:cs="Times New Roman"/>
          <w:sz w:val="32"/>
          <w:szCs w:val="30"/>
        </w:rPr>
        <w:t>。</w:t>
      </w:r>
      <w:r w:rsidRPr="003E7DAA">
        <w:rPr>
          <w:rFonts w:ascii="Times New Roman" w:eastAsia="仿宋" w:hAnsi="Times New Roman" w:cs="Times New Roman"/>
          <w:sz w:val="32"/>
          <w:szCs w:val="30"/>
        </w:rPr>
        <w:t>挂牌公司</w:t>
      </w:r>
      <w:r w:rsidRPr="003E7DAA">
        <w:rPr>
          <w:rFonts w:ascii="Times New Roman" w:eastAsia="仿宋" w:hAnsi="Times New Roman" w:cs="Times New Roman" w:hint="eastAsia"/>
          <w:sz w:val="32"/>
          <w:szCs w:val="30"/>
        </w:rPr>
        <w:t>重大资产重组</w:t>
      </w:r>
      <w:r w:rsidR="00003ED4" w:rsidRPr="003E7DAA">
        <w:rPr>
          <w:rFonts w:ascii="Times New Roman" w:eastAsia="仿宋" w:hAnsi="Times New Roman" w:cs="Times New Roman" w:hint="eastAsia"/>
          <w:sz w:val="32"/>
          <w:szCs w:val="30"/>
        </w:rPr>
        <w:t>“购买资产</w:t>
      </w:r>
      <w:r w:rsidR="00003ED4" w:rsidRPr="003E7DAA">
        <w:rPr>
          <w:rFonts w:ascii="Times New Roman" w:eastAsia="仿宋" w:hAnsi="Times New Roman" w:cs="Times New Roman"/>
          <w:sz w:val="32"/>
          <w:szCs w:val="30"/>
        </w:rPr>
        <w:t>实现的利润</w:t>
      </w:r>
      <w:r w:rsidR="00003ED4" w:rsidRPr="003E7DAA">
        <w:rPr>
          <w:rFonts w:ascii="Times New Roman" w:eastAsia="仿宋" w:hAnsi="Times New Roman" w:cs="Times New Roman"/>
          <w:sz w:val="32"/>
          <w:szCs w:val="30"/>
        </w:rPr>
        <w:t>”</w:t>
      </w:r>
      <w:r w:rsidRPr="003E7DAA">
        <w:rPr>
          <w:rFonts w:ascii="Times New Roman" w:eastAsia="仿宋" w:hAnsi="Times New Roman" w:cs="Times New Roman"/>
          <w:sz w:val="32"/>
          <w:szCs w:val="30"/>
        </w:rPr>
        <w:t>，以</w:t>
      </w:r>
      <w:r w:rsidRPr="003E7DAA">
        <w:rPr>
          <w:rFonts w:ascii="Times New Roman" w:eastAsia="仿宋" w:hAnsi="Times New Roman" w:cs="Times New Roman" w:hint="eastAsia"/>
          <w:sz w:val="32"/>
          <w:szCs w:val="30"/>
        </w:rPr>
        <w:t>扣除</w:t>
      </w:r>
      <w:r w:rsidRPr="003E7DAA">
        <w:rPr>
          <w:rFonts w:ascii="Times New Roman" w:eastAsia="仿宋" w:hAnsi="Times New Roman" w:cs="Times New Roman"/>
          <w:sz w:val="32"/>
          <w:szCs w:val="30"/>
        </w:rPr>
        <w:t>非经常性损益后的净利润为计算依据。</w:t>
      </w:r>
    </w:p>
    <w:p w:rsidR="00F8218D" w:rsidRPr="003E7DAA" w:rsidRDefault="00F8218D" w:rsidP="003E7DAA">
      <w:pPr>
        <w:spacing w:line="600" w:lineRule="exact"/>
        <w:ind w:firstLineChars="200" w:firstLine="640"/>
        <w:rPr>
          <w:rFonts w:ascii="Times New Roman" w:eastAsia="黑体" w:hAnsi="Times New Roman" w:cs="Times New Roman"/>
          <w:sz w:val="32"/>
          <w:szCs w:val="30"/>
        </w:rPr>
      </w:pPr>
      <w:r w:rsidRPr="003E7DAA">
        <w:rPr>
          <w:rFonts w:ascii="Times New Roman" w:eastAsia="黑体" w:hAnsi="Times New Roman" w:cs="Times New Roman" w:hint="eastAsia"/>
          <w:sz w:val="32"/>
          <w:szCs w:val="30"/>
        </w:rPr>
        <w:t>二</w:t>
      </w:r>
      <w:r w:rsidRPr="003E7DAA">
        <w:rPr>
          <w:rFonts w:ascii="Times New Roman" w:eastAsia="黑体" w:hAnsi="Times New Roman" w:cs="Times New Roman"/>
          <w:sz w:val="32"/>
          <w:szCs w:val="30"/>
        </w:rPr>
        <w:t>、</w:t>
      </w:r>
      <w:r w:rsidRPr="003E7DAA">
        <w:rPr>
          <w:rFonts w:ascii="Times New Roman" w:eastAsia="黑体" w:hAnsi="Times New Roman" w:cs="Times New Roman" w:hint="eastAsia"/>
          <w:sz w:val="32"/>
          <w:szCs w:val="30"/>
        </w:rPr>
        <w:t>挂牌</w:t>
      </w:r>
      <w:r w:rsidRPr="003E7DAA">
        <w:rPr>
          <w:rFonts w:ascii="Times New Roman" w:eastAsia="黑体" w:hAnsi="Times New Roman" w:cs="Times New Roman"/>
          <w:sz w:val="32"/>
          <w:szCs w:val="30"/>
        </w:rPr>
        <w:t>公司</w:t>
      </w:r>
      <w:r w:rsidRPr="003E7DAA">
        <w:rPr>
          <w:rFonts w:ascii="Times New Roman" w:eastAsia="黑体" w:hAnsi="Times New Roman" w:cs="Times New Roman" w:hint="eastAsia"/>
          <w:sz w:val="32"/>
          <w:szCs w:val="30"/>
        </w:rPr>
        <w:t>计算</w:t>
      </w:r>
      <w:r w:rsidRPr="003E7DAA">
        <w:rPr>
          <w:rFonts w:ascii="Times New Roman" w:eastAsia="黑体" w:hAnsi="Times New Roman" w:cs="Times New Roman"/>
          <w:sz w:val="32"/>
          <w:szCs w:val="30"/>
        </w:rPr>
        <w:t>相关交易是否达到重大资产重组标准时，其</w:t>
      </w:r>
      <w:r w:rsidRPr="003E7DAA">
        <w:rPr>
          <w:rFonts w:ascii="Times New Roman" w:eastAsia="黑体" w:hAnsi="Times New Roman" w:cs="Times New Roman" w:hint="eastAsia"/>
          <w:sz w:val="32"/>
          <w:szCs w:val="30"/>
        </w:rPr>
        <w:t>净资产额是否</w:t>
      </w:r>
      <w:r w:rsidRPr="003E7DAA">
        <w:rPr>
          <w:rFonts w:ascii="Times New Roman" w:eastAsia="黑体" w:hAnsi="Times New Roman" w:cs="Times New Roman"/>
          <w:sz w:val="32"/>
          <w:szCs w:val="30"/>
        </w:rPr>
        <w:t>包括少数股东权益</w:t>
      </w:r>
      <w:r w:rsidRPr="003E7DAA">
        <w:rPr>
          <w:rFonts w:ascii="Times New Roman" w:eastAsia="黑体" w:hAnsi="Times New Roman" w:cs="Times New Roman" w:hint="eastAsia"/>
          <w:sz w:val="32"/>
          <w:szCs w:val="30"/>
        </w:rPr>
        <w:t>？</w:t>
      </w:r>
    </w:p>
    <w:p w:rsidR="00F8218D" w:rsidRPr="003E7DAA" w:rsidRDefault="00F8218D" w:rsidP="003E7DAA">
      <w:pPr>
        <w:spacing w:line="600" w:lineRule="exact"/>
        <w:ind w:firstLineChars="200" w:firstLine="640"/>
        <w:rPr>
          <w:rFonts w:ascii="Times New Roman" w:eastAsia="仿宋" w:hAnsi="Times New Roman" w:cs="Times New Roman"/>
          <w:sz w:val="32"/>
          <w:szCs w:val="30"/>
        </w:rPr>
      </w:pPr>
      <w:r w:rsidRPr="003E7DAA">
        <w:rPr>
          <w:rFonts w:ascii="Times New Roman" w:eastAsia="仿宋" w:hAnsi="Times New Roman" w:cs="Times New Roman" w:hint="eastAsia"/>
          <w:sz w:val="32"/>
          <w:szCs w:val="30"/>
        </w:rPr>
        <w:t>答</w:t>
      </w:r>
      <w:r w:rsidRPr="003E7DAA">
        <w:rPr>
          <w:rFonts w:ascii="Times New Roman" w:eastAsia="仿宋" w:hAnsi="Times New Roman" w:cs="Times New Roman"/>
          <w:sz w:val="32"/>
          <w:szCs w:val="30"/>
        </w:rPr>
        <w:t>：挂牌公司</w:t>
      </w:r>
      <w:r w:rsidRPr="003E7DAA">
        <w:rPr>
          <w:rFonts w:ascii="Times New Roman" w:eastAsia="仿宋" w:hAnsi="Times New Roman" w:cs="Times New Roman" w:hint="eastAsia"/>
          <w:sz w:val="32"/>
          <w:szCs w:val="30"/>
        </w:rPr>
        <w:t>根据《非上市公众公司重大资产重组管理办法》第二条、第三十五条的规定，</w:t>
      </w:r>
      <w:r w:rsidRPr="003E7DAA">
        <w:rPr>
          <w:rFonts w:ascii="Times New Roman" w:eastAsia="仿宋" w:hAnsi="Times New Roman" w:cs="Times New Roman"/>
          <w:sz w:val="32"/>
          <w:szCs w:val="30"/>
        </w:rPr>
        <w:t>计算购买、出售的资产</w:t>
      </w:r>
      <w:r w:rsidRPr="003E7DAA">
        <w:rPr>
          <w:rFonts w:ascii="Times New Roman" w:eastAsia="仿宋" w:hAnsi="Times New Roman" w:cs="Times New Roman" w:hint="eastAsia"/>
          <w:sz w:val="32"/>
          <w:szCs w:val="30"/>
        </w:rPr>
        <w:t>净额</w:t>
      </w:r>
      <w:r w:rsidRPr="003E7DAA">
        <w:rPr>
          <w:rFonts w:ascii="Times New Roman" w:eastAsia="仿宋" w:hAnsi="Times New Roman" w:cs="Times New Roman"/>
          <w:sz w:val="32"/>
          <w:szCs w:val="30"/>
        </w:rPr>
        <w:t>占挂牌公司最近一个会计年度经审计的合并财务会计报表期末净资产额的比例时，前述</w:t>
      </w:r>
      <w:r w:rsidRPr="003E7DAA">
        <w:rPr>
          <w:rFonts w:ascii="Times New Roman" w:eastAsia="仿宋" w:hAnsi="Times New Roman" w:cs="Times New Roman" w:hint="eastAsia"/>
          <w:sz w:val="32"/>
          <w:szCs w:val="30"/>
        </w:rPr>
        <w:t>挂牌</w:t>
      </w:r>
      <w:r w:rsidRPr="003E7DAA">
        <w:rPr>
          <w:rFonts w:ascii="Times New Roman" w:eastAsia="仿宋" w:hAnsi="Times New Roman" w:cs="Times New Roman"/>
          <w:sz w:val="32"/>
          <w:szCs w:val="30"/>
        </w:rPr>
        <w:t>公司</w:t>
      </w:r>
      <w:r w:rsidRPr="003E7DAA">
        <w:rPr>
          <w:rFonts w:ascii="Times New Roman" w:eastAsia="仿宋" w:hAnsi="Times New Roman" w:cs="Times New Roman" w:hint="eastAsia"/>
          <w:sz w:val="32"/>
          <w:szCs w:val="30"/>
        </w:rPr>
        <w:t>净资产额</w:t>
      </w:r>
      <w:r w:rsidRPr="003E7DAA">
        <w:rPr>
          <w:rFonts w:ascii="Times New Roman" w:eastAsia="仿宋" w:hAnsi="Times New Roman" w:cs="Times New Roman"/>
          <w:sz w:val="32"/>
          <w:szCs w:val="30"/>
        </w:rPr>
        <w:t>不应包括少数股东权益。</w:t>
      </w:r>
    </w:p>
    <w:p w:rsidR="0047665C" w:rsidRPr="003E7DAA" w:rsidRDefault="00F8218D" w:rsidP="003E7DAA">
      <w:pPr>
        <w:spacing w:line="600" w:lineRule="exact"/>
        <w:ind w:firstLineChars="200" w:firstLine="640"/>
        <w:rPr>
          <w:rFonts w:ascii="Times New Roman" w:eastAsia="黑体" w:hAnsi="Times New Roman" w:cs="Times New Roman"/>
          <w:sz w:val="32"/>
          <w:szCs w:val="30"/>
        </w:rPr>
      </w:pPr>
      <w:r w:rsidRPr="003E7DAA">
        <w:rPr>
          <w:rFonts w:ascii="Times New Roman" w:eastAsia="黑体" w:hAnsi="Times New Roman" w:cs="Times New Roman" w:hint="eastAsia"/>
          <w:sz w:val="32"/>
          <w:szCs w:val="30"/>
        </w:rPr>
        <w:t>三</w:t>
      </w:r>
      <w:r w:rsidR="0047665C" w:rsidRPr="003E7DAA">
        <w:rPr>
          <w:rFonts w:ascii="Times New Roman" w:eastAsia="黑体" w:hAnsi="Times New Roman" w:cs="Times New Roman"/>
          <w:sz w:val="32"/>
          <w:szCs w:val="30"/>
        </w:rPr>
        <w:t>、</w:t>
      </w:r>
      <w:r w:rsidR="0047665C" w:rsidRPr="003E7DAA">
        <w:rPr>
          <w:rFonts w:ascii="Times New Roman" w:eastAsia="黑体" w:hAnsi="Times New Roman" w:cs="Times New Roman" w:hint="eastAsia"/>
          <w:sz w:val="32"/>
          <w:szCs w:val="30"/>
        </w:rPr>
        <w:t>《非上市</w:t>
      </w:r>
      <w:r w:rsidR="0047665C" w:rsidRPr="003E7DAA">
        <w:rPr>
          <w:rFonts w:ascii="Times New Roman" w:eastAsia="黑体" w:hAnsi="Times New Roman" w:cs="Times New Roman"/>
          <w:sz w:val="32"/>
          <w:szCs w:val="30"/>
        </w:rPr>
        <w:t>公众公司重大资产重组管理办法</w:t>
      </w:r>
      <w:r w:rsidR="0047665C" w:rsidRPr="003E7DAA">
        <w:rPr>
          <w:rFonts w:ascii="Times New Roman" w:eastAsia="黑体" w:hAnsi="Times New Roman" w:cs="Times New Roman" w:hint="eastAsia"/>
          <w:sz w:val="32"/>
          <w:szCs w:val="30"/>
        </w:rPr>
        <w:t>》第</w:t>
      </w:r>
      <w:r w:rsidR="0047665C" w:rsidRPr="003E7DAA">
        <w:rPr>
          <w:rFonts w:ascii="Times New Roman" w:eastAsia="黑体" w:hAnsi="Times New Roman" w:cs="Times New Roman"/>
          <w:sz w:val="32"/>
          <w:szCs w:val="30"/>
        </w:rPr>
        <w:t>二十三条</w:t>
      </w:r>
      <w:r w:rsidR="001005A7" w:rsidRPr="003E7DAA">
        <w:rPr>
          <w:rFonts w:ascii="Times New Roman" w:eastAsia="黑体" w:hAnsi="Times New Roman" w:cs="Times New Roman" w:hint="eastAsia"/>
          <w:sz w:val="32"/>
          <w:szCs w:val="30"/>
        </w:rPr>
        <w:t>第一款</w:t>
      </w:r>
      <w:r w:rsidR="0047665C" w:rsidRPr="003E7DAA">
        <w:rPr>
          <w:rFonts w:ascii="Times New Roman" w:eastAsia="黑体" w:hAnsi="Times New Roman" w:cs="Times New Roman" w:hint="eastAsia"/>
          <w:sz w:val="32"/>
          <w:szCs w:val="30"/>
        </w:rPr>
        <w:t>中</w:t>
      </w:r>
      <w:r w:rsidR="0047665C" w:rsidRPr="003E7DAA">
        <w:rPr>
          <w:rFonts w:ascii="Times New Roman" w:eastAsia="黑体" w:hAnsi="Times New Roman" w:cs="Times New Roman"/>
          <w:sz w:val="32"/>
          <w:szCs w:val="30"/>
        </w:rPr>
        <w:t>“</w:t>
      </w:r>
      <w:r w:rsidR="0047665C" w:rsidRPr="003E7DAA">
        <w:rPr>
          <w:rFonts w:ascii="Times New Roman" w:eastAsia="黑体" w:hAnsi="Times New Roman" w:cs="Times New Roman" w:hint="eastAsia"/>
          <w:sz w:val="32"/>
          <w:szCs w:val="30"/>
        </w:rPr>
        <w:t>实施完毕</w:t>
      </w:r>
      <w:r w:rsidR="0047665C" w:rsidRPr="003E7DAA">
        <w:rPr>
          <w:rFonts w:ascii="Times New Roman" w:eastAsia="黑体" w:hAnsi="Times New Roman" w:cs="Times New Roman"/>
          <w:sz w:val="32"/>
          <w:szCs w:val="30"/>
        </w:rPr>
        <w:t>”</w:t>
      </w:r>
      <w:r w:rsidR="0032570C" w:rsidRPr="003E7DAA">
        <w:rPr>
          <w:rFonts w:ascii="Times New Roman" w:eastAsia="黑体" w:hAnsi="Times New Roman" w:cs="Times New Roman" w:hint="eastAsia"/>
          <w:sz w:val="32"/>
          <w:szCs w:val="30"/>
        </w:rPr>
        <w:t>应</w:t>
      </w:r>
      <w:r w:rsidR="000A0BB5" w:rsidRPr="003E7DAA">
        <w:rPr>
          <w:rFonts w:ascii="Times New Roman" w:eastAsia="黑体" w:hAnsi="Times New Roman" w:cs="Times New Roman" w:hint="eastAsia"/>
          <w:sz w:val="32"/>
          <w:szCs w:val="30"/>
        </w:rPr>
        <w:t>如何判断</w:t>
      </w:r>
      <w:r w:rsidR="0047665C" w:rsidRPr="003E7DAA">
        <w:rPr>
          <w:rFonts w:ascii="Times New Roman" w:eastAsia="黑体" w:hAnsi="Times New Roman" w:cs="Times New Roman"/>
          <w:sz w:val="32"/>
          <w:szCs w:val="30"/>
        </w:rPr>
        <w:t>？</w:t>
      </w:r>
    </w:p>
    <w:p w:rsidR="000E39F4" w:rsidRPr="003E7DAA" w:rsidRDefault="0047665C" w:rsidP="003E7DAA">
      <w:pPr>
        <w:spacing w:line="600" w:lineRule="exact"/>
        <w:ind w:firstLineChars="200" w:firstLine="640"/>
        <w:rPr>
          <w:rFonts w:ascii="Times New Roman" w:eastAsia="仿宋" w:hAnsi="Times New Roman" w:cs="Times New Roman"/>
          <w:sz w:val="32"/>
          <w:szCs w:val="30"/>
        </w:rPr>
      </w:pPr>
      <w:r w:rsidRPr="003E7DAA">
        <w:rPr>
          <w:rFonts w:ascii="Times New Roman" w:eastAsia="仿宋" w:hAnsi="Times New Roman" w:cs="Times New Roman" w:hint="eastAsia"/>
          <w:sz w:val="32"/>
          <w:szCs w:val="30"/>
        </w:rPr>
        <w:t>答</w:t>
      </w:r>
      <w:r w:rsidRPr="003E7DAA">
        <w:rPr>
          <w:rFonts w:ascii="Times New Roman" w:eastAsia="仿宋" w:hAnsi="Times New Roman" w:cs="Times New Roman"/>
          <w:sz w:val="32"/>
          <w:szCs w:val="30"/>
        </w:rPr>
        <w:t>：</w:t>
      </w:r>
      <w:r w:rsidR="000E39F4" w:rsidRPr="003E7DAA">
        <w:rPr>
          <w:rFonts w:ascii="Times New Roman" w:eastAsia="仿宋" w:hAnsi="Times New Roman" w:cs="Times New Roman" w:hint="eastAsia"/>
          <w:sz w:val="32"/>
          <w:szCs w:val="30"/>
        </w:rPr>
        <w:t>对于</w:t>
      </w:r>
      <w:r w:rsidR="000E39F4" w:rsidRPr="003E7DAA">
        <w:rPr>
          <w:rFonts w:ascii="Times New Roman" w:eastAsia="仿宋" w:hAnsi="Times New Roman" w:cs="Times New Roman"/>
          <w:sz w:val="32"/>
          <w:szCs w:val="30"/>
        </w:rPr>
        <w:t>购买资产</w:t>
      </w:r>
      <w:r w:rsidR="000E39F4" w:rsidRPr="003E7DAA">
        <w:rPr>
          <w:rFonts w:ascii="Times New Roman" w:eastAsia="仿宋" w:hAnsi="Times New Roman" w:cs="Times New Roman" w:hint="eastAsia"/>
          <w:sz w:val="32"/>
          <w:szCs w:val="30"/>
        </w:rPr>
        <w:t>构成</w:t>
      </w:r>
      <w:r w:rsidR="000E39F4" w:rsidRPr="003E7DAA">
        <w:rPr>
          <w:rFonts w:ascii="Times New Roman" w:eastAsia="仿宋" w:hAnsi="Times New Roman" w:cs="Times New Roman"/>
          <w:sz w:val="32"/>
          <w:szCs w:val="30"/>
        </w:rPr>
        <w:t>重大资产重组的情形，</w:t>
      </w:r>
      <w:r w:rsidR="000E39F4" w:rsidRPr="003E7DAA">
        <w:rPr>
          <w:rFonts w:ascii="Times New Roman" w:eastAsia="仿宋" w:hAnsi="Times New Roman" w:cs="Times New Roman" w:hint="eastAsia"/>
          <w:sz w:val="32"/>
          <w:szCs w:val="30"/>
        </w:rPr>
        <w:t>如</w:t>
      </w:r>
      <w:r w:rsidR="00151E29" w:rsidRPr="003E7DAA">
        <w:rPr>
          <w:rFonts w:ascii="Times New Roman" w:eastAsia="仿宋" w:hAnsi="Times New Roman" w:cs="Times New Roman"/>
          <w:sz w:val="32"/>
          <w:szCs w:val="30"/>
        </w:rPr>
        <w:t>涉及</w:t>
      </w:r>
      <w:r w:rsidR="000E39F4" w:rsidRPr="003E7DAA">
        <w:rPr>
          <w:rFonts w:ascii="Times New Roman" w:eastAsia="仿宋" w:hAnsi="Times New Roman" w:cs="Times New Roman" w:hint="eastAsia"/>
          <w:sz w:val="32"/>
          <w:szCs w:val="30"/>
        </w:rPr>
        <w:t>挂牌</w:t>
      </w:r>
      <w:r w:rsidR="000E39F4" w:rsidRPr="003E7DAA">
        <w:rPr>
          <w:rFonts w:ascii="Times New Roman" w:eastAsia="仿宋" w:hAnsi="Times New Roman" w:cs="Times New Roman"/>
          <w:sz w:val="32"/>
          <w:szCs w:val="30"/>
        </w:rPr>
        <w:t>公司发行股份</w:t>
      </w:r>
      <w:r w:rsidR="00151E29" w:rsidRPr="003E7DAA">
        <w:rPr>
          <w:rFonts w:ascii="Times New Roman" w:eastAsia="仿宋" w:hAnsi="Times New Roman" w:cs="Times New Roman"/>
          <w:sz w:val="32"/>
          <w:szCs w:val="30"/>
        </w:rPr>
        <w:t>，</w:t>
      </w:r>
      <w:r w:rsidR="00151E29" w:rsidRPr="003E7DAA">
        <w:rPr>
          <w:rFonts w:ascii="Times New Roman" w:eastAsia="仿宋" w:hAnsi="Times New Roman" w:cs="Times New Roman"/>
          <w:sz w:val="32"/>
          <w:szCs w:val="30"/>
        </w:rPr>
        <w:t>“</w:t>
      </w:r>
      <w:r w:rsidR="00151E29" w:rsidRPr="003E7DAA">
        <w:rPr>
          <w:rFonts w:ascii="Times New Roman" w:eastAsia="仿宋" w:hAnsi="Times New Roman" w:cs="Times New Roman" w:hint="eastAsia"/>
          <w:sz w:val="32"/>
          <w:szCs w:val="30"/>
        </w:rPr>
        <w:t>实施完毕</w:t>
      </w:r>
      <w:r w:rsidR="00151E29" w:rsidRPr="003E7DAA">
        <w:rPr>
          <w:rFonts w:ascii="Times New Roman" w:eastAsia="仿宋" w:hAnsi="Times New Roman" w:cs="Times New Roman"/>
          <w:sz w:val="32"/>
          <w:szCs w:val="30"/>
        </w:rPr>
        <w:t>”</w:t>
      </w:r>
      <w:r w:rsidR="000E39F4" w:rsidRPr="003E7DAA">
        <w:rPr>
          <w:rFonts w:ascii="Times New Roman" w:eastAsia="仿宋" w:hAnsi="Times New Roman" w:cs="Times New Roman" w:hint="eastAsia"/>
          <w:sz w:val="32"/>
          <w:szCs w:val="30"/>
        </w:rPr>
        <w:t>以</w:t>
      </w:r>
      <w:r w:rsidR="00151E29" w:rsidRPr="003E7DAA">
        <w:rPr>
          <w:rFonts w:ascii="Times New Roman" w:eastAsia="仿宋" w:hAnsi="Times New Roman" w:cs="Times New Roman" w:hint="eastAsia"/>
          <w:sz w:val="32"/>
          <w:szCs w:val="30"/>
        </w:rPr>
        <w:t>挂牌公司</w:t>
      </w:r>
      <w:r w:rsidR="00AA1895" w:rsidRPr="003E7DAA">
        <w:rPr>
          <w:rFonts w:ascii="Times New Roman" w:eastAsia="仿宋" w:hAnsi="Times New Roman" w:cs="Times New Roman" w:hint="eastAsia"/>
          <w:sz w:val="32"/>
          <w:szCs w:val="30"/>
        </w:rPr>
        <w:t>收到</w:t>
      </w:r>
      <w:r w:rsidR="00AA1895" w:rsidRPr="003E7DAA">
        <w:rPr>
          <w:rFonts w:ascii="Times New Roman" w:eastAsia="仿宋" w:hAnsi="Times New Roman" w:cs="Times New Roman"/>
          <w:sz w:val="32"/>
          <w:szCs w:val="30"/>
        </w:rPr>
        <w:t>中国结算北京分公司下发的</w:t>
      </w:r>
      <w:r w:rsidR="00AA1895" w:rsidRPr="003E7DAA">
        <w:rPr>
          <w:rFonts w:ascii="Times New Roman" w:eastAsia="仿宋" w:hAnsi="Times New Roman" w:cs="Times New Roman" w:hint="eastAsia"/>
          <w:sz w:val="32"/>
          <w:szCs w:val="30"/>
        </w:rPr>
        <w:t>《关于发布并</w:t>
      </w:r>
      <w:r w:rsidR="00AA1895" w:rsidRPr="003E7DAA">
        <w:rPr>
          <w:rFonts w:ascii="Times New Roman" w:eastAsia="仿宋" w:hAnsi="Times New Roman" w:cs="Times New Roman"/>
          <w:sz w:val="32"/>
          <w:szCs w:val="30"/>
        </w:rPr>
        <w:t>上传</w:t>
      </w:r>
      <w:r w:rsidR="00AA1895" w:rsidRPr="003E7DAA">
        <w:rPr>
          <w:rFonts w:ascii="Times New Roman" w:eastAsia="仿宋" w:hAnsi="Times New Roman" w:cs="Times New Roman"/>
          <w:sz w:val="32"/>
          <w:szCs w:val="30"/>
        </w:rPr>
        <w:t>“</w:t>
      </w:r>
      <w:r w:rsidR="00AA1895" w:rsidRPr="003E7DAA">
        <w:rPr>
          <w:rFonts w:ascii="Times New Roman" w:eastAsia="仿宋" w:hAnsi="Times New Roman" w:cs="Times New Roman" w:hint="eastAsia"/>
          <w:sz w:val="32"/>
          <w:szCs w:val="30"/>
        </w:rPr>
        <w:t>发行</w:t>
      </w:r>
      <w:r w:rsidR="00AA1895" w:rsidRPr="003E7DAA">
        <w:rPr>
          <w:rFonts w:ascii="Times New Roman" w:eastAsia="仿宋" w:hAnsi="Times New Roman" w:cs="Times New Roman"/>
          <w:sz w:val="32"/>
          <w:szCs w:val="30"/>
        </w:rPr>
        <w:t>新增股份在全国中小企业股份转让系统挂牌并公开转让的公告</w:t>
      </w:r>
      <w:r w:rsidR="00AA1895" w:rsidRPr="003E7DAA">
        <w:rPr>
          <w:rFonts w:ascii="Times New Roman" w:eastAsia="仿宋" w:hAnsi="Times New Roman" w:cs="Times New Roman"/>
          <w:sz w:val="32"/>
          <w:szCs w:val="30"/>
        </w:rPr>
        <w:t>”</w:t>
      </w:r>
      <w:r w:rsidR="00AA1895" w:rsidRPr="003E7DAA">
        <w:rPr>
          <w:rFonts w:ascii="Times New Roman" w:eastAsia="仿宋" w:hAnsi="Times New Roman" w:cs="Times New Roman" w:hint="eastAsia"/>
          <w:sz w:val="32"/>
          <w:szCs w:val="30"/>
        </w:rPr>
        <w:t>的</w:t>
      </w:r>
      <w:r w:rsidR="00AA1895" w:rsidRPr="003E7DAA">
        <w:rPr>
          <w:rFonts w:ascii="Times New Roman" w:eastAsia="仿宋" w:hAnsi="Times New Roman" w:cs="Times New Roman"/>
          <w:sz w:val="32"/>
          <w:szCs w:val="30"/>
        </w:rPr>
        <w:t>通知</w:t>
      </w:r>
      <w:r w:rsidR="00AA1895" w:rsidRPr="003E7DAA">
        <w:rPr>
          <w:rFonts w:ascii="Times New Roman" w:eastAsia="仿宋" w:hAnsi="Times New Roman" w:cs="Times New Roman" w:hint="eastAsia"/>
          <w:sz w:val="32"/>
          <w:szCs w:val="30"/>
        </w:rPr>
        <w:t>》</w:t>
      </w:r>
      <w:r w:rsidR="000E39F4" w:rsidRPr="003E7DAA">
        <w:rPr>
          <w:rFonts w:ascii="Times New Roman" w:eastAsia="仿宋" w:hAnsi="Times New Roman" w:cs="Times New Roman" w:hint="eastAsia"/>
          <w:sz w:val="32"/>
          <w:szCs w:val="30"/>
        </w:rPr>
        <w:t>为准</w:t>
      </w:r>
      <w:r w:rsidR="00151E29" w:rsidRPr="003E7DAA">
        <w:rPr>
          <w:rFonts w:ascii="Times New Roman" w:eastAsia="仿宋" w:hAnsi="Times New Roman" w:cs="Times New Roman" w:hint="eastAsia"/>
          <w:sz w:val="32"/>
          <w:szCs w:val="30"/>
        </w:rPr>
        <w:t>；</w:t>
      </w:r>
      <w:r w:rsidR="000E39F4" w:rsidRPr="003E7DAA">
        <w:rPr>
          <w:rFonts w:ascii="Times New Roman" w:eastAsia="仿宋" w:hAnsi="Times New Roman" w:cs="Times New Roman" w:hint="eastAsia"/>
          <w:sz w:val="32"/>
          <w:szCs w:val="30"/>
        </w:rPr>
        <w:t>如</w:t>
      </w:r>
      <w:r w:rsidR="00151E29" w:rsidRPr="003E7DAA">
        <w:rPr>
          <w:rFonts w:ascii="Times New Roman" w:eastAsia="仿宋" w:hAnsi="Times New Roman" w:cs="Times New Roman"/>
          <w:sz w:val="32"/>
          <w:szCs w:val="30"/>
        </w:rPr>
        <w:t>不涉及</w:t>
      </w:r>
      <w:r w:rsidR="000E39F4" w:rsidRPr="003E7DAA">
        <w:rPr>
          <w:rFonts w:ascii="Times New Roman" w:eastAsia="仿宋" w:hAnsi="Times New Roman" w:cs="Times New Roman" w:hint="eastAsia"/>
          <w:sz w:val="32"/>
          <w:szCs w:val="30"/>
        </w:rPr>
        <w:t>挂牌</w:t>
      </w:r>
      <w:r w:rsidR="000E39F4" w:rsidRPr="003E7DAA">
        <w:rPr>
          <w:rFonts w:ascii="Times New Roman" w:eastAsia="仿宋" w:hAnsi="Times New Roman" w:cs="Times New Roman"/>
          <w:sz w:val="32"/>
          <w:szCs w:val="30"/>
        </w:rPr>
        <w:t>公司</w:t>
      </w:r>
      <w:r w:rsidR="00151E29" w:rsidRPr="003E7DAA">
        <w:rPr>
          <w:rFonts w:ascii="Times New Roman" w:eastAsia="仿宋" w:hAnsi="Times New Roman" w:cs="Times New Roman"/>
          <w:sz w:val="32"/>
          <w:szCs w:val="30"/>
        </w:rPr>
        <w:t>发行股份，</w:t>
      </w:r>
      <w:r w:rsidR="00151E29" w:rsidRPr="003E7DAA">
        <w:rPr>
          <w:rFonts w:ascii="Times New Roman" w:eastAsia="仿宋" w:hAnsi="Times New Roman" w:cs="Times New Roman"/>
          <w:sz w:val="32"/>
          <w:szCs w:val="30"/>
        </w:rPr>
        <w:t>“</w:t>
      </w:r>
      <w:r w:rsidR="00151E29" w:rsidRPr="003E7DAA">
        <w:rPr>
          <w:rFonts w:ascii="Times New Roman" w:eastAsia="仿宋" w:hAnsi="Times New Roman" w:cs="Times New Roman" w:hint="eastAsia"/>
          <w:sz w:val="32"/>
          <w:szCs w:val="30"/>
        </w:rPr>
        <w:t>实施完毕</w:t>
      </w:r>
      <w:r w:rsidR="00151E29" w:rsidRPr="003E7DAA">
        <w:rPr>
          <w:rFonts w:ascii="Times New Roman" w:eastAsia="仿宋" w:hAnsi="Times New Roman" w:cs="Times New Roman"/>
          <w:sz w:val="32"/>
          <w:szCs w:val="30"/>
        </w:rPr>
        <w:t>”</w:t>
      </w:r>
      <w:r w:rsidR="000E39F4" w:rsidRPr="003E7DAA">
        <w:rPr>
          <w:rFonts w:ascii="Times New Roman" w:eastAsia="仿宋" w:hAnsi="Times New Roman" w:cs="Times New Roman" w:hint="eastAsia"/>
          <w:sz w:val="32"/>
          <w:szCs w:val="30"/>
        </w:rPr>
        <w:t>以标的资产完成过户为准</w:t>
      </w:r>
      <w:r w:rsidR="00151E29" w:rsidRPr="003E7DAA">
        <w:rPr>
          <w:rFonts w:ascii="Times New Roman" w:eastAsia="仿宋" w:hAnsi="Times New Roman" w:cs="Times New Roman" w:hint="eastAsia"/>
          <w:sz w:val="32"/>
          <w:szCs w:val="30"/>
        </w:rPr>
        <w:t>。</w:t>
      </w:r>
    </w:p>
    <w:p w:rsidR="001005A7" w:rsidRPr="00E30F83" w:rsidRDefault="000E39F4" w:rsidP="003E7DAA">
      <w:pPr>
        <w:spacing w:line="600" w:lineRule="exact"/>
        <w:ind w:firstLineChars="200" w:firstLine="640"/>
        <w:rPr>
          <w:rFonts w:ascii="Times New Roman" w:eastAsia="黑体" w:hAnsi="Times New Roman" w:cs="Times New Roman"/>
          <w:sz w:val="30"/>
          <w:szCs w:val="30"/>
        </w:rPr>
      </w:pPr>
      <w:r w:rsidRPr="003E7DAA">
        <w:rPr>
          <w:rFonts w:ascii="Times New Roman" w:eastAsia="仿宋" w:hAnsi="Times New Roman" w:cs="Times New Roman" w:hint="eastAsia"/>
          <w:sz w:val="32"/>
          <w:szCs w:val="30"/>
        </w:rPr>
        <w:lastRenderedPageBreak/>
        <w:t>对于</w:t>
      </w:r>
      <w:r w:rsidR="00151E29" w:rsidRPr="003E7DAA">
        <w:rPr>
          <w:rFonts w:ascii="Times New Roman" w:eastAsia="仿宋" w:hAnsi="Times New Roman" w:cs="Times New Roman"/>
          <w:sz w:val="32"/>
          <w:szCs w:val="30"/>
        </w:rPr>
        <w:t>出售资产构成重大资产重组的</w:t>
      </w:r>
      <w:r w:rsidRPr="003E7DAA">
        <w:rPr>
          <w:rFonts w:ascii="Times New Roman" w:eastAsia="仿宋" w:hAnsi="Times New Roman" w:cs="Times New Roman" w:hint="eastAsia"/>
          <w:sz w:val="32"/>
          <w:szCs w:val="30"/>
        </w:rPr>
        <w:t>情形</w:t>
      </w:r>
      <w:r w:rsidR="00151E29" w:rsidRPr="003E7DAA">
        <w:rPr>
          <w:rFonts w:ascii="Times New Roman" w:eastAsia="仿宋" w:hAnsi="Times New Roman" w:cs="Times New Roman" w:hint="eastAsia"/>
          <w:sz w:val="32"/>
          <w:szCs w:val="30"/>
        </w:rPr>
        <w:t>，</w:t>
      </w:r>
      <w:r w:rsidR="00151E29" w:rsidRPr="003E7DAA">
        <w:rPr>
          <w:rFonts w:ascii="Times New Roman" w:eastAsia="仿宋" w:hAnsi="Times New Roman" w:cs="Times New Roman"/>
          <w:sz w:val="32"/>
          <w:szCs w:val="30"/>
        </w:rPr>
        <w:t>“</w:t>
      </w:r>
      <w:r w:rsidR="00151E29" w:rsidRPr="003E7DAA">
        <w:rPr>
          <w:rFonts w:ascii="Times New Roman" w:eastAsia="仿宋" w:hAnsi="Times New Roman" w:cs="Times New Roman" w:hint="eastAsia"/>
          <w:sz w:val="32"/>
          <w:szCs w:val="30"/>
        </w:rPr>
        <w:t>实施完毕</w:t>
      </w:r>
      <w:r w:rsidR="00151E29" w:rsidRPr="003E7DAA">
        <w:rPr>
          <w:rFonts w:ascii="Times New Roman" w:eastAsia="仿宋" w:hAnsi="Times New Roman" w:cs="Times New Roman"/>
          <w:sz w:val="32"/>
          <w:szCs w:val="30"/>
        </w:rPr>
        <w:t>”</w:t>
      </w:r>
      <w:r w:rsidRPr="003E7DAA">
        <w:rPr>
          <w:rFonts w:ascii="Times New Roman" w:eastAsia="仿宋" w:hAnsi="Times New Roman" w:cs="Times New Roman" w:hint="eastAsia"/>
          <w:sz w:val="32"/>
          <w:szCs w:val="30"/>
        </w:rPr>
        <w:t>以</w:t>
      </w:r>
      <w:r w:rsidR="00151E29" w:rsidRPr="003E7DAA">
        <w:rPr>
          <w:rFonts w:ascii="Times New Roman" w:eastAsia="仿宋" w:hAnsi="Times New Roman" w:cs="Times New Roman" w:hint="eastAsia"/>
          <w:sz w:val="32"/>
          <w:szCs w:val="30"/>
        </w:rPr>
        <w:t>标的</w:t>
      </w:r>
      <w:r w:rsidR="00151E29">
        <w:rPr>
          <w:rFonts w:ascii="Times New Roman" w:eastAsia="方正仿宋简体" w:hAnsi="Times New Roman" w:cs="Times New Roman" w:hint="eastAsia"/>
          <w:sz w:val="30"/>
          <w:szCs w:val="30"/>
        </w:rPr>
        <w:t>资</w:t>
      </w:r>
      <w:r w:rsidR="00D63F22">
        <w:rPr>
          <w:rFonts w:ascii="Times New Roman" w:eastAsia="方正仿宋简体" w:hAnsi="Times New Roman" w:cs="Times New Roman" w:hint="eastAsia"/>
          <w:sz w:val="30"/>
          <w:szCs w:val="30"/>
        </w:rPr>
        <w:t>产</w:t>
      </w:r>
      <w:r w:rsidR="00151E29">
        <w:rPr>
          <w:rFonts w:ascii="Times New Roman" w:eastAsia="方正仿宋简体" w:hAnsi="Times New Roman" w:cs="Times New Roman" w:hint="eastAsia"/>
          <w:sz w:val="30"/>
          <w:szCs w:val="30"/>
        </w:rPr>
        <w:t>过户完毕</w:t>
      </w:r>
      <w:r w:rsidR="00151E29">
        <w:rPr>
          <w:rFonts w:ascii="Times New Roman" w:eastAsia="方正仿宋简体" w:hAnsi="Times New Roman" w:cs="Times New Roman"/>
          <w:sz w:val="30"/>
          <w:szCs w:val="30"/>
        </w:rPr>
        <w:t>且交易对价支付完毕</w:t>
      </w:r>
      <w:r>
        <w:rPr>
          <w:rFonts w:ascii="Times New Roman" w:eastAsia="方正仿宋简体" w:hAnsi="Times New Roman" w:cs="Times New Roman" w:hint="eastAsia"/>
          <w:sz w:val="30"/>
          <w:szCs w:val="30"/>
        </w:rPr>
        <w:t>为准</w:t>
      </w:r>
      <w:r w:rsidR="00151E29">
        <w:rPr>
          <w:rFonts w:ascii="Times New Roman" w:eastAsia="方正仿宋简体" w:hAnsi="Times New Roman" w:cs="Times New Roman" w:hint="eastAsia"/>
          <w:sz w:val="30"/>
          <w:szCs w:val="30"/>
        </w:rPr>
        <w:t>。</w:t>
      </w:r>
    </w:p>
    <w:sectPr w:rsidR="001005A7" w:rsidRPr="00E30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591" w:rsidRDefault="003D6591" w:rsidP="002E28D1">
      <w:r>
        <w:separator/>
      </w:r>
    </w:p>
  </w:endnote>
  <w:endnote w:type="continuationSeparator" w:id="0">
    <w:p w:rsidR="003D6591" w:rsidRDefault="003D6591" w:rsidP="002E2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591" w:rsidRDefault="003D6591" w:rsidP="002E28D1">
      <w:r>
        <w:separator/>
      </w:r>
    </w:p>
  </w:footnote>
  <w:footnote w:type="continuationSeparator" w:id="0">
    <w:p w:rsidR="003D6591" w:rsidRDefault="003D6591" w:rsidP="002E2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74"/>
    <w:rsid w:val="00003ED4"/>
    <w:rsid w:val="00080BDA"/>
    <w:rsid w:val="00094600"/>
    <w:rsid w:val="000A0BB5"/>
    <w:rsid w:val="000E39F4"/>
    <w:rsid w:val="001005A7"/>
    <w:rsid w:val="00151E29"/>
    <w:rsid w:val="00161C46"/>
    <w:rsid w:val="00197FF2"/>
    <w:rsid w:val="001D32A2"/>
    <w:rsid w:val="001F3471"/>
    <w:rsid w:val="00215AD9"/>
    <w:rsid w:val="00280162"/>
    <w:rsid w:val="002E28D1"/>
    <w:rsid w:val="0032570C"/>
    <w:rsid w:val="00385ECC"/>
    <w:rsid w:val="00394CBF"/>
    <w:rsid w:val="003D6591"/>
    <w:rsid w:val="003E7DAA"/>
    <w:rsid w:val="00414619"/>
    <w:rsid w:val="004321B5"/>
    <w:rsid w:val="0047665C"/>
    <w:rsid w:val="004A0C30"/>
    <w:rsid w:val="00506DB0"/>
    <w:rsid w:val="00514F67"/>
    <w:rsid w:val="0061338C"/>
    <w:rsid w:val="00671711"/>
    <w:rsid w:val="00685936"/>
    <w:rsid w:val="00695D95"/>
    <w:rsid w:val="006E3D70"/>
    <w:rsid w:val="00751C29"/>
    <w:rsid w:val="0083049D"/>
    <w:rsid w:val="009E48B0"/>
    <w:rsid w:val="00A4719A"/>
    <w:rsid w:val="00AA1895"/>
    <w:rsid w:val="00AA4674"/>
    <w:rsid w:val="00AC60FE"/>
    <w:rsid w:val="00C052A2"/>
    <w:rsid w:val="00C275EC"/>
    <w:rsid w:val="00D00A44"/>
    <w:rsid w:val="00D341A9"/>
    <w:rsid w:val="00D63F22"/>
    <w:rsid w:val="00D87D2F"/>
    <w:rsid w:val="00DB4273"/>
    <w:rsid w:val="00E30F83"/>
    <w:rsid w:val="00EE2AB5"/>
    <w:rsid w:val="00EF06A5"/>
    <w:rsid w:val="00F82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B461AF-3194-4528-AFEF-FB382A9D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8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28D1"/>
    <w:rPr>
      <w:sz w:val="18"/>
      <w:szCs w:val="18"/>
    </w:rPr>
  </w:style>
  <w:style w:type="paragraph" w:styleId="a4">
    <w:name w:val="footer"/>
    <w:basedOn w:val="a"/>
    <w:link w:val="Char0"/>
    <w:uiPriority w:val="99"/>
    <w:unhideWhenUsed/>
    <w:rsid w:val="002E28D1"/>
    <w:pPr>
      <w:tabs>
        <w:tab w:val="center" w:pos="4153"/>
        <w:tab w:val="right" w:pos="8306"/>
      </w:tabs>
      <w:snapToGrid w:val="0"/>
      <w:jc w:val="left"/>
    </w:pPr>
    <w:rPr>
      <w:sz w:val="18"/>
      <w:szCs w:val="18"/>
    </w:rPr>
  </w:style>
  <w:style w:type="character" w:customStyle="1" w:styleId="Char0">
    <w:name w:val="页脚 Char"/>
    <w:basedOn w:val="a0"/>
    <w:link w:val="a4"/>
    <w:uiPriority w:val="99"/>
    <w:rsid w:val="002E28D1"/>
    <w:rPr>
      <w:sz w:val="18"/>
      <w:szCs w:val="18"/>
    </w:rPr>
  </w:style>
  <w:style w:type="paragraph" w:styleId="a5">
    <w:name w:val="Balloon Text"/>
    <w:basedOn w:val="a"/>
    <w:link w:val="Char1"/>
    <w:uiPriority w:val="99"/>
    <w:semiHidden/>
    <w:unhideWhenUsed/>
    <w:rsid w:val="004321B5"/>
    <w:rPr>
      <w:sz w:val="18"/>
      <w:szCs w:val="18"/>
    </w:rPr>
  </w:style>
  <w:style w:type="character" w:customStyle="1" w:styleId="Char1">
    <w:name w:val="批注框文本 Char"/>
    <w:basedOn w:val="a0"/>
    <w:link w:val="a5"/>
    <w:uiPriority w:val="99"/>
    <w:semiHidden/>
    <w:rsid w:val="004321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32281">
      <w:bodyDiv w:val="1"/>
      <w:marLeft w:val="0"/>
      <w:marRight w:val="0"/>
      <w:marTop w:val="0"/>
      <w:marBottom w:val="0"/>
      <w:divBdr>
        <w:top w:val="none" w:sz="0" w:space="0" w:color="auto"/>
        <w:left w:val="none" w:sz="0" w:space="0" w:color="auto"/>
        <w:bottom w:val="none" w:sz="0" w:space="0" w:color="auto"/>
        <w:right w:val="none" w:sz="0" w:space="0" w:color="auto"/>
      </w:divBdr>
      <w:divsChild>
        <w:div w:id="273751655">
          <w:marLeft w:val="0"/>
          <w:marRight w:val="0"/>
          <w:marTop w:val="0"/>
          <w:marBottom w:val="0"/>
          <w:divBdr>
            <w:top w:val="none" w:sz="0" w:space="0" w:color="auto"/>
            <w:left w:val="none" w:sz="0" w:space="0" w:color="auto"/>
            <w:bottom w:val="none" w:sz="0" w:space="0" w:color="auto"/>
            <w:right w:val="none" w:sz="0" w:space="0" w:color="auto"/>
          </w:divBdr>
          <w:divsChild>
            <w:div w:id="1116288044">
              <w:marLeft w:val="0"/>
              <w:marRight w:val="0"/>
              <w:marTop w:val="0"/>
              <w:marBottom w:val="0"/>
              <w:divBdr>
                <w:top w:val="none" w:sz="0" w:space="0" w:color="auto"/>
                <w:left w:val="none" w:sz="0" w:space="0" w:color="auto"/>
                <w:bottom w:val="none" w:sz="0" w:space="0" w:color="auto"/>
                <w:right w:val="none" w:sz="0" w:space="0" w:color="auto"/>
              </w:divBdr>
              <w:divsChild>
                <w:div w:id="1442453187">
                  <w:marLeft w:val="105"/>
                  <w:marRight w:val="105"/>
                  <w:marTop w:val="0"/>
                  <w:marBottom w:val="0"/>
                  <w:divBdr>
                    <w:top w:val="none" w:sz="0" w:space="0" w:color="auto"/>
                    <w:left w:val="none" w:sz="0" w:space="0" w:color="auto"/>
                    <w:bottom w:val="none" w:sz="0" w:space="0" w:color="auto"/>
                    <w:right w:val="none" w:sz="0" w:space="0" w:color="auto"/>
                  </w:divBdr>
                  <w:divsChild>
                    <w:div w:id="880246511">
                      <w:marLeft w:val="0"/>
                      <w:marRight w:val="0"/>
                      <w:marTop w:val="0"/>
                      <w:marBottom w:val="0"/>
                      <w:divBdr>
                        <w:top w:val="none" w:sz="0" w:space="0" w:color="auto"/>
                        <w:left w:val="none" w:sz="0" w:space="0" w:color="auto"/>
                        <w:bottom w:val="none" w:sz="0" w:space="0" w:color="auto"/>
                        <w:right w:val="none" w:sz="0" w:space="0" w:color="auto"/>
                      </w:divBdr>
                      <w:divsChild>
                        <w:div w:id="70975926">
                          <w:marLeft w:val="0"/>
                          <w:marRight w:val="0"/>
                          <w:marTop w:val="0"/>
                          <w:marBottom w:val="0"/>
                          <w:divBdr>
                            <w:top w:val="none" w:sz="0" w:space="0" w:color="auto"/>
                            <w:left w:val="none" w:sz="0" w:space="0" w:color="auto"/>
                            <w:bottom w:val="single" w:sz="12" w:space="11"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赵玉杰</dc:creator>
  <cp:keywords/>
  <dc:description/>
  <cp:lastModifiedBy>文印室wys</cp:lastModifiedBy>
  <cp:revision>29</cp:revision>
  <cp:lastPrinted>2017-04-18T09:54:00Z</cp:lastPrinted>
  <dcterms:created xsi:type="dcterms:W3CDTF">2017-04-05T00:20:00Z</dcterms:created>
  <dcterms:modified xsi:type="dcterms:W3CDTF">2017-07-14T01:27:00Z</dcterms:modified>
</cp:coreProperties>
</file>