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C0C78" w14:textId="0E6974B8" w:rsidR="009F3D3B" w:rsidRPr="007E313D" w:rsidRDefault="009F3D3B" w:rsidP="00236302">
      <w:pPr>
        <w:spacing w:line="600" w:lineRule="exact"/>
        <w:ind w:firstLine="640"/>
        <w:rPr>
          <w:rFonts w:eastAsia="方正仿宋简体" w:cs="Times New Roman"/>
          <w:sz w:val="32"/>
          <w:szCs w:val="32"/>
        </w:rPr>
      </w:pPr>
    </w:p>
    <w:p w14:paraId="25242DC2" w14:textId="77777777" w:rsidR="002C6F9B" w:rsidRPr="00F84543" w:rsidRDefault="00A3220D" w:rsidP="00F84543">
      <w:pPr>
        <w:tabs>
          <w:tab w:val="center" w:pos="4365"/>
          <w:tab w:val="left" w:pos="6855"/>
        </w:tabs>
        <w:spacing w:line="600" w:lineRule="exact"/>
        <w:ind w:firstLineChars="0" w:firstLine="0"/>
        <w:jc w:val="center"/>
        <w:rPr>
          <w:rFonts w:eastAsia="方正大标宋简体" w:cs="Times New Roman"/>
          <w:color w:val="000000"/>
          <w:sz w:val="44"/>
          <w:szCs w:val="42"/>
        </w:rPr>
      </w:pPr>
      <w:r w:rsidRPr="00F84543">
        <w:rPr>
          <w:rFonts w:eastAsia="方正大标宋简体" w:cs="Times New Roman" w:hint="eastAsia"/>
          <w:color w:val="000000"/>
          <w:sz w:val="44"/>
          <w:szCs w:val="42"/>
        </w:rPr>
        <w:t>全国中小企业股份转让系统做市商</w:t>
      </w:r>
    </w:p>
    <w:p w14:paraId="4008DFC6" w14:textId="7D4208FC" w:rsidR="00E05FD2" w:rsidRPr="00F84543" w:rsidRDefault="00A3220D" w:rsidP="00F84543">
      <w:pPr>
        <w:tabs>
          <w:tab w:val="center" w:pos="4365"/>
          <w:tab w:val="left" w:pos="6855"/>
        </w:tabs>
        <w:spacing w:line="600" w:lineRule="exact"/>
        <w:ind w:firstLineChars="0" w:firstLine="0"/>
        <w:jc w:val="center"/>
        <w:rPr>
          <w:rFonts w:eastAsia="方正大标宋简体" w:cs="Times New Roman"/>
          <w:color w:val="000000"/>
          <w:sz w:val="44"/>
          <w:szCs w:val="42"/>
        </w:rPr>
      </w:pPr>
      <w:r w:rsidRPr="00F84543">
        <w:rPr>
          <w:rFonts w:eastAsia="方正大标宋简体" w:cs="Times New Roman" w:hint="eastAsia"/>
          <w:color w:val="000000"/>
          <w:sz w:val="44"/>
          <w:szCs w:val="42"/>
        </w:rPr>
        <w:t>评价</w:t>
      </w:r>
      <w:r w:rsidR="007737D6">
        <w:rPr>
          <w:rFonts w:eastAsia="方正大标宋简体" w:cs="Times New Roman" w:hint="eastAsia"/>
          <w:color w:val="000000"/>
          <w:sz w:val="44"/>
          <w:szCs w:val="42"/>
        </w:rPr>
        <w:t>指引</w:t>
      </w:r>
      <w:r w:rsidRPr="00F84543">
        <w:rPr>
          <w:rFonts w:eastAsia="方正大标宋简体" w:cs="Times New Roman" w:hint="eastAsia"/>
          <w:color w:val="000000"/>
          <w:sz w:val="44"/>
          <w:szCs w:val="42"/>
        </w:rPr>
        <w:t>（试行）</w:t>
      </w:r>
    </w:p>
    <w:p w14:paraId="2F7D77D6" w14:textId="77777777" w:rsidR="00A3220D" w:rsidRPr="00233F8D" w:rsidRDefault="00A3220D" w:rsidP="00236302">
      <w:pPr>
        <w:spacing w:line="600" w:lineRule="exact"/>
        <w:ind w:firstLine="640"/>
        <w:rPr>
          <w:rFonts w:cs="Times New Roman"/>
          <w:sz w:val="32"/>
          <w:szCs w:val="32"/>
        </w:rPr>
      </w:pPr>
    </w:p>
    <w:p w14:paraId="7B6B1C76" w14:textId="28AE1321" w:rsidR="00B9147A" w:rsidRPr="00F84543" w:rsidRDefault="00A3220D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第一</w:t>
      </w:r>
      <w:r w:rsidR="006C7E31"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6C7E31" w:rsidRPr="00F84543">
        <w:rPr>
          <w:rFonts w:cs="Times New Roman"/>
          <w:sz w:val="32"/>
          <w:szCs w:val="32"/>
        </w:rPr>
        <w:t>为提高</w:t>
      </w:r>
      <w:r w:rsidR="00970EBA" w:rsidRPr="00F84543">
        <w:rPr>
          <w:rFonts w:cs="Times New Roman"/>
          <w:sz w:val="32"/>
          <w:szCs w:val="32"/>
        </w:rPr>
        <w:t>全国中小企业股份转让系统</w:t>
      </w:r>
      <w:r w:rsidR="00A46229" w:rsidRPr="00F84543">
        <w:rPr>
          <w:rFonts w:cs="Times New Roman"/>
          <w:sz w:val="32"/>
          <w:szCs w:val="32"/>
        </w:rPr>
        <w:t>（以下简称全国股转系统）</w:t>
      </w:r>
      <w:r w:rsidR="006C7E31" w:rsidRPr="00F84543">
        <w:rPr>
          <w:rFonts w:cs="Times New Roman"/>
          <w:sz w:val="32"/>
          <w:szCs w:val="32"/>
        </w:rPr>
        <w:t>做市商做市</w:t>
      </w:r>
      <w:r w:rsidR="00A25C43" w:rsidRPr="00F84543">
        <w:rPr>
          <w:rFonts w:cs="Times New Roman"/>
          <w:sz w:val="32"/>
          <w:szCs w:val="32"/>
        </w:rPr>
        <w:t>报价质量</w:t>
      </w:r>
      <w:r w:rsidR="006C7E31" w:rsidRPr="00F84543">
        <w:rPr>
          <w:rFonts w:cs="Times New Roman"/>
          <w:sz w:val="32"/>
          <w:szCs w:val="32"/>
        </w:rPr>
        <w:t>，</w:t>
      </w:r>
      <w:r w:rsidR="00DB406A" w:rsidRPr="00F84543">
        <w:rPr>
          <w:rFonts w:cs="Times New Roman"/>
          <w:sz w:val="32"/>
          <w:szCs w:val="32"/>
        </w:rPr>
        <w:t>督促做市商</w:t>
      </w:r>
      <w:r w:rsidR="00F32DD7" w:rsidRPr="00F84543">
        <w:rPr>
          <w:rFonts w:cs="Times New Roman"/>
          <w:sz w:val="32"/>
          <w:szCs w:val="32"/>
        </w:rPr>
        <w:t>合</w:t>
      </w:r>
      <w:proofErr w:type="gramStart"/>
      <w:r w:rsidR="00F32DD7" w:rsidRPr="00F84543">
        <w:rPr>
          <w:rFonts w:cs="Times New Roman"/>
          <w:sz w:val="32"/>
          <w:szCs w:val="32"/>
        </w:rPr>
        <w:t>规</w:t>
      </w:r>
      <w:proofErr w:type="gramEnd"/>
      <w:r w:rsidR="00F32DD7" w:rsidRPr="00F84543">
        <w:rPr>
          <w:rFonts w:cs="Times New Roman"/>
          <w:sz w:val="32"/>
          <w:szCs w:val="32"/>
        </w:rPr>
        <w:t>做市</w:t>
      </w:r>
      <w:r w:rsidR="00970EBA" w:rsidRPr="00F84543">
        <w:rPr>
          <w:rFonts w:cs="Times New Roman"/>
          <w:sz w:val="32"/>
          <w:szCs w:val="32"/>
        </w:rPr>
        <w:t>，</w:t>
      </w:r>
      <w:r w:rsidR="006C7E31" w:rsidRPr="00F84543">
        <w:rPr>
          <w:rFonts w:cs="Times New Roman"/>
          <w:sz w:val="32"/>
          <w:szCs w:val="32"/>
        </w:rPr>
        <w:t>根据《全国中小企业股份转让系统业务规则（试行）》</w:t>
      </w:r>
      <w:r w:rsidR="00961BC3" w:rsidRPr="00F84543">
        <w:rPr>
          <w:rFonts w:cs="Times New Roman"/>
          <w:sz w:val="32"/>
          <w:szCs w:val="32"/>
        </w:rPr>
        <w:t>（以下简称《业务规则》）</w:t>
      </w:r>
      <w:r w:rsidR="006C7E31" w:rsidRPr="00F84543">
        <w:rPr>
          <w:rFonts w:cs="Times New Roman"/>
          <w:sz w:val="32"/>
          <w:szCs w:val="32"/>
        </w:rPr>
        <w:t>、《全国中小企业股份转让系统股票转让</w:t>
      </w:r>
      <w:r w:rsidR="00441FDF">
        <w:rPr>
          <w:rFonts w:cs="Times New Roman" w:hint="eastAsia"/>
          <w:sz w:val="32"/>
          <w:szCs w:val="32"/>
        </w:rPr>
        <w:t>规则</w:t>
      </w:r>
      <w:r w:rsidR="006C7E31" w:rsidRPr="00F84543">
        <w:rPr>
          <w:rFonts w:cs="Times New Roman"/>
          <w:sz w:val="32"/>
          <w:szCs w:val="32"/>
        </w:rPr>
        <w:t>》</w:t>
      </w:r>
      <w:r w:rsidR="00441FDF">
        <w:rPr>
          <w:rFonts w:cs="Times New Roman"/>
          <w:sz w:val="32"/>
          <w:szCs w:val="32"/>
        </w:rPr>
        <w:t>（以下简称《股票转让</w:t>
      </w:r>
      <w:r w:rsidR="00441FDF">
        <w:rPr>
          <w:rFonts w:cs="Times New Roman" w:hint="eastAsia"/>
          <w:sz w:val="32"/>
          <w:szCs w:val="32"/>
        </w:rPr>
        <w:t>规则</w:t>
      </w:r>
      <w:r w:rsidR="007F2851" w:rsidRPr="00F84543">
        <w:rPr>
          <w:rFonts w:cs="Times New Roman"/>
          <w:sz w:val="32"/>
          <w:szCs w:val="32"/>
        </w:rPr>
        <w:t>》）</w:t>
      </w:r>
      <w:r w:rsidR="0021057B" w:rsidRPr="00F84543">
        <w:rPr>
          <w:rFonts w:cs="Times New Roman"/>
          <w:sz w:val="32"/>
          <w:szCs w:val="32"/>
        </w:rPr>
        <w:t>等相</w:t>
      </w:r>
      <w:r w:rsidR="00D86699" w:rsidRPr="00F84543">
        <w:rPr>
          <w:rFonts w:cs="Times New Roman"/>
          <w:sz w:val="32"/>
          <w:szCs w:val="32"/>
        </w:rPr>
        <w:t>关规定，制定本</w:t>
      </w:r>
      <w:r w:rsidR="0004708C">
        <w:rPr>
          <w:rFonts w:cs="Times New Roman"/>
          <w:sz w:val="32"/>
          <w:szCs w:val="32"/>
        </w:rPr>
        <w:t>指引</w:t>
      </w:r>
      <w:r w:rsidR="00D86699" w:rsidRPr="00F84543">
        <w:rPr>
          <w:rFonts w:cs="Times New Roman"/>
          <w:sz w:val="32"/>
          <w:szCs w:val="32"/>
        </w:rPr>
        <w:t>。</w:t>
      </w:r>
    </w:p>
    <w:p w14:paraId="572FE542" w14:textId="271E9F98" w:rsidR="00D86699" w:rsidRPr="00F84543" w:rsidRDefault="00D86699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</w:t>
      </w:r>
      <w:r w:rsidR="00374B99" w:rsidRPr="00F84543">
        <w:rPr>
          <w:rFonts w:cs="Times New Roman"/>
          <w:b/>
          <w:sz w:val="32"/>
          <w:szCs w:val="32"/>
        </w:rPr>
        <w:t>二</w:t>
      </w:r>
      <w:r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Pr="00F84543">
        <w:rPr>
          <w:rFonts w:cs="Times New Roman"/>
          <w:sz w:val="32"/>
          <w:szCs w:val="32"/>
        </w:rPr>
        <w:t>全国</w:t>
      </w:r>
      <w:r w:rsidR="00374B99" w:rsidRPr="00F84543">
        <w:rPr>
          <w:rFonts w:cs="Times New Roman"/>
          <w:sz w:val="32"/>
          <w:szCs w:val="32"/>
        </w:rPr>
        <w:t>中小企业股份转让系统</w:t>
      </w:r>
      <w:r w:rsidR="00A511DA" w:rsidRPr="00F84543">
        <w:rPr>
          <w:rFonts w:cs="Times New Roman"/>
          <w:sz w:val="32"/>
          <w:szCs w:val="32"/>
        </w:rPr>
        <w:t>有限责任公司</w:t>
      </w:r>
      <w:r w:rsidR="00CA5232" w:rsidRPr="00F84543">
        <w:rPr>
          <w:rFonts w:cs="Times New Roman"/>
          <w:sz w:val="32"/>
          <w:szCs w:val="32"/>
        </w:rPr>
        <w:t>（以下简称全国股转公司）</w:t>
      </w:r>
      <w:r w:rsidR="00967237" w:rsidRPr="00F84543">
        <w:rPr>
          <w:rFonts w:cs="Times New Roman"/>
          <w:sz w:val="32"/>
          <w:szCs w:val="32"/>
        </w:rPr>
        <w:t>对</w:t>
      </w:r>
      <w:r w:rsidR="00A46229" w:rsidRPr="00F84543">
        <w:rPr>
          <w:rFonts w:cs="Times New Roman"/>
          <w:sz w:val="32"/>
          <w:szCs w:val="32"/>
        </w:rPr>
        <w:t>具有全国股</w:t>
      </w:r>
      <w:proofErr w:type="gramStart"/>
      <w:r w:rsidR="00A46229" w:rsidRPr="00F84543">
        <w:rPr>
          <w:rFonts w:cs="Times New Roman"/>
          <w:sz w:val="32"/>
          <w:szCs w:val="32"/>
        </w:rPr>
        <w:t>转系统</w:t>
      </w:r>
      <w:r w:rsidRPr="00F84543">
        <w:rPr>
          <w:rFonts w:cs="Times New Roman"/>
          <w:sz w:val="32"/>
          <w:szCs w:val="32"/>
        </w:rPr>
        <w:t>做市业务</w:t>
      </w:r>
      <w:proofErr w:type="gramEnd"/>
      <w:r w:rsidRPr="00F84543">
        <w:rPr>
          <w:rFonts w:cs="Times New Roman"/>
          <w:sz w:val="32"/>
          <w:szCs w:val="32"/>
        </w:rPr>
        <w:t>资格的</w:t>
      </w:r>
      <w:r w:rsidR="00967237" w:rsidRPr="00F84543">
        <w:rPr>
          <w:rFonts w:cs="Times New Roman"/>
          <w:sz w:val="32"/>
          <w:szCs w:val="32"/>
        </w:rPr>
        <w:t>做市商进行评价</w:t>
      </w:r>
      <w:r w:rsidRPr="00F84543">
        <w:rPr>
          <w:rFonts w:cs="Times New Roman"/>
          <w:sz w:val="32"/>
          <w:szCs w:val="32"/>
        </w:rPr>
        <w:t>。</w:t>
      </w:r>
    </w:p>
    <w:p w14:paraId="70638873" w14:textId="38F43B5C" w:rsidR="00F60C76" w:rsidRPr="00F84543" w:rsidRDefault="002458E3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</w:t>
      </w:r>
      <w:r w:rsidR="00F171AC" w:rsidRPr="00F84543">
        <w:rPr>
          <w:rFonts w:cs="Times New Roman"/>
          <w:b/>
          <w:sz w:val="32"/>
          <w:szCs w:val="32"/>
        </w:rPr>
        <w:t>三</w:t>
      </w:r>
      <w:r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CA5232" w:rsidRPr="00F84543">
        <w:rPr>
          <w:rFonts w:cs="Times New Roman"/>
          <w:sz w:val="32"/>
          <w:szCs w:val="32"/>
        </w:rPr>
        <w:t>全国股转公司</w:t>
      </w:r>
      <w:r w:rsidR="00374B99" w:rsidRPr="00F84543">
        <w:rPr>
          <w:rFonts w:cs="Times New Roman"/>
          <w:sz w:val="32"/>
          <w:szCs w:val="32"/>
        </w:rPr>
        <w:t>根据</w:t>
      </w:r>
      <w:r w:rsidR="00167071" w:rsidRPr="00F84543">
        <w:rPr>
          <w:rFonts w:cs="Times New Roman"/>
          <w:sz w:val="32"/>
          <w:szCs w:val="32"/>
        </w:rPr>
        <w:t>做市商报价记录、</w:t>
      </w:r>
      <w:r w:rsidR="00967237" w:rsidRPr="00F84543">
        <w:rPr>
          <w:rFonts w:cs="Times New Roman"/>
          <w:sz w:val="32"/>
          <w:szCs w:val="32"/>
        </w:rPr>
        <w:t>成交记录、</w:t>
      </w:r>
      <w:r w:rsidR="00167071" w:rsidRPr="00F84543">
        <w:rPr>
          <w:rFonts w:cs="Times New Roman"/>
          <w:sz w:val="32"/>
          <w:szCs w:val="32"/>
        </w:rPr>
        <w:t>监控记录和监管记录</w:t>
      </w:r>
      <w:r w:rsidR="00374B99" w:rsidRPr="00F84543">
        <w:rPr>
          <w:rFonts w:cs="Times New Roman"/>
          <w:sz w:val="32"/>
          <w:szCs w:val="32"/>
        </w:rPr>
        <w:t>对做市商</w:t>
      </w:r>
      <w:r w:rsidR="00D22F0F" w:rsidRPr="00F84543">
        <w:rPr>
          <w:rFonts w:cs="Times New Roman"/>
          <w:sz w:val="32"/>
          <w:szCs w:val="32"/>
        </w:rPr>
        <w:t>的做市行为</w:t>
      </w:r>
      <w:r w:rsidRPr="00F84543">
        <w:rPr>
          <w:rFonts w:cs="Times New Roman"/>
          <w:sz w:val="32"/>
          <w:szCs w:val="32"/>
        </w:rPr>
        <w:t>进行</w:t>
      </w:r>
      <w:r w:rsidR="00F60C76" w:rsidRPr="00F84543">
        <w:rPr>
          <w:rFonts w:cs="Times New Roman"/>
          <w:sz w:val="32"/>
          <w:szCs w:val="32"/>
        </w:rPr>
        <w:t>评价。</w:t>
      </w:r>
    </w:p>
    <w:p w14:paraId="0676E0B0" w14:textId="3926D006" w:rsidR="002458E3" w:rsidRPr="00F84543" w:rsidRDefault="00F60C76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</w:t>
      </w:r>
      <w:r w:rsidR="00F935EE" w:rsidRPr="00F84543">
        <w:rPr>
          <w:rFonts w:cs="Times New Roman"/>
          <w:b/>
          <w:sz w:val="32"/>
          <w:szCs w:val="32"/>
        </w:rPr>
        <w:t>四</w:t>
      </w:r>
      <w:r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Pr="00F84543">
        <w:rPr>
          <w:rFonts w:cs="Times New Roman"/>
          <w:sz w:val="32"/>
          <w:szCs w:val="32"/>
        </w:rPr>
        <w:t>全国股转公司以自然季度为周期对做市商进行</w:t>
      </w:r>
      <w:r w:rsidR="00D21044" w:rsidRPr="00F84543">
        <w:rPr>
          <w:rFonts w:cs="Times New Roman"/>
          <w:sz w:val="32"/>
          <w:szCs w:val="32"/>
        </w:rPr>
        <w:t>季度</w:t>
      </w:r>
      <w:r w:rsidR="002458E3" w:rsidRPr="00F84543">
        <w:rPr>
          <w:rFonts w:cs="Times New Roman"/>
          <w:sz w:val="32"/>
          <w:szCs w:val="32"/>
        </w:rPr>
        <w:t>评价</w:t>
      </w:r>
      <w:r w:rsidRPr="00F84543">
        <w:rPr>
          <w:rFonts w:cs="Times New Roman"/>
          <w:sz w:val="32"/>
          <w:szCs w:val="32"/>
        </w:rPr>
        <w:t>，以自然年为周期对做市商进行</w:t>
      </w:r>
      <w:r w:rsidR="00D21044" w:rsidRPr="00F84543">
        <w:rPr>
          <w:rFonts w:cs="Times New Roman"/>
          <w:sz w:val="32"/>
          <w:szCs w:val="32"/>
        </w:rPr>
        <w:t>年度</w:t>
      </w:r>
      <w:bookmarkStart w:id="0" w:name="_GoBack"/>
      <w:bookmarkEnd w:id="0"/>
      <w:r w:rsidR="00D21044" w:rsidRPr="00F84543">
        <w:rPr>
          <w:rFonts w:cs="Times New Roman"/>
          <w:sz w:val="32"/>
          <w:szCs w:val="32"/>
        </w:rPr>
        <w:t>评价</w:t>
      </w:r>
      <w:r w:rsidR="002458E3" w:rsidRPr="00F84543">
        <w:rPr>
          <w:rFonts w:cs="Times New Roman"/>
          <w:sz w:val="32"/>
          <w:szCs w:val="32"/>
        </w:rPr>
        <w:t>。</w:t>
      </w:r>
    </w:p>
    <w:p w14:paraId="03E9986C" w14:textId="22AE087D" w:rsidR="00830E6E" w:rsidRPr="00F84543" w:rsidRDefault="00830E6E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</w:t>
      </w:r>
      <w:r w:rsidR="00F935EE" w:rsidRPr="00F84543">
        <w:rPr>
          <w:rFonts w:cs="Times New Roman"/>
          <w:b/>
          <w:sz w:val="32"/>
          <w:szCs w:val="32"/>
        </w:rPr>
        <w:t>五</w:t>
      </w:r>
      <w:r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670E5A" w:rsidRPr="00F84543">
        <w:rPr>
          <w:rFonts w:cs="Times New Roman"/>
          <w:sz w:val="32"/>
          <w:szCs w:val="32"/>
        </w:rPr>
        <w:t>做市商评价</w:t>
      </w:r>
      <w:r w:rsidR="00967237" w:rsidRPr="00F84543">
        <w:rPr>
          <w:rFonts w:cs="Times New Roman"/>
          <w:sz w:val="32"/>
          <w:szCs w:val="32"/>
        </w:rPr>
        <w:t>采用评分制，评分</w:t>
      </w:r>
      <w:proofErr w:type="gramStart"/>
      <w:r w:rsidR="00967237" w:rsidRPr="00F84543">
        <w:rPr>
          <w:rFonts w:cs="Times New Roman"/>
          <w:sz w:val="32"/>
          <w:szCs w:val="32"/>
        </w:rPr>
        <w:t>项</w:t>
      </w:r>
      <w:r w:rsidR="00D12CD5" w:rsidRPr="00F84543">
        <w:rPr>
          <w:rFonts w:cs="Times New Roman"/>
          <w:sz w:val="32"/>
          <w:szCs w:val="32"/>
        </w:rPr>
        <w:t>包括</w:t>
      </w:r>
      <w:proofErr w:type="gramEnd"/>
      <w:r w:rsidR="00775680" w:rsidRPr="00F84543">
        <w:rPr>
          <w:rFonts w:cs="Times New Roman"/>
          <w:sz w:val="32"/>
          <w:szCs w:val="32"/>
        </w:rPr>
        <w:t>得分项与减分项。得分</w:t>
      </w:r>
      <w:proofErr w:type="gramStart"/>
      <w:r w:rsidR="00775680" w:rsidRPr="00F84543">
        <w:rPr>
          <w:rFonts w:cs="Times New Roman"/>
          <w:sz w:val="32"/>
          <w:szCs w:val="32"/>
        </w:rPr>
        <w:t>项</w:t>
      </w:r>
      <w:r w:rsidR="002458E3" w:rsidRPr="00F84543">
        <w:rPr>
          <w:rFonts w:cs="Times New Roman"/>
          <w:sz w:val="32"/>
          <w:szCs w:val="32"/>
        </w:rPr>
        <w:t>评价</w:t>
      </w:r>
      <w:r w:rsidR="00775680" w:rsidRPr="00F84543">
        <w:rPr>
          <w:rFonts w:cs="Times New Roman"/>
          <w:sz w:val="32"/>
          <w:szCs w:val="32"/>
        </w:rPr>
        <w:t>做</w:t>
      </w:r>
      <w:proofErr w:type="gramEnd"/>
      <w:r w:rsidR="00775680" w:rsidRPr="00F84543">
        <w:rPr>
          <w:rFonts w:cs="Times New Roman"/>
          <w:sz w:val="32"/>
          <w:szCs w:val="32"/>
        </w:rPr>
        <w:t>市商</w:t>
      </w:r>
      <w:r w:rsidR="00A46229" w:rsidRPr="00F84543">
        <w:rPr>
          <w:rFonts w:cs="Times New Roman"/>
          <w:sz w:val="32"/>
          <w:szCs w:val="32"/>
        </w:rPr>
        <w:t>做市规模、流动性提供情况和报价质量</w:t>
      </w:r>
      <w:r w:rsidR="00775680" w:rsidRPr="00F84543">
        <w:rPr>
          <w:rFonts w:cs="Times New Roman"/>
          <w:sz w:val="32"/>
          <w:szCs w:val="32"/>
        </w:rPr>
        <w:t>，</w:t>
      </w:r>
      <w:r w:rsidR="007F3FD7" w:rsidRPr="00F84543">
        <w:rPr>
          <w:rFonts w:cs="Times New Roman"/>
          <w:sz w:val="32"/>
          <w:szCs w:val="32"/>
        </w:rPr>
        <w:t>减分项</w:t>
      </w:r>
      <w:proofErr w:type="gramStart"/>
      <w:r w:rsidR="007F3FD7" w:rsidRPr="00F84543">
        <w:rPr>
          <w:rFonts w:cs="Times New Roman"/>
          <w:sz w:val="32"/>
          <w:szCs w:val="32"/>
        </w:rPr>
        <w:t>评价做</w:t>
      </w:r>
      <w:proofErr w:type="gramEnd"/>
      <w:r w:rsidR="007F3FD7" w:rsidRPr="00F84543">
        <w:rPr>
          <w:rFonts w:cs="Times New Roman"/>
          <w:sz w:val="32"/>
          <w:szCs w:val="32"/>
        </w:rPr>
        <w:t>市商未规范履行报价义务情况。</w:t>
      </w:r>
    </w:p>
    <w:p w14:paraId="338920C8" w14:textId="016D9F40" w:rsidR="009E0072" w:rsidRPr="00F84543" w:rsidRDefault="00E62E78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</w:t>
      </w:r>
      <w:r w:rsidR="00F935EE" w:rsidRPr="00F84543">
        <w:rPr>
          <w:rFonts w:cs="Times New Roman"/>
          <w:b/>
          <w:sz w:val="32"/>
          <w:szCs w:val="32"/>
        </w:rPr>
        <w:t>六</w:t>
      </w:r>
      <w:r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E17EE0" w:rsidRPr="00F84543">
        <w:rPr>
          <w:rFonts w:cs="Times New Roman"/>
          <w:sz w:val="32"/>
          <w:szCs w:val="32"/>
        </w:rPr>
        <w:t>得分项满分</w:t>
      </w:r>
      <w:r w:rsidR="00E17EE0" w:rsidRPr="00F84543">
        <w:rPr>
          <w:rFonts w:cs="Times New Roman"/>
          <w:sz w:val="32"/>
          <w:szCs w:val="32"/>
        </w:rPr>
        <w:t>100</w:t>
      </w:r>
      <w:r w:rsidR="00E17EE0" w:rsidRPr="00F84543">
        <w:rPr>
          <w:rFonts w:cs="Times New Roman"/>
          <w:sz w:val="32"/>
          <w:szCs w:val="32"/>
        </w:rPr>
        <w:t>分。</w:t>
      </w:r>
      <w:r w:rsidR="004C2F01" w:rsidRPr="00F84543">
        <w:rPr>
          <w:rFonts w:cs="Times New Roman"/>
          <w:sz w:val="32"/>
          <w:szCs w:val="32"/>
        </w:rPr>
        <w:t>全国股转公司</w:t>
      </w:r>
      <w:r w:rsidR="0092337A" w:rsidRPr="00F84543">
        <w:rPr>
          <w:rFonts w:cs="Times New Roman"/>
          <w:sz w:val="32"/>
          <w:szCs w:val="32"/>
        </w:rPr>
        <w:t>按照下列</w:t>
      </w:r>
      <w:r w:rsidR="004C2F01" w:rsidRPr="00F84543">
        <w:rPr>
          <w:rFonts w:cs="Times New Roman"/>
          <w:sz w:val="32"/>
          <w:szCs w:val="32"/>
        </w:rPr>
        <w:t>指标和权重</w:t>
      </w:r>
      <w:proofErr w:type="gramStart"/>
      <w:r w:rsidR="004C2F01" w:rsidRPr="00F84543">
        <w:rPr>
          <w:rFonts w:cs="Times New Roman"/>
          <w:sz w:val="32"/>
          <w:szCs w:val="32"/>
        </w:rPr>
        <w:t>计算做</w:t>
      </w:r>
      <w:proofErr w:type="gramEnd"/>
      <w:r w:rsidR="004C2F01" w:rsidRPr="00F84543">
        <w:rPr>
          <w:rFonts w:cs="Times New Roman"/>
          <w:sz w:val="32"/>
          <w:szCs w:val="32"/>
        </w:rPr>
        <w:t>市商得分项结果：</w:t>
      </w:r>
    </w:p>
    <w:p w14:paraId="6293A0B1" w14:textId="5014DF62" w:rsidR="00CB1341" w:rsidRPr="00F84543" w:rsidRDefault="004C2F01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lastRenderedPageBreak/>
        <w:t>（一）</w:t>
      </w:r>
      <w:r w:rsidR="00CB1341" w:rsidRPr="00F84543">
        <w:rPr>
          <w:rFonts w:cs="Times New Roman"/>
          <w:sz w:val="32"/>
          <w:szCs w:val="32"/>
        </w:rPr>
        <w:t>做市规模</w:t>
      </w:r>
      <w:r w:rsidR="00D22F0F" w:rsidRPr="00F84543">
        <w:rPr>
          <w:rFonts w:cs="Times New Roman"/>
          <w:sz w:val="32"/>
          <w:szCs w:val="32"/>
        </w:rPr>
        <w:t>满分</w:t>
      </w:r>
      <w:r w:rsidR="00D22F0F" w:rsidRPr="00F84543">
        <w:rPr>
          <w:rFonts w:cs="Times New Roman"/>
          <w:sz w:val="32"/>
          <w:szCs w:val="32"/>
        </w:rPr>
        <w:t>40</w:t>
      </w:r>
      <w:r w:rsidR="00D22F0F" w:rsidRPr="00F84543">
        <w:rPr>
          <w:rFonts w:cs="Times New Roman"/>
          <w:sz w:val="32"/>
          <w:szCs w:val="32"/>
        </w:rPr>
        <w:t>分，</w:t>
      </w:r>
      <w:r w:rsidR="00CB1341" w:rsidRPr="00F84543">
        <w:rPr>
          <w:rFonts w:cs="Times New Roman"/>
          <w:sz w:val="32"/>
          <w:szCs w:val="32"/>
        </w:rPr>
        <w:t>包括做市股票数量</w:t>
      </w:r>
      <w:r w:rsidR="00D22F0F" w:rsidRPr="00F84543">
        <w:rPr>
          <w:rFonts w:cs="Times New Roman"/>
          <w:sz w:val="32"/>
          <w:szCs w:val="32"/>
        </w:rPr>
        <w:t>和</w:t>
      </w:r>
      <w:r w:rsidR="00CB1341" w:rsidRPr="00F84543">
        <w:rPr>
          <w:rFonts w:cs="Times New Roman"/>
          <w:sz w:val="32"/>
          <w:szCs w:val="32"/>
        </w:rPr>
        <w:t>做市股票市值</w:t>
      </w:r>
      <w:r w:rsidR="00D22F0F" w:rsidRPr="00F84543">
        <w:rPr>
          <w:rFonts w:cs="Times New Roman"/>
          <w:sz w:val="32"/>
          <w:szCs w:val="32"/>
        </w:rPr>
        <w:t>两个</w:t>
      </w:r>
      <w:r w:rsidR="00CB1341" w:rsidRPr="00F84543">
        <w:rPr>
          <w:rFonts w:cs="Times New Roman"/>
          <w:sz w:val="32"/>
          <w:szCs w:val="32"/>
        </w:rPr>
        <w:t>指标，</w:t>
      </w:r>
      <w:r w:rsidR="00E17EE0" w:rsidRPr="00F84543">
        <w:rPr>
          <w:rFonts w:cs="Times New Roman"/>
          <w:sz w:val="32"/>
          <w:szCs w:val="32"/>
        </w:rPr>
        <w:t>各</w:t>
      </w:r>
      <w:r w:rsidRPr="00F84543">
        <w:rPr>
          <w:rFonts w:cs="Times New Roman"/>
          <w:sz w:val="32"/>
          <w:szCs w:val="32"/>
        </w:rPr>
        <w:t>指标</w:t>
      </w:r>
      <w:r w:rsidR="00E17EE0" w:rsidRPr="00F84543">
        <w:rPr>
          <w:rFonts w:cs="Times New Roman"/>
          <w:sz w:val="32"/>
          <w:szCs w:val="32"/>
        </w:rPr>
        <w:t>满分均为</w:t>
      </w:r>
      <w:r w:rsidR="00E17EE0" w:rsidRPr="00F84543">
        <w:rPr>
          <w:rFonts w:cs="Times New Roman"/>
          <w:sz w:val="32"/>
          <w:szCs w:val="32"/>
        </w:rPr>
        <w:t>20</w:t>
      </w:r>
      <w:r w:rsidR="00E17EE0" w:rsidRPr="00F84543">
        <w:rPr>
          <w:rFonts w:cs="Times New Roman"/>
          <w:sz w:val="32"/>
          <w:szCs w:val="32"/>
        </w:rPr>
        <w:t>分</w:t>
      </w:r>
      <w:r w:rsidR="00CB1341" w:rsidRPr="00F84543">
        <w:rPr>
          <w:rFonts w:cs="Times New Roman"/>
          <w:sz w:val="32"/>
          <w:szCs w:val="32"/>
        </w:rPr>
        <w:t>。</w:t>
      </w:r>
    </w:p>
    <w:p w14:paraId="2EBB6AD0" w14:textId="33A3066C" w:rsidR="00967237" w:rsidRPr="00F84543" w:rsidRDefault="004C2F01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（二）</w:t>
      </w:r>
      <w:r w:rsidR="00967237" w:rsidRPr="00F84543">
        <w:rPr>
          <w:rFonts w:cs="Times New Roman"/>
          <w:sz w:val="32"/>
          <w:szCs w:val="32"/>
        </w:rPr>
        <w:t>流动性提供情况</w:t>
      </w:r>
      <w:r w:rsidR="00D22F0F" w:rsidRPr="00F84543">
        <w:rPr>
          <w:rFonts w:cs="Times New Roman"/>
          <w:sz w:val="32"/>
          <w:szCs w:val="32"/>
        </w:rPr>
        <w:t>满分</w:t>
      </w:r>
      <w:r w:rsidR="00D22F0F" w:rsidRPr="00F84543">
        <w:rPr>
          <w:rFonts w:cs="Times New Roman"/>
          <w:sz w:val="32"/>
          <w:szCs w:val="32"/>
        </w:rPr>
        <w:t>40</w:t>
      </w:r>
      <w:r w:rsidR="00D22F0F" w:rsidRPr="00F84543">
        <w:rPr>
          <w:rFonts w:cs="Times New Roman"/>
          <w:sz w:val="32"/>
          <w:szCs w:val="32"/>
        </w:rPr>
        <w:t>分，</w:t>
      </w:r>
      <w:r w:rsidR="00967237" w:rsidRPr="00F84543">
        <w:rPr>
          <w:rFonts w:cs="Times New Roman"/>
          <w:sz w:val="32"/>
          <w:szCs w:val="32"/>
        </w:rPr>
        <w:t>包括做市</w:t>
      </w:r>
      <w:proofErr w:type="gramStart"/>
      <w:r w:rsidR="00967237" w:rsidRPr="00F84543">
        <w:rPr>
          <w:rFonts w:cs="Times New Roman"/>
          <w:sz w:val="32"/>
          <w:szCs w:val="32"/>
        </w:rPr>
        <w:t>商成交</w:t>
      </w:r>
      <w:proofErr w:type="gramEnd"/>
      <w:r w:rsidR="00967237" w:rsidRPr="00F84543">
        <w:rPr>
          <w:rFonts w:cs="Times New Roman"/>
          <w:sz w:val="32"/>
          <w:szCs w:val="32"/>
        </w:rPr>
        <w:t>金额、个股成交量占比</w:t>
      </w:r>
      <w:r w:rsidR="00D22F0F" w:rsidRPr="00F84543">
        <w:rPr>
          <w:rFonts w:cs="Times New Roman"/>
          <w:sz w:val="32"/>
          <w:szCs w:val="32"/>
        </w:rPr>
        <w:t>和</w:t>
      </w:r>
      <w:r w:rsidR="00967237" w:rsidRPr="00F84543">
        <w:rPr>
          <w:rFonts w:cs="Times New Roman"/>
          <w:sz w:val="32"/>
          <w:szCs w:val="32"/>
        </w:rPr>
        <w:t>订</w:t>
      </w:r>
      <w:r w:rsidR="00F37FD8" w:rsidRPr="00F84543">
        <w:rPr>
          <w:rFonts w:cs="Times New Roman"/>
          <w:sz w:val="32"/>
          <w:szCs w:val="32"/>
        </w:rPr>
        <w:t>单深度</w:t>
      </w:r>
      <w:r w:rsidR="00D22F0F" w:rsidRPr="00F84543">
        <w:rPr>
          <w:rFonts w:cs="Times New Roman"/>
          <w:sz w:val="32"/>
          <w:szCs w:val="32"/>
        </w:rPr>
        <w:t>三个</w:t>
      </w:r>
      <w:r w:rsidRPr="00F84543">
        <w:rPr>
          <w:rFonts w:cs="Times New Roman"/>
          <w:sz w:val="32"/>
          <w:szCs w:val="32"/>
        </w:rPr>
        <w:t>指标</w:t>
      </w:r>
      <w:r w:rsidR="00F37FD8" w:rsidRPr="00F84543">
        <w:rPr>
          <w:rFonts w:cs="Times New Roman"/>
          <w:sz w:val="32"/>
          <w:szCs w:val="32"/>
        </w:rPr>
        <w:t>，</w:t>
      </w:r>
      <w:r w:rsidR="00E17EE0" w:rsidRPr="00F84543">
        <w:rPr>
          <w:rFonts w:cs="Times New Roman"/>
          <w:sz w:val="32"/>
          <w:szCs w:val="32"/>
        </w:rPr>
        <w:t>各</w:t>
      </w:r>
      <w:r w:rsidRPr="00F84543">
        <w:rPr>
          <w:rFonts w:cs="Times New Roman"/>
          <w:sz w:val="32"/>
          <w:szCs w:val="32"/>
        </w:rPr>
        <w:t>指标</w:t>
      </w:r>
      <w:r w:rsidR="00E17EE0" w:rsidRPr="00F84543">
        <w:rPr>
          <w:rFonts w:cs="Times New Roman"/>
          <w:sz w:val="32"/>
          <w:szCs w:val="32"/>
        </w:rPr>
        <w:t>满分</w:t>
      </w:r>
      <w:r w:rsidR="00BB20E0" w:rsidRPr="00F84543">
        <w:rPr>
          <w:rFonts w:cs="Times New Roman"/>
          <w:sz w:val="32"/>
          <w:szCs w:val="32"/>
        </w:rPr>
        <w:t>依次</w:t>
      </w:r>
      <w:r w:rsidRPr="00F84543">
        <w:rPr>
          <w:rFonts w:cs="Times New Roman"/>
          <w:sz w:val="32"/>
          <w:szCs w:val="32"/>
        </w:rPr>
        <w:t>为</w:t>
      </w:r>
      <w:r w:rsidRPr="00F84543">
        <w:rPr>
          <w:rFonts w:cs="Times New Roman"/>
          <w:sz w:val="32"/>
          <w:szCs w:val="32"/>
        </w:rPr>
        <w:t>20</w:t>
      </w:r>
      <w:r w:rsidR="00E17EE0" w:rsidRPr="00F84543">
        <w:rPr>
          <w:rFonts w:cs="Times New Roman"/>
          <w:sz w:val="32"/>
          <w:szCs w:val="32"/>
        </w:rPr>
        <w:t>分</w:t>
      </w:r>
      <w:r w:rsidRPr="00F84543">
        <w:rPr>
          <w:rFonts w:cs="Times New Roman"/>
          <w:sz w:val="32"/>
          <w:szCs w:val="32"/>
        </w:rPr>
        <w:t>、</w:t>
      </w:r>
      <w:r w:rsidRPr="00F84543">
        <w:rPr>
          <w:rFonts w:cs="Times New Roman"/>
          <w:sz w:val="32"/>
          <w:szCs w:val="32"/>
        </w:rPr>
        <w:t>10</w:t>
      </w:r>
      <w:r w:rsidR="00E17EE0" w:rsidRPr="00F84543">
        <w:rPr>
          <w:rFonts w:cs="Times New Roman"/>
          <w:sz w:val="32"/>
          <w:szCs w:val="32"/>
        </w:rPr>
        <w:t>分</w:t>
      </w:r>
      <w:r w:rsidRPr="00F84543">
        <w:rPr>
          <w:rFonts w:cs="Times New Roman"/>
          <w:sz w:val="32"/>
          <w:szCs w:val="32"/>
        </w:rPr>
        <w:t>、</w:t>
      </w:r>
      <w:r w:rsidRPr="00F84543">
        <w:rPr>
          <w:rFonts w:cs="Times New Roman"/>
          <w:sz w:val="32"/>
          <w:szCs w:val="32"/>
        </w:rPr>
        <w:t>10</w:t>
      </w:r>
      <w:r w:rsidR="00E17EE0" w:rsidRPr="00F84543">
        <w:rPr>
          <w:rFonts w:cs="Times New Roman"/>
          <w:sz w:val="32"/>
          <w:szCs w:val="32"/>
        </w:rPr>
        <w:t>分</w:t>
      </w:r>
      <w:r w:rsidR="00F37FD8" w:rsidRPr="00F84543">
        <w:rPr>
          <w:rFonts w:cs="Times New Roman"/>
          <w:sz w:val="32"/>
          <w:szCs w:val="32"/>
        </w:rPr>
        <w:t>。</w:t>
      </w:r>
    </w:p>
    <w:p w14:paraId="66FD730E" w14:textId="2B782DA9" w:rsidR="00967237" w:rsidRPr="00F84543" w:rsidRDefault="004C2F01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（三）</w:t>
      </w:r>
      <w:r w:rsidR="008E2006" w:rsidRPr="00F84543">
        <w:rPr>
          <w:rFonts w:cs="Times New Roman"/>
          <w:sz w:val="32"/>
          <w:szCs w:val="32"/>
        </w:rPr>
        <w:t>报价质量</w:t>
      </w:r>
      <w:r w:rsidR="00D22F0F" w:rsidRPr="00F84543">
        <w:rPr>
          <w:rFonts w:cs="Times New Roman"/>
          <w:sz w:val="32"/>
          <w:szCs w:val="32"/>
        </w:rPr>
        <w:t>满分</w:t>
      </w:r>
      <w:r w:rsidR="00D22F0F" w:rsidRPr="00F84543">
        <w:rPr>
          <w:rFonts w:cs="Times New Roman"/>
          <w:sz w:val="32"/>
          <w:szCs w:val="32"/>
        </w:rPr>
        <w:t>20</w:t>
      </w:r>
      <w:r w:rsidR="00D22F0F" w:rsidRPr="00F84543">
        <w:rPr>
          <w:rFonts w:cs="Times New Roman"/>
          <w:sz w:val="32"/>
          <w:szCs w:val="32"/>
        </w:rPr>
        <w:t>分，</w:t>
      </w:r>
      <w:r w:rsidR="00967237" w:rsidRPr="00F84543">
        <w:rPr>
          <w:rFonts w:cs="Times New Roman"/>
          <w:sz w:val="32"/>
          <w:szCs w:val="32"/>
        </w:rPr>
        <w:t>包括做市商最优报价时间</w:t>
      </w:r>
      <w:r w:rsidR="00D22F0F" w:rsidRPr="00F84543">
        <w:rPr>
          <w:rFonts w:cs="Times New Roman"/>
          <w:sz w:val="32"/>
          <w:szCs w:val="32"/>
        </w:rPr>
        <w:t>和</w:t>
      </w:r>
      <w:r w:rsidR="00967237" w:rsidRPr="00F84543">
        <w:rPr>
          <w:rFonts w:cs="Times New Roman"/>
          <w:sz w:val="32"/>
          <w:szCs w:val="32"/>
        </w:rPr>
        <w:t>买卖价差</w:t>
      </w:r>
      <w:r w:rsidR="00D22F0F" w:rsidRPr="00F84543">
        <w:rPr>
          <w:rFonts w:cs="Times New Roman"/>
          <w:sz w:val="32"/>
          <w:szCs w:val="32"/>
        </w:rPr>
        <w:t>两个</w:t>
      </w:r>
      <w:r w:rsidR="00F37FD8" w:rsidRPr="00F84543">
        <w:rPr>
          <w:rFonts w:cs="Times New Roman"/>
          <w:sz w:val="32"/>
          <w:szCs w:val="32"/>
        </w:rPr>
        <w:t>指标，</w:t>
      </w:r>
      <w:r w:rsidR="00E17EE0" w:rsidRPr="00F84543">
        <w:rPr>
          <w:rFonts w:cs="Times New Roman"/>
          <w:sz w:val="32"/>
          <w:szCs w:val="32"/>
        </w:rPr>
        <w:t>各</w:t>
      </w:r>
      <w:r w:rsidRPr="00F84543">
        <w:rPr>
          <w:rFonts w:cs="Times New Roman"/>
          <w:sz w:val="32"/>
          <w:szCs w:val="32"/>
        </w:rPr>
        <w:t>指标</w:t>
      </w:r>
      <w:r w:rsidR="00E17EE0" w:rsidRPr="00F84543">
        <w:rPr>
          <w:rFonts w:cs="Times New Roman"/>
          <w:sz w:val="32"/>
          <w:szCs w:val="32"/>
        </w:rPr>
        <w:t>满分均为</w:t>
      </w:r>
      <w:r w:rsidRPr="00F84543">
        <w:rPr>
          <w:rFonts w:cs="Times New Roman"/>
          <w:sz w:val="32"/>
          <w:szCs w:val="32"/>
        </w:rPr>
        <w:t>10</w:t>
      </w:r>
      <w:r w:rsidR="00E17EE0" w:rsidRPr="00F84543">
        <w:rPr>
          <w:rFonts w:cs="Times New Roman"/>
          <w:sz w:val="32"/>
          <w:szCs w:val="32"/>
        </w:rPr>
        <w:t>分</w:t>
      </w:r>
      <w:r w:rsidR="00967237" w:rsidRPr="00F84543">
        <w:rPr>
          <w:rFonts w:cs="Times New Roman"/>
          <w:sz w:val="32"/>
          <w:szCs w:val="32"/>
        </w:rPr>
        <w:t>。</w:t>
      </w:r>
    </w:p>
    <w:p w14:paraId="2EB91721" w14:textId="35A9955D" w:rsidR="00F37FD8" w:rsidRPr="00F84543" w:rsidRDefault="00074F55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</w:t>
      </w:r>
      <w:r w:rsidR="00F935EE" w:rsidRPr="00F84543">
        <w:rPr>
          <w:rFonts w:cs="Times New Roman"/>
          <w:b/>
          <w:sz w:val="32"/>
          <w:szCs w:val="32"/>
        </w:rPr>
        <w:t>七</w:t>
      </w:r>
      <w:r w:rsidR="00C601D7"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525BAB" w:rsidRPr="00F84543">
        <w:rPr>
          <w:rFonts w:cs="Times New Roman"/>
          <w:sz w:val="32"/>
          <w:szCs w:val="32"/>
        </w:rPr>
        <w:t>做市商违反《股票转让</w:t>
      </w:r>
      <w:r w:rsidR="00441FDF">
        <w:rPr>
          <w:rFonts w:cs="Times New Roman" w:hint="eastAsia"/>
          <w:sz w:val="32"/>
          <w:szCs w:val="32"/>
        </w:rPr>
        <w:t>规则</w:t>
      </w:r>
      <w:r w:rsidR="00525BAB" w:rsidRPr="00F84543">
        <w:rPr>
          <w:rFonts w:cs="Times New Roman"/>
          <w:sz w:val="32"/>
          <w:szCs w:val="32"/>
        </w:rPr>
        <w:t>》第四十</w:t>
      </w:r>
      <w:r w:rsidR="00C93CD9" w:rsidRPr="00F84543">
        <w:rPr>
          <w:rFonts w:cs="Times New Roman"/>
          <w:sz w:val="32"/>
          <w:szCs w:val="32"/>
        </w:rPr>
        <w:t>七</w:t>
      </w:r>
      <w:r w:rsidR="00525BAB" w:rsidRPr="00F84543">
        <w:rPr>
          <w:rFonts w:cs="Times New Roman"/>
          <w:sz w:val="32"/>
          <w:szCs w:val="32"/>
        </w:rPr>
        <w:t>条、</w:t>
      </w:r>
      <w:r w:rsidR="000446B0" w:rsidRPr="00F84543">
        <w:rPr>
          <w:rFonts w:cs="Times New Roman"/>
          <w:sz w:val="32"/>
          <w:szCs w:val="32"/>
        </w:rPr>
        <w:t>第</w:t>
      </w:r>
      <w:r w:rsidR="00525BAB" w:rsidRPr="00F84543">
        <w:rPr>
          <w:rFonts w:cs="Times New Roman"/>
          <w:sz w:val="32"/>
          <w:szCs w:val="32"/>
        </w:rPr>
        <w:t>五十条</w:t>
      </w:r>
      <w:r w:rsidR="009E6EFD" w:rsidRPr="00F84543">
        <w:rPr>
          <w:rFonts w:cs="Times New Roman"/>
          <w:sz w:val="32"/>
          <w:szCs w:val="32"/>
        </w:rPr>
        <w:t>至</w:t>
      </w:r>
      <w:r w:rsidR="00035A7F" w:rsidRPr="00F84543">
        <w:rPr>
          <w:rFonts w:cs="Times New Roman"/>
          <w:sz w:val="32"/>
          <w:szCs w:val="32"/>
        </w:rPr>
        <w:t>五十三条</w:t>
      </w:r>
      <w:r w:rsidR="00525BAB" w:rsidRPr="00F84543">
        <w:rPr>
          <w:rFonts w:cs="Times New Roman"/>
          <w:sz w:val="32"/>
          <w:szCs w:val="32"/>
        </w:rPr>
        <w:t>规定</w:t>
      </w:r>
      <w:r w:rsidR="007F2851" w:rsidRPr="00F84543">
        <w:rPr>
          <w:rFonts w:cs="Times New Roman"/>
          <w:sz w:val="32"/>
          <w:szCs w:val="32"/>
        </w:rPr>
        <w:t>的，</w:t>
      </w:r>
      <w:r w:rsidR="00F37FD8" w:rsidRPr="00F84543">
        <w:rPr>
          <w:rFonts w:cs="Times New Roman"/>
          <w:sz w:val="32"/>
          <w:szCs w:val="32"/>
        </w:rPr>
        <w:t>全国股转公司根据做市商</w:t>
      </w:r>
      <w:r w:rsidR="007F2851" w:rsidRPr="00F84543">
        <w:rPr>
          <w:rFonts w:cs="Times New Roman"/>
          <w:sz w:val="32"/>
          <w:szCs w:val="32"/>
        </w:rPr>
        <w:t>违规</w:t>
      </w:r>
      <w:r w:rsidR="00F37FD8" w:rsidRPr="00F84543">
        <w:rPr>
          <w:rFonts w:cs="Times New Roman"/>
          <w:sz w:val="32"/>
          <w:szCs w:val="32"/>
        </w:rPr>
        <w:t>次数</w:t>
      </w:r>
      <w:r w:rsidR="007F2851" w:rsidRPr="00F84543">
        <w:rPr>
          <w:rFonts w:cs="Times New Roman"/>
          <w:sz w:val="32"/>
          <w:szCs w:val="32"/>
        </w:rPr>
        <w:t>及</w:t>
      </w:r>
      <w:r w:rsidR="00F37FD8" w:rsidRPr="00F84543">
        <w:rPr>
          <w:rFonts w:cs="Times New Roman"/>
          <w:sz w:val="32"/>
          <w:szCs w:val="32"/>
        </w:rPr>
        <w:t>日均做市股票数量综合确定减分项结果。</w:t>
      </w:r>
    </w:p>
    <w:p w14:paraId="0E30FCF3" w14:textId="3C30A442" w:rsidR="00167071" w:rsidRPr="00F84543" w:rsidRDefault="00167071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</w:t>
      </w:r>
      <w:r w:rsidR="00F935EE" w:rsidRPr="00F84543">
        <w:rPr>
          <w:rFonts w:cs="Times New Roman"/>
          <w:b/>
          <w:sz w:val="32"/>
          <w:szCs w:val="32"/>
        </w:rPr>
        <w:t>八</w:t>
      </w:r>
      <w:r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5F1994" w:rsidRPr="00F84543">
        <w:rPr>
          <w:rFonts w:cs="Times New Roman"/>
          <w:sz w:val="32"/>
          <w:szCs w:val="32"/>
        </w:rPr>
        <w:t>全国股转公司根据得分项与减分项结果</w:t>
      </w:r>
      <w:proofErr w:type="gramStart"/>
      <w:r w:rsidR="005F1994" w:rsidRPr="00F84543">
        <w:rPr>
          <w:rFonts w:cs="Times New Roman"/>
          <w:sz w:val="32"/>
          <w:szCs w:val="32"/>
        </w:rPr>
        <w:t>计算做</w:t>
      </w:r>
      <w:proofErr w:type="gramEnd"/>
      <w:r w:rsidR="005F1994" w:rsidRPr="00F84543">
        <w:rPr>
          <w:rFonts w:cs="Times New Roman"/>
          <w:sz w:val="32"/>
          <w:szCs w:val="32"/>
        </w:rPr>
        <w:t>市商</w:t>
      </w:r>
      <w:r w:rsidR="00255CBA" w:rsidRPr="00F84543">
        <w:rPr>
          <w:rFonts w:cs="Times New Roman"/>
          <w:sz w:val="32"/>
          <w:szCs w:val="32"/>
        </w:rPr>
        <w:t>季度</w:t>
      </w:r>
      <w:r w:rsidR="005F1994" w:rsidRPr="00F84543">
        <w:rPr>
          <w:rFonts w:cs="Times New Roman"/>
          <w:sz w:val="32"/>
          <w:szCs w:val="32"/>
        </w:rPr>
        <w:t>综合评价排名，并</w:t>
      </w:r>
      <w:r w:rsidR="00D21044" w:rsidRPr="00F84543">
        <w:rPr>
          <w:rFonts w:cs="Times New Roman"/>
          <w:sz w:val="32"/>
          <w:szCs w:val="32"/>
        </w:rPr>
        <w:t>按</w:t>
      </w:r>
      <w:r w:rsidR="002C092A" w:rsidRPr="00F84543">
        <w:rPr>
          <w:rFonts w:cs="Times New Roman"/>
          <w:sz w:val="32"/>
          <w:szCs w:val="32"/>
        </w:rPr>
        <w:t>照</w:t>
      </w:r>
      <w:r w:rsidR="0092337A" w:rsidRPr="00F84543">
        <w:rPr>
          <w:rFonts w:cs="Times New Roman"/>
          <w:sz w:val="32"/>
          <w:szCs w:val="32"/>
        </w:rPr>
        <w:t>下列</w:t>
      </w:r>
      <w:r w:rsidR="00D21044" w:rsidRPr="00F84543">
        <w:rPr>
          <w:rFonts w:cs="Times New Roman"/>
          <w:sz w:val="32"/>
          <w:szCs w:val="32"/>
        </w:rPr>
        <w:t>标准</w:t>
      </w:r>
      <w:proofErr w:type="gramStart"/>
      <w:r w:rsidR="00BE730C" w:rsidRPr="00F84543">
        <w:rPr>
          <w:rFonts w:cs="Times New Roman"/>
          <w:sz w:val="32"/>
          <w:szCs w:val="32"/>
        </w:rPr>
        <w:t>减免做市商</w:t>
      </w:r>
      <w:r w:rsidR="002734D1" w:rsidRPr="00F84543">
        <w:rPr>
          <w:rFonts w:cs="Times New Roman"/>
          <w:sz w:val="32"/>
          <w:szCs w:val="32"/>
        </w:rPr>
        <w:t>当</w:t>
      </w:r>
      <w:proofErr w:type="gramEnd"/>
      <w:r w:rsidR="002C092A" w:rsidRPr="00F84543">
        <w:rPr>
          <w:rFonts w:cs="Times New Roman"/>
          <w:sz w:val="32"/>
          <w:szCs w:val="32"/>
        </w:rPr>
        <w:t>季度</w:t>
      </w:r>
      <w:r w:rsidR="00D21044" w:rsidRPr="00F84543">
        <w:rPr>
          <w:rFonts w:cs="Times New Roman"/>
          <w:sz w:val="32"/>
          <w:szCs w:val="32"/>
        </w:rPr>
        <w:t>转让经手费</w:t>
      </w:r>
      <w:r w:rsidR="00767835" w:rsidRPr="00F84543">
        <w:rPr>
          <w:rFonts w:cs="Times New Roman"/>
          <w:sz w:val="32"/>
          <w:szCs w:val="32"/>
        </w:rPr>
        <w:t>：</w:t>
      </w:r>
    </w:p>
    <w:p w14:paraId="08649EE4" w14:textId="56C7881A" w:rsidR="00033062" w:rsidRPr="00F84543" w:rsidRDefault="00767835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（一）</w:t>
      </w:r>
      <w:r w:rsidR="00E87615" w:rsidRPr="00F84543">
        <w:rPr>
          <w:rFonts w:cs="Times New Roman"/>
          <w:sz w:val="32"/>
          <w:szCs w:val="32"/>
        </w:rPr>
        <w:t>综合</w:t>
      </w:r>
      <w:r w:rsidR="00033062" w:rsidRPr="00F84543">
        <w:rPr>
          <w:rFonts w:cs="Times New Roman"/>
          <w:sz w:val="32"/>
          <w:szCs w:val="32"/>
        </w:rPr>
        <w:t>评价得分</w:t>
      </w:r>
      <w:r w:rsidR="00E23894" w:rsidRPr="00F84543">
        <w:rPr>
          <w:rFonts w:cs="Times New Roman"/>
          <w:sz w:val="32"/>
          <w:szCs w:val="32"/>
        </w:rPr>
        <w:t>排名</w:t>
      </w:r>
      <w:r w:rsidR="001C06CA" w:rsidRPr="00F84543">
        <w:rPr>
          <w:rFonts w:cs="Times New Roman"/>
          <w:sz w:val="32"/>
          <w:szCs w:val="32"/>
        </w:rPr>
        <w:t>前</w:t>
      </w:r>
      <w:r w:rsidR="00513D4A" w:rsidRPr="00F84543">
        <w:rPr>
          <w:rFonts w:cs="Times New Roman"/>
          <w:sz w:val="32"/>
          <w:szCs w:val="32"/>
        </w:rPr>
        <w:t>5</w:t>
      </w:r>
      <w:r w:rsidR="001C06CA" w:rsidRPr="00F84543">
        <w:rPr>
          <w:rFonts w:cs="Times New Roman"/>
          <w:sz w:val="32"/>
          <w:szCs w:val="32"/>
        </w:rPr>
        <w:t>%</w:t>
      </w:r>
      <w:r w:rsidR="0050264A" w:rsidRPr="00F84543">
        <w:rPr>
          <w:rFonts w:cs="Times New Roman"/>
          <w:sz w:val="32"/>
          <w:szCs w:val="32"/>
        </w:rPr>
        <w:t>（含）</w:t>
      </w:r>
      <w:r w:rsidR="00033062" w:rsidRPr="00F84543">
        <w:rPr>
          <w:rFonts w:cs="Times New Roman"/>
          <w:sz w:val="32"/>
          <w:szCs w:val="32"/>
        </w:rPr>
        <w:t>的做市商，</w:t>
      </w:r>
      <w:r w:rsidR="00BE730C" w:rsidRPr="00F84543">
        <w:rPr>
          <w:rFonts w:cs="Times New Roman"/>
          <w:sz w:val="32"/>
          <w:szCs w:val="32"/>
        </w:rPr>
        <w:t>减免</w:t>
      </w:r>
      <w:r w:rsidR="00467CE2" w:rsidRPr="00F84543">
        <w:rPr>
          <w:rFonts w:cs="Times New Roman"/>
          <w:sz w:val="32"/>
          <w:szCs w:val="32"/>
        </w:rPr>
        <w:t>其</w:t>
      </w:r>
      <w:r w:rsidR="00033062" w:rsidRPr="00F84543">
        <w:rPr>
          <w:rFonts w:cs="Times New Roman"/>
          <w:sz w:val="32"/>
          <w:szCs w:val="32"/>
        </w:rPr>
        <w:t>做市账户</w:t>
      </w:r>
      <w:r w:rsidRPr="00F84543">
        <w:rPr>
          <w:rFonts w:cs="Times New Roman"/>
          <w:sz w:val="32"/>
          <w:szCs w:val="32"/>
        </w:rPr>
        <w:t>全部</w:t>
      </w:r>
      <w:r w:rsidR="00F16181" w:rsidRPr="00F84543">
        <w:rPr>
          <w:rFonts w:cs="Times New Roman"/>
          <w:sz w:val="32"/>
          <w:szCs w:val="32"/>
        </w:rPr>
        <w:t>转让经手费</w:t>
      </w:r>
      <w:r w:rsidR="00F15871" w:rsidRPr="00F84543">
        <w:rPr>
          <w:rFonts w:cs="Times New Roman"/>
          <w:sz w:val="32"/>
          <w:szCs w:val="32"/>
        </w:rPr>
        <w:t>；</w:t>
      </w:r>
    </w:p>
    <w:p w14:paraId="1730558A" w14:textId="273E2594" w:rsidR="00767835" w:rsidRPr="00F84543" w:rsidRDefault="00767835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（二）</w:t>
      </w:r>
      <w:r w:rsidR="00E87615" w:rsidRPr="00F84543">
        <w:rPr>
          <w:rFonts w:cs="Times New Roman"/>
          <w:sz w:val="32"/>
          <w:szCs w:val="32"/>
        </w:rPr>
        <w:t>综合</w:t>
      </w:r>
      <w:r w:rsidR="00033062" w:rsidRPr="00F84543">
        <w:rPr>
          <w:rFonts w:cs="Times New Roman"/>
          <w:sz w:val="32"/>
          <w:szCs w:val="32"/>
        </w:rPr>
        <w:t>评价得分</w:t>
      </w:r>
      <w:r w:rsidR="00E23894" w:rsidRPr="00F84543">
        <w:rPr>
          <w:rFonts w:cs="Times New Roman"/>
          <w:sz w:val="32"/>
          <w:szCs w:val="32"/>
        </w:rPr>
        <w:t>排名</w:t>
      </w:r>
      <w:r w:rsidR="00513D4A" w:rsidRPr="00F84543">
        <w:rPr>
          <w:rFonts w:cs="Times New Roman"/>
          <w:sz w:val="32"/>
          <w:szCs w:val="32"/>
        </w:rPr>
        <w:t>5</w:t>
      </w:r>
      <w:r w:rsidR="001C06CA" w:rsidRPr="00F84543">
        <w:rPr>
          <w:rFonts w:cs="Times New Roman"/>
          <w:sz w:val="32"/>
          <w:szCs w:val="32"/>
        </w:rPr>
        <w:t>%</w:t>
      </w:r>
      <w:r w:rsidR="00DB49DF" w:rsidRPr="00F84543">
        <w:rPr>
          <w:rFonts w:cs="Times New Roman"/>
          <w:sz w:val="32"/>
          <w:szCs w:val="32"/>
        </w:rPr>
        <w:t>~</w:t>
      </w:r>
      <w:r w:rsidR="001C06CA" w:rsidRPr="00F84543">
        <w:rPr>
          <w:rFonts w:cs="Times New Roman"/>
          <w:sz w:val="32"/>
          <w:szCs w:val="32"/>
        </w:rPr>
        <w:t>10%</w:t>
      </w:r>
      <w:r w:rsidR="0050264A" w:rsidRPr="00F84543">
        <w:rPr>
          <w:rFonts w:cs="Times New Roman"/>
          <w:sz w:val="32"/>
          <w:szCs w:val="32"/>
        </w:rPr>
        <w:t>（含）</w:t>
      </w:r>
      <w:r w:rsidR="00033062" w:rsidRPr="00F84543">
        <w:rPr>
          <w:rFonts w:cs="Times New Roman"/>
          <w:sz w:val="32"/>
          <w:szCs w:val="32"/>
        </w:rPr>
        <w:t>的做市商，</w:t>
      </w:r>
      <w:r w:rsidR="00BE730C" w:rsidRPr="00F84543">
        <w:rPr>
          <w:rFonts w:cs="Times New Roman"/>
          <w:sz w:val="32"/>
          <w:szCs w:val="32"/>
        </w:rPr>
        <w:t>减免</w:t>
      </w:r>
      <w:r w:rsidR="00467CE2" w:rsidRPr="00F84543">
        <w:rPr>
          <w:rFonts w:cs="Times New Roman"/>
          <w:sz w:val="32"/>
          <w:szCs w:val="32"/>
        </w:rPr>
        <w:t>其</w:t>
      </w:r>
      <w:r w:rsidRPr="00F84543">
        <w:rPr>
          <w:rFonts w:cs="Times New Roman"/>
          <w:sz w:val="32"/>
          <w:szCs w:val="32"/>
        </w:rPr>
        <w:t>做市账户</w:t>
      </w:r>
      <w:r w:rsidRPr="00F84543">
        <w:rPr>
          <w:rFonts w:cs="Times New Roman"/>
          <w:sz w:val="32"/>
          <w:szCs w:val="32"/>
        </w:rPr>
        <w:t>70%</w:t>
      </w:r>
      <w:r w:rsidRPr="00F84543">
        <w:rPr>
          <w:rFonts w:cs="Times New Roman"/>
          <w:sz w:val="32"/>
          <w:szCs w:val="32"/>
        </w:rPr>
        <w:t>转让经手费</w:t>
      </w:r>
      <w:r w:rsidR="00F15871" w:rsidRPr="00F84543">
        <w:rPr>
          <w:rFonts w:cs="Times New Roman"/>
          <w:sz w:val="32"/>
          <w:szCs w:val="32"/>
        </w:rPr>
        <w:t>；</w:t>
      </w:r>
    </w:p>
    <w:p w14:paraId="344E5844" w14:textId="12E58F3B" w:rsidR="00767835" w:rsidRPr="00F84543" w:rsidRDefault="00767835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（三）</w:t>
      </w:r>
      <w:r w:rsidR="00593F56" w:rsidRPr="00F84543">
        <w:rPr>
          <w:rFonts w:cs="Times New Roman"/>
          <w:sz w:val="32"/>
          <w:szCs w:val="32"/>
        </w:rPr>
        <w:t>综合</w:t>
      </w:r>
      <w:r w:rsidR="00033062" w:rsidRPr="00F84543">
        <w:rPr>
          <w:rFonts w:cs="Times New Roman"/>
          <w:sz w:val="32"/>
          <w:szCs w:val="32"/>
        </w:rPr>
        <w:t>评价得分</w:t>
      </w:r>
      <w:r w:rsidR="00E23894" w:rsidRPr="00F84543">
        <w:rPr>
          <w:rFonts w:cs="Times New Roman"/>
          <w:sz w:val="32"/>
          <w:szCs w:val="32"/>
        </w:rPr>
        <w:t>排名</w:t>
      </w:r>
      <w:r w:rsidR="001C06CA" w:rsidRPr="00F84543">
        <w:rPr>
          <w:rFonts w:cs="Times New Roman"/>
          <w:sz w:val="32"/>
          <w:szCs w:val="32"/>
        </w:rPr>
        <w:t>10%</w:t>
      </w:r>
      <w:r w:rsidR="00DB49DF" w:rsidRPr="00F84543">
        <w:rPr>
          <w:rFonts w:cs="Times New Roman"/>
          <w:sz w:val="32"/>
          <w:szCs w:val="32"/>
        </w:rPr>
        <w:t>~</w:t>
      </w:r>
      <w:r w:rsidR="001C06CA" w:rsidRPr="00F84543">
        <w:rPr>
          <w:rFonts w:cs="Times New Roman"/>
          <w:sz w:val="32"/>
          <w:szCs w:val="32"/>
        </w:rPr>
        <w:t>20%</w:t>
      </w:r>
      <w:r w:rsidR="0050264A" w:rsidRPr="00F84543">
        <w:rPr>
          <w:rFonts w:cs="Times New Roman"/>
          <w:sz w:val="32"/>
          <w:szCs w:val="32"/>
        </w:rPr>
        <w:t>（含）</w:t>
      </w:r>
      <w:r w:rsidR="00033062" w:rsidRPr="00F84543">
        <w:rPr>
          <w:rFonts w:cs="Times New Roman"/>
          <w:sz w:val="32"/>
          <w:szCs w:val="32"/>
        </w:rPr>
        <w:t>的做市商，</w:t>
      </w:r>
      <w:r w:rsidR="00BE730C" w:rsidRPr="00F84543">
        <w:rPr>
          <w:rFonts w:cs="Times New Roman"/>
          <w:sz w:val="32"/>
          <w:szCs w:val="32"/>
        </w:rPr>
        <w:t>减免</w:t>
      </w:r>
      <w:r w:rsidR="00467CE2" w:rsidRPr="00F84543">
        <w:rPr>
          <w:rFonts w:cs="Times New Roman"/>
          <w:sz w:val="32"/>
          <w:szCs w:val="32"/>
        </w:rPr>
        <w:t>其</w:t>
      </w:r>
      <w:r w:rsidRPr="00F84543">
        <w:rPr>
          <w:rFonts w:cs="Times New Roman"/>
          <w:sz w:val="32"/>
          <w:szCs w:val="32"/>
        </w:rPr>
        <w:t>做市账户</w:t>
      </w:r>
      <w:r w:rsidRPr="00F84543">
        <w:rPr>
          <w:rFonts w:cs="Times New Roman"/>
          <w:sz w:val="32"/>
          <w:szCs w:val="32"/>
        </w:rPr>
        <w:t>50%</w:t>
      </w:r>
      <w:r w:rsidRPr="00F84543">
        <w:rPr>
          <w:rFonts w:cs="Times New Roman"/>
          <w:sz w:val="32"/>
          <w:szCs w:val="32"/>
        </w:rPr>
        <w:t>转让经手费</w:t>
      </w:r>
      <w:r w:rsidR="00636CF4" w:rsidRPr="00F84543">
        <w:rPr>
          <w:rFonts w:cs="Times New Roman"/>
          <w:sz w:val="32"/>
          <w:szCs w:val="32"/>
        </w:rPr>
        <w:t>；</w:t>
      </w:r>
    </w:p>
    <w:p w14:paraId="3C9CE6F8" w14:textId="2A0E3E34" w:rsidR="00E23894" w:rsidRPr="00F84543" w:rsidRDefault="00E23894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（四）</w:t>
      </w:r>
      <w:r w:rsidR="000775D4" w:rsidRPr="00F84543">
        <w:rPr>
          <w:rFonts w:cs="Times New Roman"/>
          <w:sz w:val="32"/>
          <w:szCs w:val="32"/>
        </w:rPr>
        <w:t>其他做</w:t>
      </w:r>
      <w:proofErr w:type="gramStart"/>
      <w:r w:rsidR="000775D4" w:rsidRPr="00F84543">
        <w:rPr>
          <w:rFonts w:cs="Times New Roman"/>
          <w:sz w:val="32"/>
          <w:szCs w:val="32"/>
        </w:rPr>
        <w:t>市商</w:t>
      </w:r>
      <w:r w:rsidR="00DB49DF" w:rsidRPr="00F84543">
        <w:rPr>
          <w:rFonts w:cs="Times New Roman"/>
          <w:sz w:val="32"/>
          <w:szCs w:val="32"/>
        </w:rPr>
        <w:t>无</w:t>
      </w:r>
      <w:r w:rsidRPr="00F84543">
        <w:rPr>
          <w:rFonts w:cs="Times New Roman"/>
          <w:sz w:val="32"/>
          <w:szCs w:val="32"/>
        </w:rPr>
        <w:t>转让</w:t>
      </w:r>
      <w:proofErr w:type="gramEnd"/>
      <w:r w:rsidRPr="00F84543">
        <w:rPr>
          <w:rFonts w:cs="Times New Roman"/>
          <w:sz w:val="32"/>
          <w:szCs w:val="32"/>
        </w:rPr>
        <w:t>经手费</w:t>
      </w:r>
      <w:r w:rsidR="00BE730C" w:rsidRPr="00F84543">
        <w:rPr>
          <w:rFonts w:cs="Times New Roman"/>
          <w:sz w:val="32"/>
          <w:szCs w:val="32"/>
        </w:rPr>
        <w:t>减免</w:t>
      </w:r>
      <w:r w:rsidRPr="00F84543">
        <w:rPr>
          <w:rFonts w:cs="Times New Roman"/>
          <w:sz w:val="32"/>
          <w:szCs w:val="32"/>
        </w:rPr>
        <w:t>。</w:t>
      </w:r>
    </w:p>
    <w:p w14:paraId="2A6ACD7B" w14:textId="7408A04E" w:rsidR="003665E4" w:rsidRPr="00F84543" w:rsidRDefault="003665E4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全国股转公司可以根据市场情况调整转让经手费减免标准。</w:t>
      </w:r>
    </w:p>
    <w:p w14:paraId="2D92F791" w14:textId="61781D8E" w:rsidR="005F1994" w:rsidRPr="00F84543" w:rsidRDefault="005F1994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lastRenderedPageBreak/>
        <w:t>第</w:t>
      </w:r>
      <w:r w:rsidR="00F935EE" w:rsidRPr="00F84543">
        <w:rPr>
          <w:rFonts w:cs="Times New Roman"/>
          <w:b/>
          <w:sz w:val="32"/>
          <w:szCs w:val="32"/>
        </w:rPr>
        <w:t>九</w:t>
      </w:r>
      <w:r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Pr="00F84543">
        <w:rPr>
          <w:rFonts w:cs="Times New Roman"/>
          <w:sz w:val="32"/>
          <w:szCs w:val="32"/>
        </w:rPr>
        <w:t>全国股转公司于评价期结束后</w:t>
      </w:r>
      <w:r w:rsidRPr="00F84543">
        <w:rPr>
          <w:rFonts w:cs="Times New Roman"/>
          <w:sz w:val="32"/>
          <w:szCs w:val="32"/>
        </w:rPr>
        <w:t>15</w:t>
      </w:r>
      <w:r w:rsidRPr="00F84543">
        <w:rPr>
          <w:rFonts w:cs="Times New Roman"/>
          <w:sz w:val="32"/>
          <w:szCs w:val="32"/>
        </w:rPr>
        <w:t>个转让日内，通过全国股转公司官方网站</w:t>
      </w:r>
      <w:proofErr w:type="gramStart"/>
      <w:r w:rsidRPr="00F84543">
        <w:rPr>
          <w:rFonts w:cs="Times New Roman"/>
          <w:sz w:val="32"/>
          <w:szCs w:val="32"/>
        </w:rPr>
        <w:t>公布做</w:t>
      </w:r>
      <w:proofErr w:type="gramEnd"/>
      <w:r w:rsidRPr="00F84543">
        <w:rPr>
          <w:rFonts w:cs="Times New Roman"/>
          <w:sz w:val="32"/>
          <w:szCs w:val="32"/>
        </w:rPr>
        <w:t>市商季度</w:t>
      </w:r>
      <w:r w:rsidR="00EC447F" w:rsidRPr="00F84543">
        <w:rPr>
          <w:rFonts w:cs="Times New Roman"/>
          <w:sz w:val="32"/>
          <w:szCs w:val="32"/>
        </w:rPr>
        <w:t>转让</w:t>
      </w:r>
      <w:r w:rsidRPr="00F84543">
        <w:rPr>
          <w:rFonts w:cs="Times New Roman"/>
          <w:sz w:val="32"/>
          <w:szCs w:val="32"/>
        </w:rPr>
        <w:t>经手费</w:t>
      </w:r>
      <w:r w:rsidR="000446B0" w:rsidRPr="00F84543">
        <w:rPr>
          <w:rFonts w:cs="Times New Roman"/>
          <w:sz w:val="32"/>
          <w:szCs w:val="32"/>
        </w:rPr>
        <w:t>减免</w:t>
      </w:r>
      <w:r w:rsidRPr="00F84543">
        <w:rPr>
          <w:rFonts w:cs="Times New Roman"/>
          <w:sz w:val="32"/>
          <w:szCs w:val="32"/>
        </w:rPr>
        <w:t>情况。</w:t>
      </w:r>
    </w:p>
    <w:p w14:paraId="099B0610" w14:textId="2CFCA1EF" w:rsidR="001E7169" w:rsidRPr="00F84543" w:rsidRDefault="00074F55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</w:t>
      </w:r>
      <w:r w:rsidR="003665E4" w:rsidRPr="00F84543">
        <w:rPr>
          <w:rFonts w:cs="Times New Roman"/>
          <w:b/>
          <w:sz w:val="32"/>
          <w:szCs w:val="32"/>
        </w:rPr>
        <w:t>十</w:t>
      </w:r>
      <w:r w:rsidR="00767835"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F15871" w:rsidRPr="00F84543">
        <w:rPr>
          <w:rFonts w:cs="Times New Roman"/>
          <w:sz w:val="32"/>
          <w:szCs w:val="32"/>
        </w:rPr>
        <w:t>全国股转公司</w:t>
      </w:r>
      <w:r w:rsidR="003C39D9" w:rsidRPr="00F84543">
        <w:rPr>
          <w:rFonts w:cs="Times New Roman"/>
          <w:sz w:val="32"/>
          <w:szCs w:val="32"/>
        </w:rPr>
        <w:t>对做市商季度评价结果进行算术平均，</w:t>
      </w:r>
      <w:r w:rsidR="001E7169" w:rsidRPr="00F84543">
        <w:rPr>
          <w:rFonts w:cs="Times New Roman"/>
          <w:sz w:val="32"/>
          <w:szCs w:val="32"/>
        </w:rPr>
        <w:t>确定</w:t>
      </w:r>
      <w:r w:rsidR="00531860" w:rsidRPr="00F84543">
        <w:rPr>
          <w:rFonts w:cs="Times New Roman"/>
          <w:sz w:val="32"/>
          <w:szCs w:val="32"/>
        </w:rPr>
        <w:t>做市商年度评价结果</w:t>
      </w:r>
      <w:r w:rsidR="0050311A" w:rsidRPr="00F84543">
        <w:rPr>
          <w:rFonts w:cs="Times New Roman"/>
          <w:sz w:val="32"/>
          <w:szCs w:val="32"/>
        </w:rPr>
        <w:t>。</w:t>
      </w:r>
    </w:p>
    <w:p w14:paraId="0BCEB16C" w14:textId="5812AD92" w:rsidR="00961BC3" w:rsidRPr="00F84543" w:rsidRDefault="00F60C76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第十</w:t>
      </w:r>
      <w:r w:rsidR="003665E4" w:rsidRPr="00F84543">
        <w:rPr>
          <w:rFonts w:cs="Times New Roman"/>
          <w:b/>
          <w:sz w:val="32"/>
          <w:szCs w:val="32"/>
        </w:rPr>
        <w:t>一</w:t>
      </w:r>
      <w:r w:rsidR="00961BC3"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961BC3" w:rsidRPr="00F84543">
        <w:rPr>
          <w:rFonts w:cs="Times New Roman"/>
          <w:sz w:val="32"/>
          <w:szCs w:val="32"/>
        </w:rPr>
        <w:t>全国股转公司根据做市商年度评价结果，按照</w:t>
      </w:r>
      <w:r w:rsidR="0092337A" w:rsidRPr="00F84543">
        <w:rPr>
          <w:rFonts w:cs="Times New Roman"/>
          <w:sz w:val="32"/>
          <w:szCs w:val="32"/>
        </w:rPr>
        <w:t>下列</w:t>
      </w:r>
      <w:r w:rsidR="00961BC3" w:rsidRPr="00F84543">
        <w:rPr>
          <w:rFonts w:cs="Times New Roman"/>
          <w:sz w:val="32"/>
          <w:szCs w:val="32"/>
        </w:rPr>
        <w:t>原则对做市商进行评优</w:t>
      </w:r>
      <w:r w:rsidR="005F1994" w:rsidRPr="00F84543">
        <w:rPr>
          <w:rFonts w:cs="Times New Roman"/>
          <w:sz w:val="32"/>
          <w:szCs w:val="32"/>
        </w:rPr>
        <w:t>，并通过全国股转公司官方网站予以公布</w:t>
      </w:r>
      <w:r w:rsidR="00961BC3" w:rsidRPr="00F84543">
        <w:rPr>
          <w:rFonts w:cs="Times New Roman"/>
          <w:sz w:val="32"/>
          <w:szCs w:val="32"/>
        </w:rPr>
        <w:t>：</w:t>
      </w:r>
    </w:p>
    <w:p w14:paraId="12AD2279" w14:textId="5F99A3D6" w:rsidR="00961BC3" w:rsidRPr="00F84543" w:rsidRDefault="00961BC3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（一）年度综合得分排名第一的做市商为</w:t>
      </w:r>
      <w:r w:rsidRPr="00F84543">
        <w:rPr>
          <w:rFonts w:cs="Times New Roman"/>
          <w:sz w:val="32"/>
          <w:szCs w:val="32"/>
        </w:rPr>
        <w:t>“</w:t>
      </w:r>
      <w:r w:rsidRPr="00F84543">
        <w:rPr>
          <w:rFonts w:cs="Times New Roman"/>
          <w:sz w:val="32"/>
          <w:szCs w:val="32"/>
        </w:rPr>
        <w:t>年度最佳做市商</w:t>
      </w:r>
      <w:r w:rsidRPr="00F84543">
        <w:rPr>
          <w:rFonts w:cs="Times New Roman"/>
          <w:sz w:val="32"/>
          <w:szCs w:val="32"/>
        </w:rPr>
        <w:t>”</w:t>
      </w:r>
      <w:r w:rsidRPr="00F84543">
        <w:rPr>
          <w:rFonts w:cs="Times New Roman"/>
          <w:sz w:val="32"/>
          <w:szCs w:val="32"/>
        </w:rPr>
        <w:t>；</w:t>
      </w:r>
    </w:p>
    <w:p w14:paraId="171035CE" w14:textId="242F34DE" w:rsidR="00961BC3" w:rsidRPr="00F84543" w:rsidRDefault="00961BC3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（二）年度综合得分排名第二、</w:t>
      </w:r>
      <w:r w:rsidR="001A73A4" w:rsidRPr="00F84543">
        <w:rPr>
          <w:rFonts w:cs="Times New Roman"/>
          <w:sz w:val="32"/>
          <w:szCs w:val="32"/>
        </w:rPr>
        <w:t>第</w:t>
      </w:r>
      <w:r w:rsidRPr="00F84543">
        <w:rPr>
          <w:rFonts w:cs="Times New Roman"/>
          <w:sz w:val="32"/>
          <w:szCs w:val="32"/>
        </w:rPr>
        <w:t>三的做市商为</w:t>
      </w:r>
      <w:r w:rsidRPr="00F84543">
        <w:rPr>
          <w:rFonts w:cs="Times New Roman"/>
          <w:sz w:val="32"/>
          <w:szCs w:val="32"/>
        </w:rPr>
        <w:t>“</w:t>
      </w:r>
      <w:r w:rsidRPr="00F84543">
        <w:rPr>
          <w:rFonts w:cs="Times New Roman"/>
          <w:sz w:val="32"/>
          <w:szCs w:val="32"/>
        </w:rPr>
        <w:t>年度优秀做市商</w:t>
      </w:r>
      <w:r w:rsidRPr="00F84543">
        <w:rPr>
          <w:rFonts w:cs="Times New Roman"/>
          <w:sz w:val="32"/>
          <w:szCs w:val="32"/>
        </w:rPr>
        <w:t>”</w:t>
      </w:r>
      <w:r w:rsidRPr="00F84543">
        <w:rPr>
          <w:rFonts w:cs="Times New Roman"/>
          <w:sz w:val="32"/>
          <w:szCs w:val="32"/>
        </w:rPr>
        <w:t>；</w:t>
      </w:r>
    </w:p>
    <w:p w14:paraId="0B2AC2BF" w14:textId="36DB5BA3" w:rsidR="00961BC3" w:rsidRPr="00F84543" w:rsidRDefault="00961BC3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（三）年度综合得分排名较上一年度综合得分排名进步最大的做市商为</w:t>
      </w:r>
      <w:r w:rsidRPr="00F84543">
        <w:rPr>
          <w:rFonts w:cs="Times New Roman"/>
          <w:sz w:val="32"/>
          <w:szCs w:val="32"/>
        </w:rPr>
        <w:t>“</w:t>
      </w:r>
      <w:r w:rsidRPr="00F84543">
        <w:rPr>
          <w:rFonts w:cs="Times New Roman"/>
          <w:sz w:val="32"/>
          <w:szCs w:val="32"/>
        </w:rPr>
        <w:t>年度最佳进步</w:t>
      </w:r>
      <w:r w:rsidR="00392F83" w:rsidRPr="00F84543">
        <w:rPr>
          <w:rFonts w:cs="Times New Roman"/>
          <w:sz w:val="32"/>
          <w:szCs w:val="32"/>
        </w:rPr>
        <w:t>做市商</w:t>
      </w:r>
      <w:r w:rsidRPr="00F84543">
        <w:rPr>
          <w:rFonts w:cs="Times New Roman"/>
          <w:sz w:val="32"/>
          <w:szCs w:val="32"/>
        </w:rPr>
        <w:t>”</w:t>
      </w:r>
      <w:r w:rsidRPr="00F84543">
        <w:rPr>
          <w:rFonts w:cs="Times New Roman"/>
          <w:sz w:val="32"/>
          <w:szCs w:val="32"/>
        </w:rPr>
        <w:t>；</w:t>
      </w:r>
    </w:p>
    <w:p w14:paraId="63ECDC00" w14:textId="185743C6" w:rsidR="00961BC3" w:rsidRPr="00F84543" w:rsidRDefault="00961BC3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（四）年度做市规模指标</w:t>
      </w:r>
      <w:r w:rsidR="00E17EE0" w:rsidRPr="00F84543">
        <w:rPr>
          <w:rFonts w:cs="Times New Roman"/>
          <w:sz w:val="32"/>
          <w:szCs w:val="32"/>
        </w:rPr>
        <w:t>合计</w:t>
      </w:r>
      <w:r w:rsidRPr="00F84543">
        <w:rPr>
          <w:rFonts w:cs="Times New Roman"/>
          <w:sz w:val="32"/>
          <w:szCs w:val="32"/>
        </w:rPr>
        <w:t>得分排名</w:t>
      </w:r>
      <w:r w:rsidR="002C0052" w:rsidRPr="00F84543">
        <w:rPr>
          <w:rFonts w:cs="Times New Roman"/>
          <w:sz w:val="32"/>
          <w:szCs w:val="32"/>
        </w:rPr>
        <w:t>前五</w:t>
      </w:r>
      <w:r w:rsidRPr="00F84543">
        <w:rPr>
          <w:rFonts w:cs="Times New Roman"/>
          <w:sz w:val="32"/>
          <w:szCs w:val="32"/>
        </w:rPr>
        <w:t>的做市商为</w:t>
      </w:r>
      <w:r w:rsidRPr="00F84543">
        <w:rPr>
          <w:rFonts w:cs="Times New Roman"/>
          <w:sz w:val="32"/>
          <w:szCs w:val="32"/>
        </w:rPr>
        <w:t>“</w:t>
      </w:r>
      <w:r w:rsidR="00392F83" w:rsidRPr="00F84543">
        <w:rPr>
          <w:rFonts w:cs="Times New Roman"/>
          <w:sz w:val="32"/>
          <w:szCs w:val="32"/>
        </w:rPr>
        <w:t>年度优秀做市规模做市商</w:t>
      </w:r>
      <w:r w:rsidRPr="00F84543">
        <w:rPr>
          <w:rFonts w:cs="Times New Roman"/>
          <w:sz w:val="32"/>
          <w:szCs w:val="32"/>
        </w:rPr>
        <w:t>”</w:t>
      </w:r>
      <w:r w:rsidRPr="00F84543">
        <w:rPr>
          <w:rFonts w:cs="Times New Roman"/>
          <w:sz w:val="32"/>
          <w:szCs w:val="32"/>
        </w:rPr>
        <w:t>；</w:t>
      </w:r>
    </w:p>
    <w:p w14:paraId="10C0E6BC" w14:textId="420BE03F" w:rsidR="00961BC3" w:rsidRPr="00F84543" w:rsidRDefault="00961BC3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（五）年度流动性提供指标</w:t>
      </w:r>
      <w:r w:rsidR="005C0E5C" w:rsidRPr="00F84543">
        <w:rPr>
          <w:rFonts w:cs="Times New Roman"/>
          <w:sz w:val="32"/>
          <w:szCs w:val="32"/>
        </w:rPr>
        <w:t>合计</w:t>
      </w:r>
      <w:r w:rsidRPr="00F84543">
        <w:rPr>
          <w:rFonts w:cs="Times New Roman"/>
          <w:sz w:val="32"/>
          <w:szCs w:val="32"/>
        </w:rPr>
        <w:t>得分排名</w:t>
      </w:r>
      <w:r w:rsidR="002C0052" w:rsidRPr="00F84543">
        <w:rPr>
          <w:rFonts w:cs="Times New Roman"/>
          <w:sz w:val="32"/>
          <w:szCs w:val="32"/>
        </w:rPr>
        <w:t>前五</w:t>
      </w:r>
      <w:r w:rsidRPr="00F84543">
        <w:rPr>
          <w:rFonts w:cs="Times New Roman"/>
          <w:sz w:val="32"/>
          <w:szCs w:val="32"/>
        </w:rPr>
        <w:t>的做市商为</w:t>
      </w:r>
      <w:r w:rsidRPr="00F84543">
        <w:rPr>
          <w:rFonts w:cs="Times New Roman"/>
          <w:sz w:val="32"/>
          <w:szCs w:val="32"/>
        </w:rPr>
        <w:t>“</w:t>
      </w:r>
      <w:r w:rsidR="00392F83" w:rsidRPr="00F84543">
        <w:rPr>
          <w:rFonts w:cs="Times New Roman"/>
          <w:sz w:val="32"/>
          <w:szCs w:val="32"/>
        </w:rPr>
        <w:t>年度优秀流动性提供做市商</w:t>
      </w:r>
      <w:r w:rsidRPr="00F84543">
        <w:rPr>
          <w:rFonts w:cs="Times New Roman"/>
          <w:sz w:val="32"/>
          <w:szCs w:val="32"/>
        </w:rPr>
        <w:t>”</w:t>
      </w:r>
      <w:r w:rsidRPr="00F84543">
        <w:rPr>
          <w:rFonts w:cs="Times New Roman"/>
          <w:sz w:val="32"/>
          <w:szCs w:val="32"/>
        </w:rPr>
        <w:t>；</w:t>
      </w:r>
    </w:p>
    <w:p w14:paraId="044405BC" w14:textId="6AB3EC17" w:rsidR="009F0BC6" w:rsidRPr="00F84543" w:rsidRDefault="00961BC3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（六）年度</w:t>
      </w:r>
      <w:r w:rsidR="00F72673" w:rsidRPr="00F84543">
        <w:rPr>
          <w:rFonts w:cs="Times New Roman"/>
          <w:sz w:val="32"/>
          <w:szCs w:val="32"/>
        </w:rPr>
        <w:t>报价质量</w:t>
      </w:r>
      <w:r w:rsidRPr="00F84543">
        <w:rPr>
          <w:rFonts w:cs="Times New Roman"/>
          <w:sz w:val="32"/>
          <w:szCs w:val="32"/>
        </w:rPr>
        <w:t>指标</w:t>
      </w:r>
      <w:r w:rsidR="005C0E5C" w:rsidRPr="00F84543">
        <w:rPr>
          <w:rFonts w:cs="Times New Roman"/>
          <w:sz w:val="32"/>
          <w:szCs w:val="32"/>
        </w:rPr>
        <w:t>合计</w:t>
      </w:r>
      <w:r w:rsidRPr="00F84543">
        <w:rPr>
          <w:rFonts w:cs="Times New Roman"/>
          <w:sz w:val="32"/>
          <w:szCs w:val="32"/>
        </w:rPr>
        <w:t>得分排名</w:t>
      </w:r>
      <w:r w:rsidR="002C0052" w:rsidRPr="00F84543">
        <w:rPr>
          <w:rFonts w:cs="Times New Roman"/>
          <w:sz w:val="32"/>
          <w:szCs w:val="32"/>
        </w:rPr>
        <w:t>前五</w:t>
      </w:r>
      <w:r w:rsidRPr="00F84543">
        <w:rPr>
          <w:rFonts w:cs="Times New Roman"/>
          <w:sz w:val="32"/>
          <w:szCs w:val="32"/>
        </w:rPr>
        <w:t>的做市商为</w:t>
      </w:r>
      <w:r w:rsidRPr="00F84543">
        <w:rPr>
          <w:rFonts w:cs="Times New Roman"/>
          <w:sz w:val="32"/>
          <w:szCs w:val="32"/>
        </w:rPr>
        <w:t>“</w:t>
      </w:r>
      <w:r w:rsidR="00392F83" w:rsidRPr="00F84543">
        <w:rPr>
          <w:rFonts w:cs="Times New Roman"/>
          <w:sz w:val="32"/>
          <w:szCs w:val="32"/>
        </w:rPr>
        <w:t>年度优秀报价质量做市商</w:t>
      </w:r>
      <w:r w:rsidRPr="00F84543">
        <w:rPr>
          <w:rFonts w:cs="Times New Roman"/>
          <w:sz w:val="32"/>
          <w:szCs w:val="32"/>
        </w:rPr>
        <w:t>”</w:t>
      </w:r>
      <w:r w:rsidR="00370900" w:rsidRPr="00F84543">
        <w:rPr>
          <w:rFonts w:cs="Times New Roman"/>
          <w:sz w:val="32"/>
          <w:szCs w:val="32"/>
        </w:rPr>
        <w:t>。</w:t>
      </w:r>
    </w:p>
    <w:p w14:paraId="2C886896" w14:textId="26FCD372" w:rsidR="00961BC3" w:rsidRPr="00F84543" w:rsidRDefault="009F0BC6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年度综合得分排名</w:t>
      </w:r>
      <w:r w:rsidR="00822575" w:rsidRPr="00F84543">
        <w:rPr>
          <w:rFonts w:cs="Times New Roman"/>
          <w:sz w:val="32"/>
          <w:szCs w:val="32"/>
        </w:rPr>
        <w:t>末</w:t>
      </w:r>
      <w:r w:rsidR="00822575" w:rsidRPr="00F84543">
        <w:rPr>
          <w:rFonts w:cs="Times New Roman"/>
          <w:sz w:val="32"/>
          <w:szCs w:val="32"/>
        </w:rPr>
        <w:t>2</w:t>
      </w:r>
      <w:r w:rsidRPr="00F84543">
        <w:rPr>
          <w:rFonts w:cs="Times New Roman"/>
          <w:sz w:val="32"/>
          <w:szCs w:val="32"/>
        </w:rPr>
        <w:t>0%</w:t>
      </w:r>
      <w:r w:rsidRPr="00F84543">
        <w:rPr>
          <w:rFonts w:cs="Times New Roman"/>
          <w:sz w:val="32"/>
          <w:szCs w:val="32"/>
        </w:rPr>
        <w:t>的做市商，不参与前款第三项至六项</w:t>
      </w:r>
      <w:r w:rsidR="003172C6" w:rsidRPr="00F84543">
        <w:rPr>
          <w:rFonts w:cs="Times New Roman"/>
          <w:sz w:val="32"/>
          <w:szCs w:val="32"/>
        </w:rPr>
        <w:t>评优</w:t>
      </w:r>
      <w:r w:rsidRPr="00F84543">
        <w:rPr>
          <w:rFonts w:cs="Times New Roman"/>
          <w:sz w:val="32"/>
          <w:szCs w:val="32"/>
        </w:rPr>
        <w:t>。</w:t>
      </w:r>
    </w:p>
    <w:p w14:paraId="2ACB7E1C" w14:textId="3436315B" w:rsidR="001E7169" w:rsidRPr="00F84543" w:rsidRDefault="00795F9C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lastRenderedPageBreak/>
        <w:t>第十</w:t>
      </w:r>
      <w:r w:rsidR="003665E4" w:rsidRPr="00F84543">
        <w:rPr>
          <w:rFonts w:cs="Times New Roman"/>
          <w:b/>
          <w:sz w:val="32"/>
          <w:szCs w:val="32"/>
        </w:rPr>
        <w:t>二</w:t>
      </w:r>
      <w:r w:rsidR="00F15871"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5529CA" w:rsidRPr="00F84543">
        <w:rPr>
          <w:rFonts w:cs="Times New Roman"/>
          <w:sz w:val="32"/>
          <w:szCs w:val="32"/>
        </w:rPr>
        <w:t>做市商在</w:t>
      </w:r>
      <w:r w:rsidR="001E7169" w:rsidRPr="00F84543">
        <w:rPr>
          <w:rFonts w:cs="Times New Roman"/>
          <w:sz w:val="32"/>
          <w:szCs w:val="32"/>
        </w:rPr>
        <w:t>评价期内存在严重违法违规行为的，全国股转公司取消其季度</w:t>
      </w:r>
      <w:r w:rsidR="00EC447F" w:rsidRPr="00F84543">
        <w:rPr>
          <w:rFonts w:cs="Times New Roman"/>
          <w:color w:val="000000" w:themeColor="text1"/>
          <w:sz w:val="32"/>
          <w:szCs w:val="32"/>
        </w:rPr>
        <w:t>转让</w:t>
      </w:r>
      <w:r w:rsidR="001E7169" w:rsidRPr="00F84543">
        <w:rPr>
          <w:rFonts w:cs="Times New Roman"/>
          <w:color w:val="000000" w:themeColor="text1"/>
          <w:sz w:val="32"/>
          <w:szCs w:val="32"/>
        </w:rPr>
        <w:t>经手费</w:t>
      </w:r>
      <w:r w:rsidR="00BE730C" w:rsidRPr="00F84543">
        <w:rPr>
          <w:rFonts w:cs="Times New Roman"/>
          <w:color w:val="000000" w:themeColor="text1"/>
          <w:sz w:val="32"/>
          <w:szCs w:val="32"/>
        </w:rPr>
        <w:t>减免</w:t>
      </w:r>
      <w:r w:rsidR="001E7169" w:rsidRPr="00F84543">
        <w:rPr>
          <w:rFonts w:cs="Times New Roman"/>
          <w:color w:val="000000" w:themeColor="text1"/>
          <w:sz w:val="32"/>
          <w:szCs w:val="32"/>
        </w:rPr>
        <w:t>和年度</w:t>
      </w:r>
      <w:r w:rsidR="005529CA" w:rsidRPr="00F84543">
        <w:rPr>
          <w:rFonts w:cs="Times New Roman"/>
          <w:color w:val="000000" w:themeColor="text1"/>
          <w:sz w:val="32"/>
          <w:szCs w:val="32"/>
        </w:rPr>
        <w:t>评优</w:t>
      </w:r>
      <w:r w:rsidR="001E7169" w:rsidRPr="00F84543">
        <w:rPr>
          <w:rFonts w:cs="Times New Roman"/>
          <w:color w:val="000000" w:themeColor="text1"/>
          <w:sz w:val="32"/>
          <w:szCs w:val="32"/>
        </w:rPr>
        <w:t>资格</w:t>
      </w:r>
      <w:r w:rsidR="001E7169" w:rsidRPr="00F84543">
        <w:rPr>
          <w:rFonts w:cs="Times New Roman"/>
          <w:sz w:val="32"/>
          <w:szCs w:val="32"/>
        </w:rPr>
        <w:t>。</w:t>
      </w:r>
    </w:p>
    <w:p w14:paraId="06F19D20" w14:textId="34EF7268" w:rsidR="00A13CBB" w:rsidRPr="00F84543" w:rsidRDefault="00A13CBB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季度</w:t>
      </w:r>
      <w:r w:rsidR="00F15871" w:rsidRPr="00F84543">
        <w:rPr>
          <w:rFonts w:cs="Times New Roman"/>
          <w:sz w:val="32"/>
          <w:szCs w:val="32"/>
        </w:rPr>
        <w:t>评价期内</w:t>
      </w:r>
      <w:r w:rsidRPr="00F84543">
        <w:rPr>
          <w:rFonts w:cs="Times New Roman"/>
          <w:sz w:val="32"/>
          <w:szCs w:val="32"/>
        </w:rPr>
        <w:t>，做市商因做</w:t>
      </w:r>
      <w:proofErr w:type="gramStart"/>
      <w:r w:rsidRPr="00F84543">
        <w:rPr>
          <w:rFonts w:cs="Times New Roman"/>
          <w:sz w:val="32"/>
          <w:szCs w:val="32"/>
        </w:rPr>
        <w:t>市业务</w:t>
      </w:r>
      <w:proofErr w:type="gramEnd"/>
      <w:r w:rsidRPr="00F84543">
        <w:rPr>
          <w:rFonts w:cs="Times New Roman"/>
          <w:sz w:val="32"/>
          <w:szCs w:val="32"/>
        </w:rPr>
        <w:t>违法违规被</w:t>
      </w:r>
      <w:r w:rsidR="0076249E" w:rsidRPr="00F84543">
        <w:rPr>
          <w:rFonts w:cs="Times New Roman"/>
          <w:sz w:val="32"/>
          <w:szCs w:val="32"/>
        </w:rPr>
        <w:t>行政处罚、采取行政监管措施、纪律处分或</w:t>
      </w:r>
      <w:r w:rsidR="00961BC3" w:rsidRPr="00F84543">
        <w:rPr>
          <w:rFonts w:cs="Times New Roman"/>
          <w:sz w:val="32"/>
          <w:szCs w:val="32"/>
        </w:rPr>
        <w:t>《业务规则》</w:t>
      </w:r>
      <w:r w:rsidR="00961BC3" w:rsidRPr="00F84543">
        <w:rPr>
          <w:rFonts w:cs="Times New Roman"/>
          <w:sz w:val="32"/>
          <w:szCs w:val="32"/>
        </w:rPr>
        <w:t>6.1</w:t>
      </w:r>
      <w:r w:rsidR="00961BC3" w:rsidRPr="00F84543">
        <w:rPr>
          <w:rFonts w:cs="Times New Roman"/>
          <w:sz w:val="32"/>
          <w:szCs w:val="32"/>
        </w:rPr>
        <w:t>条第一款第五项</w:t>
      </w:r>
      <w:r w:rsidR="009E6EFD" w:rsidRPr="00F84543">
        <w:rPr>
          <w:rFonts w:cs="Times New Roman"/>
          <w:sz w:val="32"/>
          <w:szCs w:val="32"/>
        </w:rPr>
        <w:t>至</w:t>
      </w:r>
      <w:r w:rsidR="00632759" w:rsidRPr="00F84543">
        <w:rPr>
          <w:rFonts w:cs="Times New Roman"/>
          <w:sz w:val="32"/>
          <w:szCs w:val="32"/>
        </w:rPr>
        <w:t>七项、第</w:t>
      </w:r>
      <w:r w:rsidR="00961BC3" w:rsidRPr="00F84543">
        <w:rPr>
          <w:rFonts w:cs="Times New Roman"/>
          <w:sz w:val="32"/>
          <w:szCs w:val="32"/>
        </w:rPr>
        <w:t>九项</w:t>
      </w:r>
      <w:r w:rsidRPr="00F84543">
        <w:rPr>
          <w:rFonts w:cs="Times New Roman"/>
          <w:sz w:val="32"/>
          <w:szCs w:val="32"/>
        </w:rPr>
        <w:t>自律监管措施</w:t>
      </w:r>
      <w:r w:rsidR="00F15871" w:rsidRPr="00F84543">
        <w:rPr>
          <w:rFonts w:cs="Times New Roman"/>
          <w:sz w:val="32"/>
          <w:szCs w:val="32"/>
        </w:rPr>
        <w:t>的，</w:t>
      </w:r>
      <w:r w:rsidR="00AA6F9D" w:rsidRPr="00F84543">
        <w:rPr>
          <w:rFonts w:cs="Times New Roman"/>
          <w:sz w:val="32"/>
          <w:szCs w:val="32"/>
        </w:rPr>
        <w:t>取消</w:t>
      </w:r>
      <w:r w:rsidR="00EB715E" w:rsidRPr="00F84543">
        <w:rPr>
          <w:rFonts w:cs="Times New Roman"/>
          <w:sz w:val="32"/>
          <w:szCs w:val="32"/>
        </w:rPr>
        <w:t>其</w:t>
      </w:r>
      <w:r w:rsidR="00F15871" w:rsidRPr="00F84543">
        <w:rPr>
          <w:rFonts w:cs="Times New Roman"/>
          <w:sz w:val="32"/>
          <w:szCs w:val="32"/>
        </w:rPr>
        <w:t>本</w:t>
      </w:r>
      <w:r w:rsidR="0004708C">
        <w:rPr>
          <w:rFonts w:cs="Times New Roman"/>
          <w:sz w:val="32"/>
          <w:szCs w:val="32"/>
        </w:rPr>
        <w:t>指引</w:t>
      </w:r>
      <w:r w:rsidR="001E7169" w:rsidRPr="00F84543">
        <w:rPr>
          <w:rFonts w:cs="Times New Roman"/>
          <w:sz w:val="32"/>
          <w:szCs w:val="32"/>
        </w:rPr>
        <w:t>第</w:t>
      </w:r>
      <w:r w:rsidR="00C31D79" w:rsidRPr="00F84543">
        <w:rPr>
          <w:rFonts w:cs="Times New Roman"/>
          <w:sz w:val="32"/>
          <w:szCs w:val="32"/>
        </w:rPr>
        <w:t>八</w:t>
      </w:r>
      <w:r w:rsidR="00F15871" w:rsidRPr="00F84543">
        <w:rPr>
          <w:rFonts w:cs="Times New Roman"/>
          <w:sz w:val="32"/>
          <w:szCs w:val="32"/>
        </w:rPr>
        <w:t>条规定的</w:t>
      </w:r>
      <w:r w:rsidR="001E7169" w:rsidRPr="00F84543">
        <w:rPr>
          <w:rFonts w:cs="Times New Roman"/>
          <w:color w:val="000000" w:themeColor="text1"/>
          <w:sz w:val="32"/>
          <w:szCs w:val="32"/>
        </w:rPr>
        <w:t>转让经手费</w:t>
      </w:r>
      <w:r w:rsidR="008211DB" w:rsidRPr="00F84543">
        <w:rPr>
          <w:rFonts w:cs="Times New Roman"/>
          <w:color w:val="000000" w:themeColor="text1"/>
          <w:sz w:val="32"/>
          <w:szCs w:val="32"/>
        </w:rPr>
        <w:t>减免</w:t>
      </w:r>
      <w:r w:rsidR="00AA6F9D" w:rsidRPr="00F84543">
        <w:rPr>
          <w:rFonts w:cs="Times New Roman"/>
          <w:color w:val="000000" w:themeColor="text1"/>
          <w:sz w:val="32"/>
          <w:szCs w:val="32"/>
        </w:rPr>
        <w:t>资格</w:t>
      </w:r>
      <w:r w:rsidR="00F15871" w:rsidRPr="00F84543">
        <w:rPr>
          <w:rFonts w:cs="Times New Roman"/>
          <w:sz w:val="32"/>
          <w:szCs w:val="32"/>
        </w:rPr>
        <w:t>。</w:t>
      </w:r>
    </w:p>
    <w:p w14:paraId="38B7503E" w14:textId="106B6DF7" w:rsidR="00F15871" w:rsidRPr="00F84543" w:rsidRDefault="00E23894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年度评价</w:t>
      </w:r>
      <w:r w:rsidR="00A13CBB" w:rsidRPr="00F84543">
        <w:rPr>
          <w:rFonts w:cs="Times New Roman"/>
          <w:sz w:val="32"/>
          <w:szCs w:val="32"/>
        </w:rPr>
        <w:t>期内，做市商因做</w:t>
      </w:r>
      <w:proofErr w:type="gramStart"/>
      <w:r w:rsidR="00A13CBB" w:rsidRPr="00F84543">
        <w:rPr>
          <w:rFonts w:cs="Times New Roman"/>
          <w:sz w:val="32"/>
          <w:szCs w:val="32"/>
        </w:rPr>
        <w:t>市业务</w:t>
      </w:r>
      <w:proofErr w:type="gramEnd"/>
      <w:r w:rsidR="00A13CBB" w:rsidRPr="00F84543">
        <w:rPr>
          <w:rFonts w:cs="Times New Roman"/>
          <w:sz w:val="32"/>
          <w:szCs w:val="32"/>
        </w:rPr>
        <w:t>违法违规被行政处罚、</w:t>
      </w:r>
      <w:r w:rsidR="001E7169" w:rsidRPr="00F84543">
        <w:rPr>
          <w:rFonts w:cs="Times New Roman"/>
          <w:sz w:val="32"/>
          <w:szCs w:val="32"/>
        </w:rPr>
        <w:t>采取</w:t>
      </w:r>
      <w:r w:rsidR="00A13CBB" w:rsidRPr="00F84543">
        <w:rPr>
          <w:rFonts w:cs="Times New Roman"/>
          <w:sz w:val="32"/>
          <w:szCs w:val="32"/>
        </w:rPr>
        <w:t>行政监管措施、纪律处分</w:t>
      </w:r>
      <w:r w:rsidR="00504EA7" w:rsidRPr="00F84543">
        <w:rPr>
          <w:rFonts w:cs="Times New Roman"/>
          <w:sz w:val="32"/>
          <w:szCs w:val="32"/>
        </w:rPr>
        <w:t>或</w:t>
      </w:r>
      <w:r w:rsidR="006A6CF0" w:rsidRPr="00F84543">
        <w:rPr>
          <w:rFonts w:cs="Times New Roman"/>
          <w:sz w:val="32"/>
          <w:szCs w:val="32"/>
        </w:rPr>
        <w:t>两</w:t>
      </w:r>
      <w:r w:rsidR="00A13CBB" w:rsidRPr="00F84543">
        <w:rPr>
          <w:rFonts w:cs="Times New Roman"/>
          <w:sz w:val="32"/>
          <w:szCs w:val="32"/>
        </w:rPr>
        <w:t>次以上</w:t>
      </w:r>
      <w:r w:rsidR="0076249E" w:rsidRPr="00F84543">
        <w:rPr>
          <w:rFonts w:cs="Times New Roman"/>
          <w:sz w:val="32"/>
          <w:szCs w:val="32"/>
        </w:rPr>
        <w:t>《业务规则》</w:t>
      </w:r>
      <w:r w:rsidR="0076249E" w:rsidRPr="00F84543">
        <w:rPr>
          <w:rFonts w:cs="Times New Roman"/>
          <w:sz w:val="32"/>
          <w:szCs w:val="32"/>
        </w:rPr>
        <w:t>6.1</w:t>
      </w:r>
      <w:r w:rsidR="0076249E" w:rsidRPr="00F84543">
        <w:rPr>
          <w:rFonts w:cs="Times New Roman"/>
          <w:sz w:val="32"/>
          <w:szCs w:val="32"/>
        </w:rPr>
        <w:t>条</w:t>
      </w:r>
      <w:r w:rsidR="005C6742" w:rsidRPr="00F84543">
        <w:rPr>
          <w:rFonts w:cs="Times New Roman"/>
          <w:sz w:val="32"/>
          <w:szCs w:val="32"/>
        </w:rPr>
        <w:t>第一款</w:t>
      </w:r>
      <w:r w:rsidR="009E6EFD" w:rsidRPr="00F84543">
        <w:rPr>
          <w:rFonts w:cs="Times New Roman"/>
          <w:sz w:val="32"/>
          <w:szCs w:val="32"/>
        </w:rPr>
        <w:t>第五项至七项、第九项</w:t>
      </w:r>
      <w:r w:rsidR="00A13CBB" w:rsidRPr="00F84543">
        <w:rPr>
          <w:rFonts w:cs="Times New Roman"/>
          <w:sz w:val="32"/>
          <w:szCs w:val="32"/>
        </w:rPr>
        <w:t>自律监管措施</w:t>
      </w:r>
      <w:r w:rsidR="000860D0" w:rsidRPr="00F84543">
        <w:rPr>
          <w:rFonts w:cs="Times New Roman"/>
          <w:sz w:val="32"/>
          <w:szCs w:val="32"/>
        </w:rPr>
        <w:t>的</w:t>
      </w:r>
      <w:r w:rsidR="00370900" w:rsidRPr="00F84543">
        <w:rPr>
          <w:rFonts w:cs="Times New Roman"/>
          <w:sz w:val="32"/>
          <w:szCs w:val="32"/>
        </w:rPr>
        <w:t>，</w:t>
      </w:r>
      <w:r w:rsidR="00A13CBB" w:rsidRPr="00F84543">
        <w:rPr>
          <w:rFonts w:cs="Times New Roman"/>
          <w:sz w:val="32"/>
          <w:szCs w:val="32"/>
        </w:rPr>
        <w:t>取消</w:t>
      </w:r>
      <w:r w:rsidR="00EB715E" w:rsidRPr="00F84543">
        <w:rPr>
          <w:rFonts w:cs="Times New Roman"/>
          <w:sz w:val="32"/>
          <w:szCs w:val="32"/>
        </w:rPr>
        <w:t>其</w:t>
      </w:r>
      <w:r w:rsidR="00A13CBB" w:rsidRPr="00F84543">
        <w:rPr>
          <w:rFonts w:cs="Times New Roman"/>
          <w:sz w:val="32"/>
          <w:szCs w:val="32"/>
        </w:rPr>
        <w:t>本</w:t>
      </w:r>
      <w:r w:rsidR="0004708C">
        <w:rPr>
          <w:rFonts w:cs="Times New Roman"/>
          <w:sz w:val="32"/>
          <w:szCs w:val="32"/>
        </w:rPr>
        <w:t>指引</w:t>
      </w:r>
      <w:r w:rsidR="001E7169" w:rsidRPr="00F84543">
        <w:rPr>
          <w:rFonts w:cs="Times New Roman"/>
          <w:sz w:val="32"/>
          <w:szCs w:val="32"/>
        </w:rPr>
        <w:t>第十</w:t>
      </w:r>
      <w:r w:rsidR="003665E4" w:rsidRPr="00F84543">
        <w:rPr>
          <w:rFonts w:cs="Times New Roman"/>
          <w:sz w:val="32"/>
          <w:szCs w:val="32"/>
        </w:rPr>
        <w:t>一</w:t>
      </w:r>
      <w:r w:rsidR="00A13CBB" w:rsidRPr="00F84543">
        <w:rPr>
          <w:rFonts w:cs="Times New Roman"/>
          <w:sz w:val="32"/>
          <w:szCs w:val="32"/>
        </w:rPr>
        <w:t>条规定的</w:t>
      </w:r>
      <w:r w:rsidR="0076249E" w:rsidRPr="00F84543">
        <w:rPr>
          <w:rFonts w:cs="Times New Roman"/>
          <w:sz w:val="32"/>
          <w:szCs w:val="32"/>
        </w:rPr>
        <w:t>评优</w:t>
      </w:r>
      <w:r w:rsidR="00A13CBB" w:rsidRPr="00F84543">
        <w:rPr>
          <w:rFonts w:cs="Times New Roman"/>
          <w:sz w:val="32"/>
          <w:szCs w:val="32"/>
        </w:rPr>
        <w:t>资格</w:t>
      </w:r>
      <w:r w:rsidRPr="00F84543">
        <w:rPr>
          <w:rFonts w:cs="Times New Roman"/>
          <w:sz w:val="32"/>
          <w:szCs w:val="32"/>
        </w:rPr>
        <w:t>。</w:t>
      </w:r>
    </w:p>
    <w:p w14:paraId="191C9F0B" w14:textId="65536516" w:rsidR="0092337A" w:rsidRPr="00F84543" w:rsidRDefault="00E974D1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第十</w:t>
      </w:r>
      <w:r w:rsidR="003665E4" w:rsidRPr="00F84543">
        <w:rPr>
          <w:rFonts w:cs="Times New Roman"/>
          <w:b/>
          <w:sz w:val="32"/>
          <w:szCs w:val="32"/>
        </w:rPr>
        <w:t>三</w:t>
      </w:r>
      <w:r w:rsidR="00A511DA"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92337A" w:rsidRPr="00F84543">
        <w:rPr>
          <w:rFonts w:cs="Times New Roman"/>
          <w:sz w:val="32"/>
          <w:szCs w:val="32"/>
        </w:rPr>
        <w:t>本</w:t>
      </w:r>
      <w:r w:rsidR="0004708C">
        <w:rPr>
          <w:rFonts w:cs="Times New Roman"/>
          <w:sz w:val="32"/>
          <w:szCs w:val="32"/>
        </w:rPr>
        <w:t>指引</w:t>
      </w:r>
      <w:r w:rsidR="0092337A" w:rsidRPr="00F84543">
        <w:rPr>
          <w:rFonts w:cs="Times New Roman"/>
          <w:sz w:val="32"/>
          <w:szCs w:val="32"/>
        </w:rPr>
        <w:t>所称</w:t>
      </w:r>
      <w:r w:rsidR="0092337A" w:rsidRPr="00F84543">
        <w:rPr>
          <w:rFonts w:cs="Times New Roman"/>
          <w:sz w:val="32"/>
          <w:szCs w:val="32"/>
        </w:rPr>
        <w:t>“</w:t>
      </w:r>
      <w:r w:rsidR="0092337A" w:rsidRPr="00F84543">
        <w:rPr>
          <w:rFonts w:cs="Times New Roman"/>
          <w:sz w:val="32"/>
          <w:szCs w:val="32"/>
        </w:rPr>
        <w:t>以上</w:t>
      </w:r>
      <w:r w:rsidR="0092337A" w:rsidRPr="00F84543">
        <w:rPr>
          <w:rFonts w:cs="Times New Roman"/>
          <w:sz w:val="32"/>
          <w:szCs w:val="32"/>
        </w:rPr>
        <w:t>”</w:t>
      </w:r>
      <w:r w:rsidR="0092337A" w:rsidRPr="00F84543">
        <w:rPr>
          <w:rFonts w:cs="Times New Roman"/>
          <w:sz w:val="32"/>
          <w:szCs w:val="32"/>
        </w:rPr>
        <w:t>含本数。</w:t>
      </w:r>
    </w:p>
    <w:p w14:paraId="7F627557" w14:textId="536ABA55" w:rsidR="002B55ED" w:rsidRPr="00F84543" w:rsidRDefault="00E974D1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第十</w:t>
      </w:r>
      <w:r w:rsidR="00795F9C" w:rsidRPr="00F84543">
        <w:rPr>
          <w:rFonts w:cs="Times New Roman"/>
          <w:b/>
          <w:sz w:val="32"/>
          <w:szCs w:val="32"/>
        </w:rPr>
        <w:t>四</w:t>
      </w:r>
      <w:r w:rsidR="0092337A"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2B55ED" w:rsidRPr="00F84543">
        <w:rPr>
          <w:rFonts w:cs="Times New Roman"/>
          <w:sz w:val="32"/>
          <w:szCs w:val="32"/>
        </w:rPr>
        <w:t>本</w:t>
      </w:r>
      <w:r w:rsidR="0004708C">
        <w:rPr>
          <w:rFonts w:cs="Times New Roman"/>
          <w:sz w:val="32"/>
          <w:szCs w:val="32"/>
        </w:rPr>
        <w:t>指引</w:t>
      </w:r>
      <w:r w:rsidR="002B55ED" w:rsidRPr="00F84543">
        <w:rPr>
          <w:rFonts w:cs="Times New Roman"/>
          <w:sz w:val="32"/>
          <w:szCs w:val="32"/>
        </w:rPr>
        <w:t>由全国股转公司负责解释。</w:t>
      </w:r>
    </w:p>
    <w:p w14:paraId="1BB199BC" w14:textId="4EBF190F" w:rsidR="0063760E" w:rsidRPr="00F84543" w:rsidRDefault="00E974D1" w:rsidP="00F84543">
      <w:pPr>
        <w:spacing w:line="600" w:lineRule="exact"/>
        <w:ind w:firstLine="643"/>
        <w:rPr>
          <w:rFonts w:cs="Times New Roman"/>
          <w:sz w:val="32"/>
          <w:szCs w:val="32"/>
        </w:rPr>
      </w:pPr>
      <w:r w:rsidRPr="00F84543">
        <w:rPr>
          <w:rFonts w:cs="Times New Roman"/>
          <w:b/>
          <w:sz w:val="32"/>
          <w:szCs w:val="32"/>
        </w:rPr>
        <w:t>第十</w:t>
      </w:r>
      <w:r w:rsidR="00795F9C" w:rsidRPr="00F84543">
        <w:rPr>
          <w:rFonts w:cs="Times New Roman"/>
          <w:b/>
          <w:sz w:val="32"/>
          <w:szCs w:val="32"/>
        </w:rPr>
        <w:t>五</w:t>
      </w:r>
      <w:r w:rsidR="002B55ED" w:rsidRPr="00F84543">
        <w:rPr>
          <w:rFonts w:cs="Times New Roman"/>
          <w:b/>
          <w:sz w:val="32"/>
          <w:szCs w:val="32"/>
        </w:rPr>
        <w:t>条</w:t>
      </w:r>
      <w:r w:rsidR="00CD18E0" w:rsidRPr="00F84543">
        <w:rPr>
          <w:rFonts w:cs="Times New Roman"/>
          <w:b/>
          <w:sz w:val="32"/>
          <w:szCs w:val="32"/>
        </w:rPr>
        <w:t xml:space="preserve"> </w:t>
      </w:r>
      <w:r w:rsidR="00A511DA" w:rsidRPr="00F84543">
        <w:rPr>
          <w:rFonts w:cs="Times New Roman"/>
          <w:sz w:val="32"/>
          <w:szCs w:val="32"/>
        </w:rPr>
        <w:t>本</w:t>
      </w:r>
      <w:r w:rsidR="0004708C">
        <w:rPr>
          <w:rFonts w:cs="Times New Roman"/>
          <w:sz w:val="32"/>
          <w:szCs w:val="32"/>
        </w:rPr>
        <w:t>指引</w:t>
      </w:r>
      <w:r w:rsidR="00A511DA" w:rsidRPr="00F84543">
        <w:rPr>
          <w:rFonts w:cs="Times New Roman"/>
          <w:sz w:val="32"/>
          <w:szCs w:val="32"/>
        </w:rPr>
        <w:t>自</w:t>
      </w:r>
      <w:r w:rsidR="00CD18E0" w:rsidRPr="00F84543">
        <w:rPr>
          <w:rFonts w:cs="Times New Roman"/>
          <w:sz w:val="32"/>
          <w:szCs w:val="32"/>
        </w:rPr>
        <w:t>发布之日</w:t>
      </w:r>
      <w:r w:rsidR="00AA6F9D" w:rsidRPr="00F84543">
        <w:rPr>
          <w:rFonts w:cs="Times New Roman"/>
          <w:sz w:val="32"/>
          <w:szCs w:val="32"/>
        </w:rPr>
        <w:t>起</w:t>
      </w:r>
      <w:r w:rsidR="00A511DA" w:rsidRPr="00F84543">
        <w:rPr>
          <w:rFonts w:cs="Times New Roman"/>
          <w:sz w:val="32"/>
          <w:szCs w:val="32"/>
        </w:rPr>
        <w:t>实施。</w:t>
      </w:r>
    </w:p>
    <w:p w14:paraId="49D3E28C" w14:textId="77777777" w:rsidR="00E80635" w:rsidRPr="00F84543" w:rsidRDefault="00E80635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</w:p>
    <w:p w14:paraId="1085FEF2" w14:textId="47CEA563" w:rsidR="0063760E" w:rsidRPr="00F84543" w:rsidRDefault="0063760E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>附录：</w:t>
      </w:r>
      <w:r w:rsidRPr="00F84543">
        <w:rPr>
          <w:rFonts w:cs="Times New Roman"/>
          <w:sz w:val="32"/>
          <w:szCs w:val="32"/>
        </w:rPr>
        <w:t>1</w:t>
      </w:r>
      <w:r w:rsidR="00F84543">
        <w:rPr>
          <w:rFonts w:cs="Times New Roman" w:hint="eastAsia"/>
          <w:sz w:val="32"/>
          <w:szCs w:val="32"/>
        </w:rPr>
        <w:t>．</w:t>
      </w:r>
      <w:r w:rsidRPr="00F84543">
        <w:rPr>
          <w:rFonts w:cs="Times New Roman"/>
          <w:sz w:val="32"/>
          <w:szCs w:val="32"/>
        </w:rPr>
        <w:t>做市商评价得分项指标说明</w:t>
      </w:r>
    </w:p>
    <w:p w14:paraId="5734CD91" w14:textId="0D1A6131" w:rsidR="000D4F24" w:rsidRPr="00F84543" w:rsidRDefault="0063760E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 xml:space="preserve">      2</w:t>
      </w:r>
      <w:r w:rsidR="00F84543">
        <w:rPr>
          <w:rFonts w:cs="Times New Roman" w:hint="eastAsia"/>
          <w:sz w:val="32"/>
          <w:szCs w:val="32"/>
        </w:rPr>
        <w:t>．</w:t>
      </w:r>
      <w:r w:rsidRPr="00F84543">
        <w:rPr>
          <w:rFonts w:cs="Times New Roman"/>
          <w:sz w:val="32"/>
          <w:szCs w:val="32"/>
        </w:rPr>
        <w:t>做市商评价减分项指标说明</w:t>
      </w:r>
    </w:p>
    <w:p w14:paraId="5F4CB7CA" w14:textId="7BE56C46" w:rsidR="009B76A7" w:rsidRPr="00233F8D" w:rsidRDefault="000D4F24" w:rsidP="00F84543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84543">
        <w:rPr>
          <w:rFonts w:cs="Times New Roman"/>
          <w:sz w:val="32"/>
          <w:szCs w:val="32"/>
        </w:rPr>
        <w:t xml:space="preserve">      </w:t>
      </w:r>
      <w:r w:rsidR="00F84543">
        <w:rPr>
          <w:rFonts w:cs="Times New Roman"/>
          <w:sz w:val="32"/>
          <w:szCs w:val="32"/>
        </w:rPr>
        <w:t>3</w:t>
      </w:r>
      <w:r w:rsidR="00F84543">
        <w:rPr>
          <w:rFonts w:cs="Times New Roman" w:hint="eastAsia"/>
          <w:sz w:val="32"/>
          <w:szCs w:val="32"/>
        </w:rPr>
        <w:t>．</w:t>
      </w:r>
      <w:r w:rsidRPr="00F84543">
        <w:rPr>
          <w:rFonts w:cs="Times New Roman"/>
          <w:sz w:val="32"/>
          <w:szCs w:val="32"/>
        </w:rPr>
        <w:t>做市商评价得分计算方法</w:t>
      </w:r>
      <w:r w:rsidR="009B76A7" w:rsidRPr="00233F8D">
        <w:rPr>
          <w:rFonts w:cs="Times New Roman"/>
          <w:sz w:val="32"/>
          <w:szCs w:val="32"/>
        </w:rPr>
        <w:br w:type="page"/>
      </w:r>
    </w:p>
    <w:p w14:paraId="5F6D73AD" w14:textId="5777CD84" w:rsidR="009340E7" w:rsidRPr="00F4168A" w:rsidRDefault="009B76A7" w:rsidP="00F4168A">
      <w:pPr>
        <w:spacing w:line="240" w:lineRule="auto"/>
        <w:ind w:firstLineChars="0" w:firstLine="0"/>
        <w:rPr>
          <w:rFonts w:eastAsia="黑体" w:cs="Times New Roman"/>
          <w:sz w:val="32"/>
        </w:rPr>
      </w:pPr>
      <w:r w:rsidRPr="00F4168A">
        <w:rPr>
          <w:rFonts w:eastAsia="黑体" w:cs="Times New Roman" w:hint="eastAsia"/>
          <w:sz w:val="32"/>
        </w:rPr>
        <w:lastRenderedPageBreak/>
        <w:t>附</w:t>
      </w:r>
      <w:r w:rsidR="00081F71" w:rsidRPr="00F4168A">
        <w:rPr>
          <w:rFonts w:eastAsia="黑体" w:cs="Times New Roman" w:hint="eastAsia"/>
          <w:sz w:val="32"/>
        </w:rPr>
        <w:t>录</w:t>
      </w:r>
      <w:r w:rsidR="0063760E" w:rsidRPr="00F4168A">
        <w:rPr>
          <w:rFonts w:eastAsia="黑体" w:cs="Times New Roman"/>
          <w:sz w:val="32"/>
        </w:rPr>
        <w:t>1</w:t>
      </w:r>
    </w:p>
    <w:p w14:paraId="3071706D" w14:textId="77777777" w:rsidR="00F77749" w:rsidRPr="00F4168A" w:rsidRDefault="00F77749" w:rsidP="00F4168A">
      <w:pPr>
        <w:tabs>
          <w:tab w:val="center" w:pos="4365"/>
          <w:tab w:val="left" w:pos="6855"/>
        </w:tabs>
        <w:spacing w:line="600" w:lineRule="exact"/>
        <w:ind w:firstLineChars="0" w:firstLine="0"/>
        <w:jc w:val="center"/>
        <w:rPr>
          <w:rFonts w:eastAsia="方正大标宋简体" w:cs="Times New Roman"/>
          <w:color w:val="000000"/>
          <w:sz w:val="44"/>
          <w:szCs w:val="42"/>
        </w:rPr>
      </w:pPr>
    </w:p>
    <w:p w14:paraId="0AF2CE5B" w14:textId="43C3A967" w:rsidR="00F77749" w:rsidRPr="00F4168A" w:rsidRDefault="00F77749" w:rsidP="00F4168A">
      <w:pPr>
        <w:tabs>
          <w:tab w:val="center" w:pos="4365"/>
          <w:tab w:val="left" w:pos="6855"/>
        </w:tabs>
        <w:spacing w:line="600" w:lineRule="exact"/>
        <w:ind w:firstLineChars="0" w:firstLine="0"/>
        <w:jc w:val="center"/>
        <w:rPr>
          <w:rFonts w:eastAsia="方正大标宋简体" w:cs="Times New Roman"/>
          <w:color w:val="000000"/>
          <w:sz w:val="44"/>
          <w:szCs w:val="42"/>
        </w:rPr>
      </w:pPr>
      <w:r w:rsidRPr="00F4168A">
        <w:rPr>
          <w:rFonts w:eastAsia="方正大标宋简体" w:cs="Times New Roman" w:hint="eastAsia"/>
          <w:color w:val="000000"/>
          <w:sz w:val="44"/>
          <w:szCs w:val="42"/>
        </w:rPr>
        <w:t>做市商评价得分项指标说明</w:t>
      </w:r>
    </w:p>
    <w:p w14:paraId="4446AF75" w14:textId="77777777" w:rsidR="00F77749" w:rsidRPr="00F4168A" w:rsidRDefault="00F77749" w:rsidP="00F4168A">
      <w:pPr>
        <w:tabs>
          <w:tab w:val="center" w:pos="4365"/>
          <w:tab w:val="left" w:pos="6855"/>
        </w:tabs>
        <w:spacing w:line="600" w:lineRule="exact"/>
        <w:ind w:firstLineChars="0" w:firstLine="0"/>
        <w:jc w:val="center"/>
        <w:rPr>
          <w:rFonts w:eastAsia="方正大标宋简体" w:cs="Times New Roman"/>
          <w:color w:val="000000"/>
          <w:sz w:val="44"/>
          <w:szCs w:val="42"/>
        </w:rPr>
      </w:pPr>
    </w:p>
    <w:tbl>
      <w:tblPr>
        <w:tblStyle w:val="a5"/>
        <w:tblW w:w="10632" w:type="dxa"/>
        <w:jc w:val="center"/>
        <w:tblLook w:val="04A0" w:firstRow="1" w:lastRow="0" w:firstColumn="1" w:lastColumn="0" w:noHBand="0" w:noVBand="1"/>
      </w:tblPr>
      <w:tblGrid>
        <w:gridCol w:w="850"/>
        <w:gridCol w:w="1985"/>
        <w:gridCol w:w="6804"/>
        <w:gridCol w:w="993"/>
      </w:tblGrid>
      <w:tr w:rsidR="00F77749" w:rsidRPr="00F4168A" w14:paraId="2F577906" w14:textId="77777777" w:rsidTr="00F4168A">
        <w:trPr>
          <w:jc w:val="center"/>
        </w:trPr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6B555CBD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b/>
                <w:sz w:val="24"/>
                <w:szCs w:val="21"/>
              </w:rPr>
            </w:pPr>
            <w:r w:rsidRPr="00F4168A">
              <w:rPr>
                <w:rFonts w:cs="Times New Roman"/>
                <w:b/>
                <w:sz w:val="24"/>
                <w:szCs w:val="21"/>
              </w:rPr>
              <w:t>指标项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44D3AA8F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b/>
                <w:sz w:val="24"/>
                <w:szCs w:val="21"/>
              </w:rPr>
            </w:pPr>
            <w:r w:rsidRPr="00F4168A">
              <w:rPr>
                <w:rFonts w:cs="Times New Roman"/>
                <w:b/>
                <w:sz w:val="24"/>
                <w:szCs w:val="21"/>
              </w:rPr>
              <w:t>指标说明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742F902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b/>
                <w:sz w:val="24"/>
                <w:szCs w:val="21"/>
              </w:rPr>
            </w:pPr>
            <w:r w:rsidRPr="00F4168A">
              <w:rPr>
                <w:rFonts w:cs="Times New Roman"/>
                <w:b/>
                <w:sz w:val="24"/>
                <w:szCs w:val="21"/>
              </w:rPr>
              <w:t>分值</w:t>
            </w:r>
          </w:p>
        </w:tc>
      </w:tr>
      <w:tr w:rsidR="00F77749" w:rsidRPr="00F4168A" w14:paraId="351D05D7" w14:textId="77777777" w:rsidTr="00F4168A">
        <w:trPr>
          <w:jc w:val="center"/>
        </w:trPr>
        <w:tc>
          <w:tcPr>
            <w:tcW w:w="850" w:type="dxa"/>
            <w:vMerge w:val="restart"/>
            <w:vAlign w:val="center"/>
          </w:tcPr>
          <w:p w14:paraId="49CAB6F7" w14:textId="73B38EF1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做市规模</w:t>
            </w:r>
          </w:p>
        </w:tc>
        <w:tc>
          <w:tcPr>
            <w:tcW w:w="1985" w:type="dxa"/>
            <w:vAlign w:val="center"/>
          </w:tcPr>
          <w:p w14:paraId="00DA0F21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做市股票数量</w:t>
            </w:r>
          </w:p>
        </w:tc>
        <w:tc>
          <w:tcPr>
            <w:tcW w:w="6804" w:type="dxa"/>
            <w:vAlign w:val="center"/>
          </w:tcPr>
          <w:p w14:paraId="48831FF5" w14:textId="24AA1C86" w:rsidR="00F77749" w:rsidRPr="00F4168A" w:rsidRDefault="00F77749" w:rsidP="00F4168A">
            <w:pPr>
              <w:spacing w:line="400" w:lineRule="exact"/>
              <w:ind w:firstLineChars="0" w:firstLine="0"/>
              <w:jc w:val="left"/>
              <w:rPr>
                <w:rFonts w:cs="Times New Roman"/>
                <w:sz w:val="24"/>
                <w:szCs w:val="21"/>
              </w:rPr>
            </w:pPr>
            <w:proofErr w:type="gramStart"/>
            <w:r w:rsidRPr="00F4168A">
              <w:rPr>
                <w:rFonts w:cs="Times New Roman"/>
                <w:sz w:val="24"/>
                <w:szCs w:val="21"/>
              </w:rPr>
              <w:t>指评价期</w:t>
            </w:r>
            <w:proofErr w:type="gramEnd"/>
            <w:r w:rsidRPr="00F4168A">
              <w:rPr>
                <w:rFonts w:cs="Times New Roman"/>
                <w:sz w:val="24"/>
                <w:szCs w:val="21"/>
              </w:rPr>
              <w:t>内</w:t>
            </w:r>
            <w:r w:rsidR="003A1667" w:rsidRPr="00F4168A">
              <w:rPr>
                <w:rFonts w:cs="Times New Roman"/>
                <w:sz w:val="24"/>
                <w:szCs w:val="21"/>
              </w:rPr>
              <w:t>，</w:t>
            </w:r>
            <w:r w:rsidRPr="00F4168A">
              <w:rPr>
                <w:rFonts w:cs="Times New Roman"/>
                <w:sz w:val="24"/>
                <w:szCs w:val="21"/>
              </w:rPr>
              <w:t>做市商日均做市股票只数。日均做市股票</w:t>
            </w:r>
            <w:r w:rsidR="003A1667" w:rsidRPr="00F4168A">
              <w:rPr>
                <w:rFonts w:cs="Times New Roman"/>
                <w:sz w:val="24"/>
                <w:szCs w:val="21"/>
              </w:rPr>
              <w:t>只数</w:t>
            </w:r>
            <w:r w:rsidRPr="00F4168A">
              <w:rPr>
                <w:rFonts w:cs="Times New Roman"/>
                <w:sz w:val="24"/>
                <w:szCs w:val="21"/>
              </w:rPr>
              <w:t>越多，指标得分越高。</w:t>
            </w:r>
          </w:p>
        </w:tc>
        <w:tc>
          <w:tcPr>
            <w:tcW w:w="993" w:type="dxa"/>
            <w:vAlign w:val="center"/>
          </w:tcPr>
          <w:p w14:paraId="696DD1F8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20</w:t>
            </w:r>
            <w:r w:rsidRPr="00F4168A">
              <w:rPr>
                <w:rFonts w:cs="Times New Roman"/>
                <w:sz w:val="24"/>
                <w:szCs w:val="21"/>
              </w:rPr>
              <w:t>分</w:t>
            </w:r>
          </w:p>
        </w:tc>
      </w:tr>
      <w:tr w:rsidR="00F77749" w:rsidRPr="00F4168A" w14:paraId="22FB712A" w14:textId="77777777" w:rsidTr="00F4168A">
        <w:trPr>
          <w:jc w:val="center"/>
        </w:trPr>
        <w:tc>
          <w:tcPr>
            <w:tcW w:w="850" w:type="dxa"/>
            <w:vMerge/>
            <w:vAlign w:val="center"/>
          </w:tcPr>
          <w:p w14:paraId="3575CE6A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37C9306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做市股票市值</w:t>
            </w:r>
          </w:p>
        </w:tc>
        <w:tc>
          <w:tcPr>
            <w:tcW w:w="6804" w:type="dxa"/>
            <w:vAlign w:val="center"/>
          </w:tcPr>
          <w:p w14:paraId="5D2110D7" w14:textId="2D150F48" w:rsidR="00F77749" w:rsidRPr="00F4168A" w:rsidRDefault="00F77749" w:rsidP="00F4168A">
            <w:pPr>
              <w:spacing w:line="400" w:lineRule="exact"/>
              <w:ind w:firstLineChars="0" w:firstLine="0"/>
              <w:jc w:val="left"/>
              <w:rPr>
                <w:rFonts w:cs="Times New Roman"/>
                <w:sz w:val="24"/>
                <w:szCs w:val="21"/>
              </w:rPr>
            </w:pPr>
            <w:proofErr w:type="gramStart"/>
            <w:r w:rsidRPr="00F4168A">
              <w:rPr>
                <w:rFonts w:cs="Times New Roman"/>
                <w:sz w:val="24"/>
                <w:szCs w:val="21"/>
              </w:rPr>
              <w:t>指评价期</w:t>
            </w:r>
            <w:proofErr w:type="gramEnd"/>
            <w:r w:rsidRPr="00F4168A">
              <w:rPr>
                <w:rFonts w:cs="Times New Roman"/>
                <w:sz w:val="24"/>
                <w:szCs w:val="21"/>
              </w:rPr>
              <w:t>内</w:t>
            </w:r>
            <w:r w:rsidR="003A1667" w:rsidRPr="00F4168A">
              <w:rPr>
                <w:rFonts w:cs="Times New Roman"/>
                <w:sz w:val="24"/>
                <w:szCs w:val="21"/>
              </w:rPr>
              <w:t>，</w:t>
            </w:r>
            <w:r w:rsidRPr="00F4168A">
              <w:rPr>
                <w:rFonts w:cs="Times New Roman"/>
                <w:sz w:val="24"/>
                <w:szCs w:val="21"/>
              </w:rPr>
              <w:t>做市商</w:t>
            </w:r>
            <w:proofErr w:type="gramStart"/>
            <w:r w:rsidRPr="00F4168A">
              <w:rPr>
                <w:rFonts w:cs="Times New Roman"/>
                <w:sz w:val="24"/>
                <w:szCs w:val="21"/>
              </w:rPr>
              <w:t>持股日均</w:t>
            </w:r>
            <w:proofErr w:type="gramEnd"/>
            <w:r w:rsidRPr="00F4168A">
              <w:rPr>
                <w:rFonts w:cs="Times New Roman"/>
                <w:sz w:val="24"/>
                <w:szCs w:val="21"/>
              </w:rPr>
              <w:t>市值。日均市值越高，指标得分越高。</w:t>
            </w:r>
          </w:p>
        </w:tc>
        <w:tc>
          <w:tcPr>
            <w:tcW w:w="993" w:type="dxa"/>
            <w:vAlign w:val="center"/>
          </w:tcPr>
          <w:p w14:paraId="588FE2C4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20</w:t>
            </w:r>
            <w:r w:rsidRPr="00F4168A">
              <w:rPr>
                <w:rFonts w:cs="Times New Roman"/>
                <w:sz w:val="24"/>
                <w:szCs w:val="21"/>
              </w:rPr>
              <w:t>分</w:t>
            </w:r>
          </w:p>
        </w:tc>
      </w:tr>
      <w:tr w:rsidR="00F77749" w:rsidRPr="00F4168A" w14:paraId="3E12FA95" w14:textId="77777777" w:rsidTr="00F4168A">
        <w:trPr>
          <w:jc w:val="center"/>
        </w:trPr>
        <w:tc>
          <w:tcPr>
            <w:tcW w:w="850" w:type="dxa"/>
            <w:vMerge w:val="restart"/>
            <w:vAlign w:val="center"/>
          </w:tcPr>
          <w:p w14:paraId="23312AAE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流动性提供</w:t>
            </w:r>
          </w:p>
        </w:tc>
        <w:tc>
          <w:tcPr>
            <w:tcW w:w="1985" w:type="dxa"/>
            <w:vAlign w:val="center"/>
          </w:tcPr>
          <w:p w14:paraId="303F278F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成交金额</w:t>
            </w:r>
          </w:p>
        </w:tc>
        <w:tc>
          <w:tcPr>
            <w:tcW w:w="6804" w:type="dxa"/>
            <w:vAlign w:val="center"/>
          </w:tcPr>
          <w:p w14:paraId="01DD6455" w14:textId="1BF80564" w:rsidR="00F77749" w:rsidRPr="00F4168A" w:rsidRDefault="00F77749" w:rsidP="00F4168A">
            <w:pPr>
              <w:spacing w:line="400" w:lineRule="exact"/>
              <w:ind w:firstLineChars="0" w:firstLine="0"/>
              <w:jc w:val="left"/>
              <w:rPr>
                <w:rFonts w:cs="Times New Roman"/>
                <w:sz w:val="24"/>
                <w:szCs w:val="21"/>
              </w:rPr>
            </w:pPr>
            <w:proofErr w:type="gramStart"/>
            <w:r w:rsidRPr="00F4168A">
              <w:rPr>
                <w:rFonts w:cs="Times New Roman"/>
                <w:sz w:val="24"/>
                <w:szCs w:val="21"/>
              </w:rPr>
              <w:t>指评价期</w:t>
            </w:r>
            <w:proofErr w:type="gramEnd"/>
            <w:r w:rsidRPr="00F4168A">
              <w:rPr>
                <w:rFonts w:cs="Times New Roman"/>
                <w:sz w:val="24"/>
                <w:szCs w:val="21"/>
              </w:rPr>
              <w:t>内</w:t>
            </w:r>
            <w:r w:rsidR="003A1667" w:rsidRPr="00F4168A">
              <w:rPr>
                <w:rFonts w:cs="Times New Roman"/>
                <w:sz w:val="24"/>
                <w:szCs w:val="21"/>
              </w:rPr>
              <w:t>，</w:t>
            </w:r>
            <w:r w:rsidRPr="00F4168A">
              <w:rPr>
                <w:rFonts w:cs="Times New Roman"/>
                <w:sz w:val="24"/>
                <w:szCs w:val="21"/>
              </w:rPr>
              <w:t>做市商盘中</w:t>
            </w:r>
            <w:r w:rsidR="00194F29" w:rsidRPr="00F4168A">
              <w:rPr>
                <w:rFonts w:cs="Times New Roman"/>
                <w:sz w:val="24"/>
                <w:szCs w:val="21"/>
              </w:rPr>
              <w:t>做市转让</w:t>
            </w:r>
            <w:r w:rsidRPr="00F4168A">
              <w:rPr>
                <w:rFonts w:cs="Times New Roman"/>
                <w:sz w:val="24"/>
                <w:szCs w:val="21"/>
              </w:rPr>
              <w:t>总成交金额。成交金额越高，指标得分越高。</w:t>
            </w:r>
          </w:p>
        </w:tc>
        <w:tc>
          <w:tcPr>
            <w:tcW w:w="993" w:type="dxa"/>
            <w:vAlign w:val="center"/>
          </w:tcPr>
          <w:p w14:paraId="255EBA04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20</w:t>
            </w:r>
            <w:r w:rsidRPr="00F4168A">
              <w:rPr>
                <w:rFonts w:cs="Times New Roman"/>
                <w:sz w:val="24"/>
                <w:szCs w:val="21"/>
              </w:rPr>
              <w:t>分</w:t>
            </w:r>
          </w:p>
        </w:tc>
      </w:tr>
      <w:tr w:rsidR="00F77749" w:rsidRPr="00F4168A" w14:paraId="60E11FDC" w14:textId="77777777" w:rsidTr="00F4168A">
        <w:trPr>
          <w:jc w:val="center"/>
        </w:trPr>
        <w:tc>
          <w:tcPr>
            <w:tcW w:w="850" w:type="dxa"/>
            <w:vMerge/>
            <w:vAlign w:val="center"/>
          </w:tcPr>
          <w:p w14:paraId="7923E969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1BE65B1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个股成交量占比</w:t>
            </w:r>
          </w:p>
        </w:tc>
        <w:tc>
          <w:tcPr>
            <w:tcW w:w="6804" w:type="dxa"/>
            <w:vAlign w:val="center"/>
          </w:tcPr>
          <w:p w14:paraId="30501D94" w14:textId="5E751200" w:rsidR="00F77749" w:rsidRPr="00F4168A" w:rsidRDefault="00F77749" w:rsidP="00F4168A">
            <w:pPr>
              <w:spacing w:line="400" w:lineRule="exact"/>
              <w:ind w:firstLineChars="0" w:firstLine="0"/>
              <w:jc w:val="left"/>
              <w:rPr>
                <w:rFonts w:cs="Times New Roman"/>
                <w:sz w:val="24"/>
                <w:szCs w:val="21"/>
              </w:rPr>
            </w:pPr>
            <w:proofErr w:type="gramStart"/>
            <w:r w:rsidRPr="00F4168A">
              <w:rPr>
                <w:rFonts w:cs="Times New Roman"/>
                <w:sz w:val="24"/>
                <w:szCs w:val="21"/>
              </w:rPr>
              <w:t>指评价期</w:t>
            </w:r>
            <w:proofErr w:type="gramEnd"/>
            <w:r w:rsidRPr="00F4168A">
              <w:rPr>
                <w:rFonts w:cs="Times New Roman"/>
                <w:sz w:val="24"/>
                <w:szCs w:val="21"/>
              </w:rPr>
              <w:t>内</w:t>
            </w:r>
            <w:r w:rsidR="003A1667" w:rsidRPr="00F4168A">
              <w:rPr>
                <w:rFonts w:cs="Times New Roman"/>
                <w:sz w:val="24"/>
                <w:szCs w:val="21"/>
              </w:rPr>
              <w:t>，</w:t>
            </w:r>
            <w:r w:rsidRPr="00F4168A">
              <w:rPr>
                <w:rFonts w:cs="Times New Roman"/>
                <w:sz w:val="24"/>
                <w:szCs w:val="21"/>
              </w:rPr>
              <w:t>做市商</w:t>
            </w:r>
            <w:r w:rsidR="003A1667" w:rsidRPr="00F4168A">
              <w:rPr>
                <w:rFonts w:cs="Times New Roman"/>
                <w:sz w:val="24"/>
                <w:szCs w:val="21"/>
              </w:rPr>
              <w:t>在</w:t>
            </w:r>
            <w:r w:rsidRPr="00F4168A">
              <w:rPr>
                <w:rFonts w:cs="Times New Roman"/>
                <w:sz w:val="24"/>
                <w:szCs w:val="21"/>
              </w:rPr>
              <w:t>单只做市股票</w:t>
            </w:r>
            <w:r w:rsidR="003A1667" w:rsidRPr="00F4168A">
              <w:rPr>
                <w:rFonts w:cs="Times New Roman"/>
                <w:sz w:val="24"/>
                <w:szCs w:val="21"/>
              </w:rPr>
              <w:t>上</w:t>
            </w:r>
            <w:r w:rsidR="00194F29" w:rsidRPr="00F4168A">
              <w:rPr>
                <w:rFonts w:cs="Times New Roman"/>
                <w:sz w:val="24"/>
                <w:szCs w:val="21"/>
              </w:rPr>
              <w:t>盘中</w:t>
            </w:r>
            <w:r w:rsidRPr="00F4168A">
              <w:rPr>
                <w:rFonts w:cs="Times New Roman"/>
                <w:sz w:val="24"/>
                <w:szCs w:val="21"/>
              </w:rPr>
              <w:t>成交量占</w:t>
            </w:r>
            <w:r w:rsidR="003A1667" w:rsidRPr="00F4168A">
              <w:rPr>
                <w:rFonts w:cs="Times New Roman"/>
                <w:sz w:val="24"/>
                <w:szCs w:val="21"/>
              </w:rPr>
              <w:t>该股票盘中总成交量的比重。</w:t>
            </w:r>
            <w:r w:rsidRPr="00F4168A">
              <w:rPr>
                <w:rFonts w:cs="Times New Roman"/>
                <w:sz w:val="24"/>
                <w:szCs w:val="21"/>
              </w:rPr>
              <w:t>个股成交量占比越高，指标得分越高。</w:t>
            </w:r>
          </w:p>
        </w:tc>
        <w:tc>
          <w:tcPr>
            <w:tcW w:w="993" w:type="dxa"/>
            <w:vAlign w:val="center"/>
          </w:tcPr>
          <w:p w14:paraId="0C8B8E5C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10</w:t>
            </w:r>
            <w:r w:rsidRPr="00F4168A">
              <w:rPr>
                <w:rFonts w:cs="Times New Roman"/>
                <w:sz w:val="24"/>
                <w:szCs w:val="21"/>
              </w:rPr>
              <w:t>分</w:t>
            </w:r>
          </w:p>
        </w:tc>
      </w:tr>
      <w:tr w:rsidR="00F77749" w:rsidRPr="00F4168A" w14:paraId="030A92C1" w14:textId="77777777" w:rsidTr="00F4168A">
        <w:trPr>
          <w:jc w:val="center"/>
        </w:trPr>
        <w:tc>
          <w:tcPr>
            <w:tcW w:w="850" w:type="dxa"/>
            <w:vMerge/>
            <w:vAlign w:val="center"/>
          </w:tcPr>
          <w:p w14:paraId="37901CDB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EAFC08C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订单深度</w:t>
            </w:r>
          </w:p>
        </w:tc>
        <w:tc>
          <w:tcPr>
            <w:tcW w:w="6804" w:type="dxa"/>
            <w:vAlign w:val="center"/>
          </w:tcPr>
          <w:p w14:paraId="277A7D2C" w14:textId="0D8B7E3E" w:rsidR="00F77749" w:rsidRPr="00F4168A" w:rsidRDefault="00F77749" w:rsidP="00F4168A">
            <w:pPr>
              <w:spacing w:line="400" w:lineRule="exact"/>
              <w:ind w:firstLineChars="0" w:firstLine="0"/>
              <w:jc w:val="left"/>
              <w:rPr>
                <w:rFonts w:cs="Times New Roman"/>
                <w:sz w:val="24"/>
                <w:szCs w:val="21"/>
              </w:rPr>
            </w:pPr>
            <w:proofErr w:type="gramStart"/>
            <w:r w:rsidRPr="00F4168A">
              <w:rPr>
                <w:rFonts w:cs="Times New Roman"/>
                <w:sz w:val="24"/>
                <w:szCs w:val="21"/>
              </w:rPr>
              <w:t>指</w:t>
            </w:r>
            <w:r w:rsidR="003A1667" w:rsidRPr="00F4168A">
              <w:rPr>
                <w:rFonts w:cs="Times New Roman"/>
                <w:sz w:val="24"/>
                <w:szCs w:val="21"/>
              </w:rPr>
              <w:t>评价期</w:t>
            </w:r>
            <w:proofErr w:type="gramEnd"/>
            <w:r w:rsidR="003A1667" w:rsidRPr="00F4168A">
              <w:rPr>
                <w:rFonts w:cs="Times New Roman"/>
                <w:sz w:val="24"/>
                <w:szCs w:val="21"/>
              </w:rPr>
              <w:t>内，做市商</w:t>
            </w:r>
            <w:r w:rsidRPr="00F4168A">
              <w:rPr>
                <w:rFonts w:cs="Times New Roman"/>
                <w:sz w:val="24"/>
                <w:szCs w:val="21"/>
              </w:rPr>
              <w:t>盘中买方向与卖方向申报数量的总和，申报数量按时间进行加权处理。</w:t>
            </w:r>
            <w:r w:rsidR="00821E6B" w:rsidRPr="00F4168A">
              <w:rPr>
                <w:rFonts w:cs="Times New Roman"/>
                <w:sz w:val="24"/>
                <w:szCs w:val="21"/>
              </w:rPr>
              <w:t>订单深度</w:t>
            </w:r>
            <w:r w:rsidRPr="00F4168A">
              <w:rPr>
                <w:rFonts w:cs="Times New Roman"/>
                <w:sz w:val="24"/>
                <w:szCs w:val="21"/>
              </w:rPr>
              <w:t>越高，指标得分越高。</w:t>
            </w:r>
          </w:p>
        </w:tc>
        <w:tc>
          <w:tcPr>
            <w:tcW w:w="993" w:type="dxa"/>
            <w:vAlign w:val="center"/>
          </w:tcPr>
          <w:p w14:paraId="2120D14F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10</w:t>
            </w:r>
            <w:r w:rsidRPr="00F4168A">
              <w:rPr>
                <w:rFonts w:cs="Times New Roman"/>
                <w:sz w:val="24"/>
                <w:szCs w:val="21"/>
              </w:rPr>
              <w:t>分</w:t>
            </w:r>
          </w:p>
        </w:tc>
      </w:tr>
      <w:tr w:rsidR="00F77749" w:rsidRPr="00F4168A" w14:paraId="2166A2BB" w14:textId="77777777" w:rsidTr="00F4168A">
        <w:trPr>
          <w:jc w:val="center"/>
        </w:trPr>
        <w:tc>
          <w:tcPr>
            <w:tcW w:w="850" w:type="dxa"/>
            <w:vMerge w:val="restart"/>
            <w:vAlign w:val="center"/>
          </w:tcPr>
          <w:p w14:paraId="1C078738" w14:textId="77777777" w:rsidR="009A4B99" w:rsidRPr="00F4168A" w:rsidRDefault="009A4B9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报价</w:t>
            </w:r>
          </w:p>
          <w:p w14:paraId="43D38FF9" w14:textId="67DB31A7" w:rsidR="00F77749" w:rsidRPr="00F4168A" w:rsidRDefault="009A4B9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质量</w:t>
            </w:r>
          </w:p>
        </w:tc>
        <w:tc>
          <w:tcPr>
            <w:tcW w:w="1985" w:type="dxa"/>
            <w:vAlign w:val="center"/>
          </w:tcPr>
          <w:p w14:paraId="2647191A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最优报价时间</w:t>
            </w:r>
          </w:p>
        </w:tc>
        <w:tc>
          <w:tcPr>
            <w:tcW w:w="6804" w:type="dxa"/>
            <w:vAlign w:val="center"/>
          </w:tcPr>
          <w:p w14:paraId="109AC587" w14:textId="57D53822" w:rsidR="00F77749" w:rsidRPr="00F4168A" w:rsidRDefault="00F77749" w:rsidP="00F4168A">
            <w:pPr>
              <w:spacing w:line="400" w:lineRule="exact"/>
              <w:ind w:firstLineChars="0" w:firstLine="0"/>
              <w:jc w:val="left"/>
              <w:rPr>
                <w:rFonts w:cs="Times New Roman"/>
                <w:sz w:val="24"/>
                <w:szCs w:val="21"/>
              </w:rPr>
            </w:pPr>
            <w:proofErr w:type="gramStart"/>
            <w:r w:rsidRPr="00F4168A">
              <w:rPr>
                <w:rFonts w:cs="Times New Roman"/>
                <w:sz w:val="24"/>
                <w:szCs w:val="21"/>
              </w:rPr>
              <w:t>指评价期</w:t>
            </w:r>
            <w:proofErr w:type="gramEnd"/>
            <w:r w:rsidRPr="00F4168A">
              <w:rPr>
                <w:rFonts w:cs="Times New Roman"/>
                <w:sz w:val="24"/>
                <w:szCs w:val="21"/>
              </w:rPr>
              <w:t>内</w:t>
            </w:r>
            <w:r w:rsidR="0021487B" w:rsidRPr="00F4168A">
              <w:rPr>
                <w:rFonts w:cs="Times New Roman"/>
                <w:sz w:val="24"/>
                <w:szCs w:val="21"/>
              </w:rPr>
              <w:t>，</w:t>
            </w:r>
            <w:r w:rsidRPr="00F4168A">
              <w:rPr>
                <w:rFonts w:cs="Times New Roman"/>
                <w:sz w:val="24"/>
                <w:szCs w:val="21"/>
              </w:rPr>
              <w:t>做市商</w:t>
            </w:r>
            <w:r w:rsidR="0021487B" w:rsidRPr="00F4168A">
              <w:rPr>
                <w:rFonts w:cs="Times New Roman"/>
                <w:sz w:val="24"/>
                <w:szCs w:val="21"/>
              </w:rPr>
              <w:t>盘中</w:t>
            </w:r>
            <w:r w:rsidRPr="00F4168A">
              <w:rPr>
                <w:rFonts w:cs="Times New Roman"/>
                <w:sz w:val="24"/>
                <w:szCs w:val="21"/>
              </w:rPr>
              <w:t>提供买</w:t>
            </w:r>
            <w:r w:rsidR="0021487B" w:rsidRPr="00F4168A">
              <w:rPr>
                <w:rFonts w:cs="Times New Roman"/>
                <w:sz w:val="24"/>
                <w:szCs w:val="21"/>
              </w:rPr>
              <w:t>方向和</w:t>
            </w:r>
            <w:r w:rsidRPr="00F4168A">
              <w:rPr>
                <w:rFonts w:cs="Times New Roman"/>
                <w:sz w:val="24"/>
                <w:szCs w:val="21"/>
              </w:rPr>
              <w:t>卖</w:t>
            </w:r>
            <w:r w:rsidR="0021487B" w:rsidRPr="00F4168A">
              <w:rPr>
                <w:rFonts w:cs="Times New Roman"/>
                <w:sz w:val="24"/>
                <w:szCs w:val="21"/>
              </w:rPr>
              <w:t>方向最优</w:t>
            </w:r>
            <w:r w:rsidRPr="00F4168A">
              <w:rPr>
                <w:rFonts w:cs="Times New Roman"/>
                <w:sz w:val="24"/>
                <w:szCs w:val="21"/>
              </w:rPr>
              <w:t>报价的时长。</w:t>
            </w:r>
            <w:r w:rsidR="00B86E1A" w:rsidRPr="00F4168A">
              <w:rPr>
                <w:rFonts w:cs="Times New Roman"/>
                <w:sz w:val="24"/>
                <w:szCs w:val="21"/>
              </w:rPr>
              <w:t>最优</w:t>
            </w:r>
            <w:r w:rsidRPr="00F4168A">
              <w:rPr>
                <w:rFonts w:cs="Times New Roman"/>
                <w:sz w:val="24"/>
                <w:szCs w:val="21"/>
              </w:rPr>
              <w:t>报价时间越长，指标得分越高。</w:t>
            </w:r>
          </w:p>
        </w:tc>
        <w:tc>
          <w:tcPr>
            <w:tcW w:w="993" w:type="dxa"/>
            <w:vAlign w:val="center"/>
          </w:tcPr>
          <w:p w14:paraId="1C987FAC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10</w:t>
            </w:r>
            <w:r w:rsidRPr="00F4168A">
              <w:rPr>
                <w:rFonts w:cs="Times New Roman"/>
                <w:sz w:val="24"/>
                <w:szCs w:val="21"/>
              </w:rPr>
              <w:t>分</w:t>
            </w:r>
          </w:p>
        </w:tc>
      </w:tr>
      <w:tr w:rsidR="00F77749" w:rsidRPr="00F4168A" w14:paraId="6D22E052" w14:textId="77777777" w:rsidTr="00F4168A">
        <w:trPr>
          <w:jc w:val="center"/>
        </w:trPr>
        <w:tc>
          <w:tcPr>
            <w:tcW w:w="850" w:type="dxa"/>
            <w:vMerge/>
            <w:vAlign w:val="center"/>
          </w:tcPr>
          <w:p w14:paraId="797DB114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5FF419A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买卖价差</w:t>
            </w:r>
          </w:p>
        </w:tc>
        <w:tc>
          <w:tcPr>
            <w:tcW w:w="6804" w:type="dxa"/>
            <w:vAlign w:val="center"/>
          </w:tcPr>
          <w:p w14:paraId="0C849C2C" w14:textId="27308251" w:rsidR="00F77749" w:rsidRPr="00F4168A" w:rsidRDefault="00F77749" w:rsidP="00F4168A">
            <w:pPr>
              <w:spacing w:line="400" w:lineRule="exact"/>
              <w:ind w:firstLineChars="0" w:firstLine="0"/>
              <w:jc w:val="left"/>
              <w:rPr>
                <w:rFonts w:cs="Times New Roman"/>
                <w:sz w:val="24"/>
                <w:szCs w:val="21"/>
              </w:rPr>
            </w:pPr>
            <w:proofErr w:type="gramStart"/>
            <w:r w:rsidRPr="00F4168A">
              <w:rPr>
                <w:rFonts w:cs="Times New Roman"/>
                <w:sz w:val="24"/>
                <w:szCs w:val="21"/>
              </w:rPr>
              <w:t>指评价期</w:t>
            </w:r>
            <w:proofErr w:type="gramEnd"/>
            <w:r w:rsidRPr="00F4168A">
              <w:rPr>
                <w:rFonts w:cs="Times New Roman"/>
                <w:sz w:val="24"/>
                <w:szCs w:val="21"/>
              </w:rPr>
              <w:t>内</w:t>
            </w:r>
            <w:r w:rsidR="0023259B" w:rsidRPr="00F4168A">
              <w:rPr>
                <w:rFonts w:cs="Times New Roman"/>
                <w:sz w:val="24"/>
                <w:szCs w:val="21"/>
              </w:rPr>
              <w:t>，</w:t>
            </w:r>
            <w:r w:rsidRPr="00F4168A">
              <w:rPr>
                <w:rFonts w:cs="Times New Roman"/>
                <w:sz w:val="24"/>
                <w:szCs w:val="21"/>
              </w:rPr>
              <w:t>做市商单笔申报</w:t>
            </w:r>
            <w:r w:rsidR="008211DB" w:rsidRPr="00F4168A">
              <w:rPr>
                <w:rFonts w:cs="Times New Roman"/>
                <w:sz w:val="24"/>
                <w:szCs w:val="21"/>
              </w:rPr>
              <w:t>相对</w:t>
            </w:r>
            <w:r w:rsidRPr="00F4168A">
              <w:rPr>
                <w:rFonts w:cs="Times New Roman"/>
                <w:sz w:val="24"/>
                <w:szCs w:val="21"/>
              </w:rPr>
              <w:t>买卖价差的</w:t>
            </w:r>
            <w:r w:rsidR="00B86E1A" w:rsidRPr="00F4168A">
              <w:rPr>
                <w:rFonts w:cs="Times New Roman"/>
                <w:sz w:val="24"/>
                <w:szCs w:val="21"/>
              </w:rPr>
              <w:t>平</w:t>
            </w:r>
            <w:r w:rsidRPr="00F4168A">
              <w:rPr>
                <w:rFonts w:cs="Times New Roman"/>
                <w:sz w:val="24"/>
                <w:szCs w:val="21"/>
              </w:rPr>
              <w:t>均值，买</w:t>
            </w:r>
            <w:proofErr w:type="gramStart"/>
            <w:r w:rsidRPr="00F4168A">
              <w:rPr>
                <w:rFonts w:cs="Times New Roman"/>
                <w:sz w:val="24"/>
                <w:szCs w:val="21"/>
              </w:rPr>
              <w:t>卖价差按</w:t>
            </w:r>
            <w:r w:rsidR="0023259B" w:rsidRPr="00F4168A">
              <w:rPr>
                <w:rFonts w:cs="Times New Roman"/>
                <w:sz w:val="24"/>
                <w:szCs w:val="21"/>
              </w:rPr>
              <w:t>该笔</w:t>
            </w:r>
            <w:proofErr w:type="gramEnd"/>
            <w:r w:rsidR="0023259B" w:rsidRPr="00F4168A">
              <w:rPr>
                <w:rFonts w:cs="Times New Roman"/>
                <w:sz w:val="24"/>
                <w:szCs w:val="21"/>
              </w:rPr>
              <w:t>申报存续</w:t>
            </w:r>
            <w:r w:rsidRPr="00F4168A">
              <w:rPr>
                <w:rFonts w:cs="Times New Roman"/>
                <w:sz w:val="24"/>
                <w:szCs w:val="21"/>
              </w:rPr>
              <w:t>时间进行加权处理。买卖价差越小，指标得分越高。</w:t>
            </w:r>
          </w:p>
        </w:tc>
        <w:tc>
          <w:tcPr>
            <w:tcW w:w="993" w:type="dxa"/>
            <w:vAlign w:val="center"/>
          </w:tcPr>
          <w:p w14:paraId="5667F4B0" w14:textId="77777777" w:rsidR="00F77749" w:rsidRPr="00F4168A" w:rsidRDefault="00F77749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10</w:t>
            </w:r>
            <w:r w:rsidRPr="00F4168A">
              <w:rPr>
                <w:rFonts w:cs="Times New Roman"/>
                <w:sz w:val="24"/>
                <w:szCs w:val="21"/>
              </w:rPr>
              <w:t>分</w:t>
            </w:r>
          </w:p>
        </w:tc>
      </w:tr>
    </w:tbl>
    <w:p w14:paraId="1FE33AD9" w14:textId="77777777" w:rsidR="00F77749" w:rsidRPr="00233F8D" w:rsidRDefault="00F77749" w:rsidP="00F77749">
      <w:pPr>
        <w:ind w:firstLineChars="0" w:firstLine="0"/>
        <w:rPr>
          <w:rFonts w:cs="Times New Roman"/>
          <w:sz w:val="32"/>
          <w:szCs w:val="32"/>
        </w:rPr>
      </w:pPr>
    </w:p>
    <w:p w14:paraId="7E967055" w14:textId="77777777" w:rsidR="00154E03" w:rsidRPr="00233F8D" w:rsidRDefault="00154E03" w:rsidP="002734D1">
      <w:pPr>
        <w:ind w:firstLineChars="0" w:firstLine="0"/>
        <w:rPr>
          <w:rFonts w:eastAsia="方正大标宋简体" w:cs="Times New Roman"/>
          <w:sz w:val="44"/>
          <w:szCs w:val="44"/>
        </w:rPr>
        <w:sectPr w:rsidR="00154E03" w:rsidRPr="00233F8D" w:rsidSect="00F845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58" w:right="1588" w:bottom="1758" w:left="1588" w:header="851" w:footer="992" w:gutter="0"/>
          <w:cols w:space="425"/>
          <w:docGrid w:type="lines" w:linePitch="408"/>
        </w:sectPr>
      </w:pPr>
    </w:p>
    <w:p w14:paraId="3AC6C0E6" w14:textId="41819301" w:rsidR="002314D7" w:rsidRDefault="009D2EC2" w:rsidP="00F4168A">
      <w:pPr>
        <w:spacing w:line="240" w:lineRule="auto"/>
        <w:ind w:firstLineChars="0" w:firstLine="0"/>
        <w:rPr>
          <w:rFonts w:eastAsia="黑体" w:cs="Times New Roman"/>
          <w:sz w:val="32"/>
        </w:rPr>
      </w:pPr>
      <w:r w:rsidRPr="00F4168A">
        <w:rPr>
          <w:rFonts w:eastAsia="黑体" w:cs="Times New Roman" w:hint="eastAsia"/>
          <w:sz w:val="32"/>
        </w:rPr>
        <w:lastRenderedPageBreak/>
        <w:t>附录</w:t>
      </w:r>
      <w:r w:rsidRPr="00F4168A">
        <w:rPr>
          <w:rFonts w:eastAsia="黑体" w:cs="Times New Roman"/>
          <w:sz w:val="32"/>
        </w:rPr>
        <w:t>2</w:t>
      </w:r>
    </w:p>
    <w:p w14:paraId="20F80AA7" w14:textId="77777777" w:rsidR="00F4168A" w:rsidRPr="00F4168A" w:rsidRDefault="00F4168A" w:rsidP="00F4168A">
      <w:pPr>
        <w:tabs>
          <w:tab w:val="center" w:pos="4365"/>
          <w:tab w:val="left" w:pos="6855"/>
        </w:tabs>
        <w:spacing w:line="600" w:lineRule="exact"/>
        <w:ind w:firstLineChars="0" w:firstLine="0"/>
        <w:jc w:val="center"/>
        <w:rPr>
          <w:rFonts w:eastAsia="方正大标宋简体" w:cs="Times New Roman"/>
          <w:color w:val="000000"/>
          <w:sz w:val="44"/>
          <w:szCs w:val="42"/>
        </w:rPr>
      </w:pPr>
    </w:p>
    <w:p w14:paraId="0A277BDB" w14:textId="377509BF" w:rsidR="002F5AF2" w:rsidRPr="00F4168A" w:rsidRDefault="00154E03" w:rsidP="00F4168A">
      <w:pPr>
        <w:tabs>
          <w:tab w:val="center" w:pos="4365"/>
          <w:tab w:val="left" w:pos="6855"/>
        </w:tabs>
        <w:spacing w:line="600" w:lineRule="exact"/>
        <w:ind w:firstLineChars="0" w:firstLine="0"/>
        <w:jc w:val="center"/>
        <w:rPr>
          <w:rFonts w:eastAsia="方正大标宋简体" w:cs="Times New Roman"/>
          <w:color w:val="000000"/>
          <w:sz w:val="44"/>
          <w:szCs w:val="42"/>
        </w:rPr>
      </w:pPr>
      <w:r w:rsidRPr="00F4168A">
        <w:rPr>
          <w:rFonts w:eastAsia="方正大标宋简体" w:cs="Times New Roman" w:hint="eastAsia"/>
          <w:color w:val="000000"/>
          <w:sz w:val="44"/>
          <w:szCs w:val="42"/>
        </w:rPr>
        <w:t>做市商</w:t>
      </w:r>
      <w:r w:rsidR="001E79F4" w:rsidRPr="00F4168A">
        <w:rPr>
          <w:rFonts w:eastAsia="方正大标宋简体" w:cs="Times New Roman" w:hint="eastAsia"/>
          <w:color w:val="000000"/>
          <w:sz w:val="44"/>
          <w:szCs w:val="42"/>
        </w:rPr>
        <w:t>评价</w:t>
      </w:r>
      <w:r w:rsidRPr="00F4168A">
        <w:rPr>
          <w:rFonts w:eastAsia="方正大标宋简体" w:cs="Times New Roman" w:hint="eastAsia"/>
          <w:color w:val="000000"/>
          <w:sz w:val="44"/>
          <w:szCs w:val="42"/>
        </w:rPr>
        <w:t>减分项指标说明</w:t>
      </w:r>
    </w:p>
    <w:p w14:paraId="33C5858D" w14:textId="77777777" w:rsidR="00154E03" w:rsidRPr="00F4168A" w:rsidRDefault="00154E03" w:rsidP="00F4168A">
      <w:pPr>
        <w:tabs>
          <w:tab w:val="center" w:pos="4365"/>
          <w:tab w:val="left" w:pos="6855"/>
        </w:tabs>
        <w:spacing w:line="600" w:lineRule="exact"/>
        <w:ind w:firstLineChars="0" w:firstLine="0"/>
        <w:jc w:val="center"/>
        <w:rPr>
          <w:rFonts w:eastAsia="方正大标宋简体" w:cs="Times New Roman"/>
          <w:color w:val="000000"/>
          <w:sz w:val="44"/>
          <w:szCs w:val="42"/>
        </w:rPr>
      </w:pPr>
    </w:p>
    <w:tbl>
      <w:tblPr>
        <w:tblStyle w:val="a5"/>
        <w:tblW w:w="9929" w:type="dxa"/>
        <w:jc w:val="center"/>
        <w:tblLook w:val="04A0" w:firstRow="1" w:lastRow="0" w:firstColumn="1" w:lastColumn="0" w:noHBand="0" w:noVBand="1"/>
      </w:tblPr>
      <w:tblGrid>
        <w:gridCol w:w="2132"/>
        <w:gridCol w:w="5524"/>
        <w:gridCol w:w="2273"/>
      </w:tblGrid>
      <w:tr w:rsidR="00154E03" w:rsidRPr="00F4168A" w14:paraId="3D74A911" w14:textId="77777777" w:rsidTr="00F4168A">
        <w:trPr>
          <w:trHeight w:val="780"/>
          <w:jc w:val="center"/>
        </w:trPr>
        <w:tc>
          <w:tcPr>
            <w:tcW w:w="2132" w:type="dxa"/>
            <w:shd w:val="clear" w:color="auto" w:fill="D9D9D9" w:themeFill="background1" w:themeFillShade="D9"/>
            <w:vAlign w:val="center"/>
            <w:hideMark/>
          </w:tcPr>
          <w:p w14:paraId="0D24FD4B" w14:textId="525D4915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b/>
                <w:sz w:val="24"/>
                <w:szCs w:val="21"/>
              </w:rPr>
            </w:pPr>
            <w:r w:rsidRPr="00F4168A">
              <w:rPr>
                <w:rFonts w:cs="Times New Roman"/>
                <w:b/>
                <w:sz w:val="24"/>
                <w:szCs w:val="21"/>
              </w:rPr>
              <w:t>指标项</w:t>
            </w:r>
          </w:p>
        </w:tc>
        <w:tc>
          <w:tcPr>
            <w:tcW w:w="5524" w:type="dxa"/>
            <w:shd w:val="clear" w:color="auto" w:fill="D9D9D9" w:themeFill="background1" w:themeFillShade="D9"/>
            <w:vAlign w:val="center"/>
            <w:hideMark/>
          </w:tcPr>
          <w:p w14:paraId="5F15DBD1" w14:textId="77777777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b/>
                <w:sz w:val="24"/>
                <w:szCs w:val="21"/>
              </w:rPr>
            </w:pPr>
            <w:r w:rsidRPr="00F4168A">
              <w:rPr>
                <w:rFonts w:cs="Times New Roman"/>
                <w:b/>
                <w:sz w:val="24"/>
                <w:szCs w:val="21"/>
              </w:rPr>
              <w:t>考核内容</w:t>
            </w:r>
          </w:p>
        </w:tc>
        <w:tc>
          <w:tcPr>
            <w:tcW w:w="2273" w:type="dxa"/>
            <w:shd w:val="clear" w:color="auto" w:fill="D9D9D9" w:themeFill="background1" w:themeFillShade="D9"/>
            <w:vAlign w:val="center"/>
            <w:hideMark/>
          </w:tcPr>
          <w:p w14:paraId="649EDC41" w14:textId="77777777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b/>
                <w:sz w:val="24"/>
                <w:szCs w:val="21"/>
              </w:rPr>
            </w:pPr>
            <w:r w:rsidRPr="00F4168A">
              <w:rPr>
                <w:rFonts w:cs="Times New Roman"/>
                <w:b/>
                <w:sz w:val="24"/>
                <w:szCs w:val="21"/>
              </w:rPr>
              <w:t>评分标准</w:t>
            </w:r>
          </w:p>
        </w:tc>
      </w:tr>
      <w:tr w:rsidR="00154E03" w:rsidRPr="00F4168A" w14:paraId="18220A6E" w14:textId="77777777" w:rsidTr="00F4168A">
        <w:trPr>
          <w:trHeight w:val="728"/>
          <w:jc w:val="center"/>
        </w:trPr>
        <w:tc>
          <w:tcPr>
            <w:tcW w:w="2132" w:type="dxa"/>
            <w:vAlign w:val="center"/>
            <w:hideMark/>
          </w:tcPr>
          <w:p w14:paraId="3F86C9E4" w14:textId="77777777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开盘未报价</w:t>
            </w:r>
          </w:p>
        </w:tc>
        <w:tc>
          <w:tcPr>
            <w:tcW w:w="5524" w:type="dxa"/>
            <w:vAlign w:val="center"/>
            <w:hideMark/>
          </w:tcPr>
          <w:p w14:paraId="30FC0C11" w14:textId="6684D146" w:rsidR="00154E03" w:rsidRPr="00F4168A" w:rsidRDefault="00154E03" w:rsidP="00F4168A">
            <w:pPr>
              <w:spacing w:line="400" w:lineRule="exact"/>
              <w:ind w:firstLineChars="0" w:firstLine="0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做市商</w:t>
            </w:r>
            <w:r w:rsidR="005B1EC5" w:rsidRPr="00F4168A">
              <w:rPr>
                <w:rFonts w:cs="Times New Roman"/>
                <w:sz w:val="24"/>
                <w:szCs w:val="21"/>
              </w:rPr>
              <w:t>未</w:t>
            </w:r>
            <w:r w:rsidRPr="00F4168A">
              <w:rPr>
                <w:rFonts w:cs="Times New Roman"/>
                <w:sz w:val="24"/>
                <w:szCs w:val="21"/>
              </w:rPr>
              <w:t>于</w:t>
            </w:r>
            <w:r w:rsidRPr="00F4168A">
              <w:rPr>
                <w:rFonts w:cs="Times New Roman"/>
                <w:sz w:val="24"/>
                <w:szCs w:val="21"/>
              </w:rPr>
              <w:t>9:30</w:t>
            </w:r>
            <w:r w:rsidR="005B1EC5" w:rsidRPr="00F4168A">
              <w:rPr>
                <w:rFonts w:cs="Times New Roman"/>
                <w:sz w:val="24"/>
                <w:szCs w:val="21"/>
              </w:rPr>
              <w:t>前</w:t>
            </w:r>
            <w:r w:rsidRPr="00F4168A">
              <w:rPr>
                <w:rFonts w:cs="Times New Roman"/>
                <w:sz w:val="24"/>
                <w:szCs w:val="21"/>
              </w:rPr>
              <w:t>发布</w:t>
            </w:r>
            <w:r w:rsidR="00760056" w:rsidRPr="00F4168A">
              <w:rPr>
                <w:rFonts w:cs="Times New Roman"/>
                <w:sz w:val="24"/>
                <w:szCs w:val="21"/>
              </w:rPr>
              <w:t>该股票</w:t>
            </w:r>
            <w:r w:rsidRPr="00F4168A">
              <w:rPr>
                <w:rFonts w:cs="Times New Roman"/>
                <w:sz w:val="24"/>
                <w:szCs w:val="21"/>
              </w:rPr>
              <w:t>买卖双向报价。</w:t>
            </w:r>
          </w:p>
        </w:tc>
        <w:tc>
          <w:tcPr>
            <w:tcW w:w="2273" w:type="dxa"/>
            <w:vMerge w:val="restart"/>
            <w:vAlign w:val="center"/>
            <w:hideMark/>
          </w:tcPr>
          <w:p w14:paraId="5067B2A7" w14:textId="685FF840" w:rsidR="00154E03" w:rsidRPr="00F4168A" w:rsidRDefault="00154E03" w:rsidP="00F4168A">
            <w:pPr>
              <w:spacing w:line="400" w:lineRule="exact"/>
              <w:ind w:firstLineChars="0" w:firstLine="0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1.</w:t>
            </w:r>
            <w:r w:rsidR="00707EBC" w:rsidRPr="00F4168A">
              <w:rPr>
                <w:rFonts w:cs="Times New Roman"/>
                <w:sz w:val="24"/>
                <w:szCs w:val="21"/>
              </w:rPr>
              <w:t>评价期内</w:t>
            </w:r>
            <w:r w:rsidR="00760056" w:rsidRPr="00F4168A">
              <w:rPr>
                <w:rFonts w:cs="Times New Roman"/>
                <w:sz w:val="24"/>
                <w:szCs w:val="21"/>
              </w:rPr>
              <w:t>，</w:t>
            </w:r>
            <w:r w:rsidR="000460D7" w:rsidRPr="00F4168A">
              <w:rPr>
                <w:rFonts w:cs="Times New Roman"/>
                <w:sz w:val="24"/>
                <w:szCs w:val="21"/>
              </w:rPr>
              <w:t>做市商</w:t>
            </w:r>
            <w:r w:rsidRPr="00F4168A">
              <w:rPr>
                <w:rFonts w:cs="Times New Roman"/>
                <w:sz w:val="24"/>
                <w:szCs w:val="21"/>
              </w:rPr>
              <w:t>单个</w:t>
            </w:r>
            <w:r w:rsidR="00760056" w:rsidRPr="00F4168A">
              <w:rPr>
                <w:rFonts w:cs="Times New Roman"/>
                <w:sz w:val="24"/>
                <w:szCs w:val="21"/>
              </w:rPr>
              <w:t>指标</w:t>
            </w:r>
            <w:r w:rsidRPr="00F4168A">
              <w:rPr>
                <w:rFonts w:cs="Times New Roman"/>
                <w:sz w:val="24"/>
                <w:szCs w:val="21"/>
              </w:rPr>
              <w:t>项行为发生</w:t>
            </w:r>
            <w:r w:rsidR="0052799B" w:rsidRPr="00F4168A">
              <w:rPr>
                <w:rFonts w:cs="Times New Roman"/>
                <w:sz w:val="24"/>
                <w:szCs w:val="21"/>
              </w:rPr>
              <w:t>次数</w:t>
            </w:r>
            <w:r w:rsidRPr="00F4168A">
              <w:rPr>
                <w:rFonts w:cs="Times New Roman"/>
                <w:sz w:val="24"/>
                <w:szCs w:val="21"/>
              </w:rPr>
              <w:t>每达到</w:t>
            </w:r>
            <w:r w:rsidR="00C72571" w:rsidRPr="00F4168A">
              <w:rPr>
                <w:rFonts w:cs="Times New Roman"/>
                <w:sz w:val="24"/>
                <w:szCs w:val="21"/>
              </w:rPr>
              <w:t>该季度</w:t>
            </w:r>
            <w:r w:rsidRPr="00F4168A">
              <w:rPr>
                <w:rFonts w:cs="Times New Roman"/>
                <w:sz w:val="24"/>
                <w:szCs w:val="21"/>
              </w:rPr>
              <w:t>日均做市股票数量的</w:t>
            </w:r>
            <w:r w:rsidRPr="00F4168A">
              <w:rPr>
                <w:rFonts w:cs="Times New Roman"/>
                <w:sz w:val="24"/>
                <w:szCs w:val="21"/>
              </w:rPr>
              <w:t>10%</w:t>
            </w:r>
            <w:r w:rsidRPr="00F4168A">
              <w:rPr>
                <w:rFonts w:cs="Times New Roman"/>
                <w:sz w:val="24"/>
                <w:szCs w:val="21"/>
              </w:rPr>
              <w:t>，扣</w:t>
            </w:r>
            <w:r w:rsidRPr="00F4168A">
              <w:rPr>
                <w:rFonts w:cs="Times New Roman"/>
                <w:sz w:val="24"/>
                <w:szCs w:val="21"/>
              </w:rPr>
              <w:t>1</w:t>
            </w:r>
            <w:r w:rsidRPr="00F4168A">
              <w:rPr>
                <w:rFonts w:cs="Times New Roman"/>
                <w:sz w:val="24"/>
                <w:szCs w:val="21"/>
              </w:rPr>
              <w:t>分；不足</w:t>
            </w:r>
            <w:r w:rsidRPr="00F4168A">
              <w:rPr>
                <w:rFonts w:cs="Times New Roman"/>
                <w:sz w:val="24"/>
                <w:szCs w:val="21"/>
              </w:rPr>
              <w:t>10%</w:t>
            </w:r>
            <w:r w:rsidRPr="00F4168A">
              <w:rPr>
                <w:rFonts w:cs="Times New Roman"/>
                <w:sz w:val="24"/>
                <w:szCs w:val="21"/>
              </w:rPr>
              <w:t>的不扣分。</w:t>
            </w:r>
          </w:p>
          <w:p w14:paraId="353D9FA3" w14:textId="71F59B18" w:rsidR="00154E03" w:rsidRPr="00F4168A" w:rsidRDefault="00154E03" w:rsidP="00F4168A">
            <w:pPr>
              <w:spacing w:line="400" w:lineRule="exact"/>
              <w:ind w:firstLineChars="0" w:firstLine="0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2.</w:t>
            </w:r>
            <w:r w:rsidRPr="00F4168A">
              <w:rPr>
                <w:rFonts w:cs="Times New Roman"/>
                <w:sz w:val="24"/>
                <w:szCs w:val="21"/>
              </w:rPr>
              <w:t>单个</w:t>
            </w:r>
            <w:r w:rsidR="0052799B" w:rsidRPr="00F4168A">
              <w:rPr>
                <w:rFonts w:cs="Times New Roman"/>
                <w:sz w:val="24"/>
                <w:szCs w:val="21"/>
              </w:rPr>
              <w:t>指标</w:t>
            </w:r>
            <w:r w:rsidRPr="00F4168A">
              <w:rPr>
                <w:rFonts w:cs="Times New Roman"/>
                <w:sz w:val="24"/>
                <w:szCs w:val="21"/>
              </w:rPr>
              <w:t>项扣分不超过</w:t>
            </w:r>
            <w:r w:rsidRPr="00F4168A">
              <w:rPr>
                <w:rFonts w:cs="Times New Roman"/>
                <w:sz w:val="24"/>
                <w:szCs w:val="21"/>
              </w:rPr>
              <w:t>4</w:t>
            </w:r>
            <w:r w:rsidRPr="00F4168A">
              <w:rPr>
                <w:rFonts w:cs="Times New Roman"/>
                <w:sz w:val="24"/>
                <w:szCs w:val="21"/>
              </w:rPr>
              <w:t>分。</w:t>
            </w:r>
          </w:p>
        </w:tc>
      </w:tr>
      <w:tr w:rsidR="00154E03" w:rsidRPr="00F4168A" w14:paraId="40141AB7" w14:textId="77777777" w:rsidTr="00F4168A">
        <w:trPr>
          <w:trHeight w:val="986"/>
          <w:jc w:val="center"/>
        </w:trPr>
        <w:tc>
          <w:tcPr>
            <w:tcW w:w="2132" w:type="dxa"/>
            <w:vAlign w:val="center"/>
            <w:hideMark/>
          </w:tcPr>
          <w:p w14:paraId="6CF6EC1C" w14:textId="77777777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未及时更新报价</w:t>
            </w:r>
          </w:p>
        </w:tc>
        <w:tc>
          <w:tcPr>
            <w:tcW w:w="5524" w:type="dxa"/>
            <w:vAlign w:val="center"/>
            <w:hideMark/>
          </w:tcPr>
          <w:p w14:paraId="57CCD951" w14:textId="764BD3D6" w:rsidR="00154E03" w:rsidRPr="00F4168A" w:rsidRDefault="00154E03" w:rsidP="00F4168A">
            <w:pPr>
              <w:spacing w:line="400" w:lineRule="exact"/>
              <w:ind w:firstLineChars="0" w:firstLine="0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做市商前次做市申报撤销或其申报数量</w:t>
            </w:r>
            <w:proofErr w:type="gramStart"/>
            <w:r w:rsidRPr="00F4168A">
              <w:rPr>
                <w:rFonts w:cs="Times New Roman"/>
                <w:sz w:val="24"/>
                <w:szCs w:val="21"/>
              </w:rPr>
              <w:t>经成交</w:t>
            </w:r>
            <w:proofErr w:type="gramEnd"/>
            <w:r w:rsidRPr="00F4168A">
              <w:rPr>
                <w:rFonts w:cs="Times New Roman"/>
                <w:sz w:val="24"/>
                <w:szCs w:val="21"/>
              </w:rPr>
              <w:t>后不足</w:t>
            </w:r>
            <w:r w:rsidRPr="00F4168A">
              <w:rPr>
                <w:rFonts w:cs="Times New Roman"/>
                <w:sz w:val="24"/>
                <w:szCs w:val="21"/>
              </w:rPr>
              <w:t>1000</w:t>
            </w:r>
            <w:r w:rsidRPr="00F4168A">
              <w:rPr>
                <w:rFonts w:cs="Times New Roman"/>
                <w:sz w:val="24"/>
                <w:szCs w:val="21"/>
              </w:rPr>
              <w:t>股的，</w:t>
            </w:r>
            <w:r w:rsidR="00760056" w:rsidRPr="00F4168A">
              <w:rPr>
                <w:rFonts w:cs="Times New Roman"/>
                <w:sz w:val="24"/>
                <w:szCs w:val="21"/>
              </w:rPr>
              <w:t>未</w:t>
            </w:r>
            <w:r w:rsidRPr="00F4168A">
              <w:rPr>
                <w:rFonts w:cs="Times New Roman"/>
                <w:sz w:val="24"/>
                <w:szCs w:val="21"/>
              </w:rPr>
              <w:t>于</w:t>
            </w:r>
            <w:r w:rsidRPr="00F4168A">
              <w:rPr>
                <w:rFonts w:cs="Times New Roman"/>
                <w:sz w:val="24"/>
                <w:szCs w:val="21"/>
              </w:rPr>
              <w:t>5</w:t>
            </w:r>
            <w:r w:rsidRPr="00F4168A">
              <w:rPr>
                <w:rFonts w:cs="Times New Roman"/>
                <w:sz w:val="24"/>
                <w:szCs w:val="21"/>
              </w:rPr>
              <w:t>分钟内重新报价。</w:t>
            </w:r>
          </w:p>
        </w:tc>
        <w:tc>
          <w:tcPr>
            <w:tcW w:w="2273" w:type="dxa"/>
            <w:vMerge/>
            <w:vAlign w:val="center"/>
            <w:hideMark/>
          </w:tcPr>
          <w:p w14:paraId="68B9EF09" w14:textId="77777777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</w:p>
        </w:tc>
      </w:tr>
      <w:tr w:rsidR="00154E03" w:rsidRPr="00F4168A" w14:paraId="0F69EA1C" w14:textId="77777777" w:rsidTr="00F4168A">
        <w:trPr>
          <w:trHeight w:val="780"/>
          <w:jc w:val="center"/>
        </w:trPr>
        <w:tc>
          <w:tcPr>
            <w:tcW w:w="2132" w:type="dxa"/>
            <w:vAlign w:val="center"/>
            <w:hideMark/>
          </w:tcPr>
          <w:p w14:paraId="5E51AE47" w14:textId="77777777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非豁免情况</w:t>
            </w:r>
            <w:proofErr w:type="gramStart"/>
            <w:r w:rsidRPr="00F4168A">
              <w:rPr>
                <w:rFonts w:cs="Times New Roman"/>
                <w:sz w:val="24"/>
                <w:szCs w:val="21"/>
              </w:rPr>
              <w:t>下发布</w:t>
            </w:r>
            <w:proofErr w:type="gramEnd"/>
            <w:r w:rsidRPr="00F4168A">
              <w:rPr>
                <w:rFonts w:cs="Times New Roman"/>
                <w:sz w:val="24"/>
                <w:szCs w:val="21"/>
              </w:rPr>
              <w:t>单向报价</w:t>
            </w:r>
          </w:p>
        </w:tc>
        <w:tc>
          <w:tcPr>
            <w:tcW w:w="5524" w:type="dxa"/>
            <w:vAlign w:val="center"/>
            <w:hideMark/>
          </w:tcPr>
          <w:p w14:paraId="7E97C4C9" w14:textId="560ABD24" w:rsidR="00154E03" w:rsidRPr="00F4168A" w:rsidRDefault="00154E03" w:rsidP="00F4168A">
            <w:pPr>
              <w:spacing w:line="400" w:lineRule="exact"/>
              <w:ind w:firstLineChars="0" w:firstLine="0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做市商在非豁免情况</w:t>
            </w:r>
            <w:proofErr w:type="gramStart"/>
            <w:r w:rsidRPr="00F4168A">
              <w:rPr>
                <w:rFonts w:cs="Times New Roman"/>
                <w:sz w:val="24"/>
                <w:szCs w:val="21"/>
              </w:rPr>
              <w:t>下发布</w:t>
            </w:r>
            <w:proofErr w:type="gramEnd"/>
            <w:r w:rsidRPr="00F4168A">
              <w:rPr>
                <w:rFonts w:cs="Times New Roman"/>
                <w:sz w:val="24"/>
                <w:szCs w:val="21"/>
              </w:rPr>
              <w:t>单向报价。</w:t>
            </w:r>
          </w:p>
        </w:tc>
        <w:tc>
          <w:tcPr>
            <w:tcW w:w="2273" w:type="dxa"/>
            <w:vMerge/>
            <w:vAlign w:val="center"/>
            <w:hideMark/>
          </w:tcPr>
          <w:p w14:paraId="1F6561E9" w14:textId="77777777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</w:p>
        </w:tc>
      </w:tr>
      <w:tr w:rsidR="00154E03" w:rsidRPr="00F4168A" w14:paraId="55F4CDAD" w14:textId="77777777" w:rsidTr="00F4168A">
        <w:trPr>
          <w:trHeight w:val="708"/>
          <w:jc w:val="center"/>
        </w:trPr>
        <w:tc>
          <w:tcPr>
            <w:tcW w:w="2132" w:type="dxa"/>
            <w:vAlign w:val="center"/>
            <w:hideMark/>
          </w:tcPr>
          <w:p w14:paraId="6D46EC11" w14:textId="77777777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双向报价时间占比未达</w:t>
            </w:r>
            <w:r w:rsidRPr="00F4168A">
              <w:rPr>
                <w:rFonts w:cs="Times New Roman"/>
                <w:sz w:val="24"/>
                <w:szCs w:val="21"/>
              </w:rPr>
              <w:t>75%</w:t>
            </w:r>
          </w:p>
        </w:tc>
        <w:tc>
          <w:tcPr>
            <w:tcW w:w="5524" w:type="dxa"/>
            <w:vAlign w:val="center"/>
            <w:hideMark/>
          </w:tcPr>
          <w:p w14:paraId="54DB3558" w14:textId="24C276A2" w:rsidR="00154E03" w:rsidRPr="00F4168A" w:rsidRDefault="00154E03" w:rsidP="00F4168A">
            <w:pPr>
              <w:spacing w:line="400" w:lineRule="exact"/>
              <w:ind w:firstLineChars="0" w:firstLine="0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做市商提供双向报价的时间</w:t>
            </w:r>
            <w:r w:rsidR="00760056" w:rsidRPr="00F4168A">
              <w:rPr>
                <w:rFonts w:cs="Times New Roman"/>
                <w:sz w:val="24"/>
                <w:szCs w:val="21"/>
              </w:rPr>
              <w:t>未</w:t>
            </w:r>
            <w:r w:rsidRPr="00F4168A">
              <w:rPr>
                <w:rFonts w:cs="Times New Roman"/>
                <w:sz w:val="24"/>
                <w:szCs w:val="21"/>
              </w:rPr>
              <w:t>达到</w:t>
            </w:r>
            <w:r w:rsidR="00760056" w:rsidRPr="00F4168A">
              <w:rPr>
                <w:rFonts w:cs="Times New Roman"/>
                <w:sz w:val="24"/>
                <w:szCs w:val="21"/>
              </w:rPr>
              <w:t>该股票当日</w:t>
            </w:r>
            <w:r w:rsidRPr="00F4168A">
              <w:rPr>
                <w:rFonts w:cs="Times New Roman"/>
                <w:sz w:val="24"/>
                <w:szCs w:val="21"/>
              </w:rPr>
              <w:t>做市转让撮合时间的</w:t>
            </w:r>
            <w:r w:rsidRPr="00F4168A">
              <w:rPr>
                <w:rFonts w:cs="Times New Roman"/>
                <w:sz w:val="24"/>
                <w:szCs w:val="21"/>
              </w:rPr>
              <w:t>75%</w:t>
            </w:r>
            <w:r w:rsidRPr="00F4168A">
              <w:rPr>
                <w:rFonts w:cs="Times New Roman"/>
                <w:sz w:val="24"/>
                <w:szCs w:val="21"/>
              </w:rPr>
              <w:t>。</w:t>
            </w:r>
          </w:p>
        </w:tc>
        <w:tc>
          <w:tcPr>
            <w:tcW w:w="2273" w:type="dxa"/>
            <w:vMerge/>
            <w:vAlign w:val="center"/>
            <w:hideMark/>
          </w:tcPr>
          <w:p w14:paraId="789A63D5" w14:textId="77777777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</w:p>
        </w:tc>
      </w:tr>
      <w:tr w:rsidR="00154E03" w:rsidRPr="00F4168A" w14:paraId="30408565" w14:textId="77777777" w:rsidTr="00F4168A">
        <w:trPr>
          <w:trHeight w:val="701"/>
          <w:jc w:val="center"/>
        </w:trPr>
        <w:tc>
          <w:tcPr>
            <w:tcW w:w="2132" w:type="dxa"/>
            <w:vAlign w:val="center"/>
            <w:hideMark/>
          </w:tcPr>
          <w:p w14:paraId="2B8343E2" w14:textId="77777777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豁免期结束后未恢复双向报价</w:t>
            </w:r>
          </w:p>
        </w:tc>
        <w:tc>
          <w:tcPr>
            <w:tcW w:w="5524" w:type="dxa"/>
            <w:vAlign w:val="center"/>
            <w:hideMark/>
          </w:tcPr>
          <w:p w14:paraId="65D00D5D" w14:textId="452332F4" w:rsidR="00154E03" w:rsidRPr="00F4168A" w:rsidRDefault="00154E03" w:rsidP="00F4168A">
            <w:pPr>
              <w:spacing w:line="400" w:lineRule="exact"/>
              <w:ind w:firstLineChars="0" w:firstLine="0"/>
              <w:rPr>
                <w:rFonts w:cs="Times New Roman"/>
                <w:sz w:val="24"/>
                <w:szCs w:val="21"/>
              </w:rPr>
            </w:pPr>
            <w:r w:rsidRPr="00F4168A">
              <w:rPr>
                <w:rFonts w:cs="Times New Roman"/>
                <w:sz w:val="24"/>
                <w:szCs w:val="21"/>
              </w:rPr>
              <w:t>做市商</w:t>
            </w:r>
            <w:r w:rsidR="00760056" w:rsidRPr="00F4168A">
              <w:rPr>
                <w:rFonts w:cs="Times New Roman"/>
                <w:sz w:val="24"/>
                <w:szCs w:val="21"/>
              </w:rPr>
              <w:t>未</w:t>
            </w:r>
            <w:r w:rsidRPr="00F4168A">
              <w:rPr>
                <w:rFonts w:cs="Times New Roman"/>
                <w:sz w:val="24"/>
                <w:szCs w:val="21"/>
              </w:rPr>
              <w:t>于触发豁免双向报价的</w:t>
            </w:r>
            <w:r w:rsidRPr="00F4168A">
              <w:rPr>
                <w:rFonts w:cs="Times New Roman"/>
                <w:sz w:val="24"/>
                <w:szCs w:val="21"/>
              </w:rPr>
              <w:t>3</w:t>
            </w:r>
            <w:r w:rsidRPr="00F4168A">
              <w:rPr>
                <w:rFonts w:cs="Times New Roman"/>
                <w:sz w:val="24"/>
                <w:szCs w:val="21"/>
              </w:rPr>
              <w:t>个转让日</w:t>
            </w:r>
            <w:r w:rsidR="00760056" w:rsidRPr="00F4168A">
              <w:rPr>
                <w:rFonts w:cs="Times New Roman"/>
                <w:sz w:val="24"/>
                <w:szCs w:val="21"/>
              </w:rPr>
              <w:t>内</w:t>
            </w:r>
            <w:r w:rsidRPr="00F4168A">
              <w:rPr>
                <w:rFonts w:cs="Times New Roman"/>
                <w:sz w:val="24"/>
                <w:szCs w:val="21"/>
              </w:rPr>
              <w:t>恢复正常双向报价。</w:t>
            </w:r>
          </w:p>
        </w:tc>
        <w:tc>
          <w:tcPr>
            <w:tcW w:w="2273" w:type="dxa"/>
            <w:vMerge/>
            <w:vAlign w:val="center"/>
            <w:hideMark/>
          </w:tcPr>
          <w:p w14:paraId="799DA7EF" w14:textId="77777777" w:rsidR="00154E03" w:rsidRPr="00F4168A" w:rsidRDefault="00154E03" w:rsidP="00F4168A">
            <w:pPr>
              <w:spacing w:line="400" w:lineRule="exact"/>
              <w:ind w:firstLineChars="0" w:firstLine="0"/>
              <w:jc w:val="center"/>
              <w:rPr>
                <w:rFonts w:cs="Times New Roman"/>
                <w:sz w:val="24"/>
                <w:szCs w:val="21"/>
              </w:rPr>
            </w:pPr>
          </w:p>
        </w:tc>
      </w:tr>
    </w:tbl>
    <w:p w14:paraId="202EC3BA" w14:textId="77777777" w:rsidR="001E79F4" w:rsidRPr="00233F8D" w:rsidRDefault="001E79F4" w:rsidP="00AA18B8">
      <w:pPr>
        <w:spacing w:line="600" w:lineRule="exact"/>
        <w:ind w:firstLineChars="0" w:firstLine="0"/>
        <w:rPr>
          <w:rFonts w:cs="Times New Roman"/>
        </w:rPr>
        <w:sectPr w:rsidR="001E79F4" w:rsidRPr="00233F8D" w:rsidSect="00572C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D1CD77" w14:textId="612685D2" w:rsidR="003D2F19" w:rsidRDefault="001E79F4" w:rsidP="00F4168A">
      <w:pPr>
        <w:spacing w:line="240" w:lineRule="auto"/>
        <w:ind w:firstLineChars="0" w:firstLine="0"/>
        <w:rPr>
          <w:rFonts w:eastAsia="黑体" w:cs="Times New Roman"/>
          <w:sz w:val="32"/>
        </w:rPr>
      </w:pPr>
      <w:r w:rsidRPr="00F4168A">
        <w:rPr>
          <w:rFonts w:eastAsia="黑体" w:cs="Times New Roman" w:hint="eastAsia"/>
          <w:sz w:val="32"/>
        </w:rPr>
        <w:lastRenderedPageBreak/>
        <w:t>附录</w:t>
      </w:r>
      <w:r w:rsidRPr="00F4168A">
        <w:rPr>
          <w:rFonts w:eastAsia="黑体" w:cs="Times New Roman"/>
          <w:sz w:val="32"/>
        </w:rPr>
        <w:t>3</w:t>
      </w:r>
    </w:p>
    <w:p w14:paraId="1C8218EC" w14:textId="77777777" w:rsidR="00F4168A" w:rsidRPr="00F4168A" w:rsidRDefault="00F4168A" w:rsidP="00F4168A">
      <w:pPr>
        <w:tabs>
          <w:tab w:val="center" w:pos="4365"/>
          <w:tab w:val="left" w:pos="6855"/>
        </w:tabs>
        <w:spacing w:line="600" w:lineRule="exact"/>
        <w:ind w:firstLineChars="0" w:firstLine="0"/>
        <w:jc w:val="center"/>
        <w:rPr>
          <w:rFonts w:eastAsia="方正大标宋简体" w:cs="Times New Roman"/>
          <w:color w:val="000000"/>
          <w:sz w:val="44"/>
          <w:szCs w:val="42"/>
        </w:rPr>
      </w:pPr>
    </w:p>
    <w:p w14:paraId="49A1D99F" w14:textId="1C95114B" w:rsidR="001E79F4" w:rsidRPr="00F4168A" w:rsidRDefault="001E79F4" w:rsidP="00F4168A">
      <w:pPr>
        <w:tabs>
          <w:tab w:val="center" w:pos="4365"/>
          <w:tab w:val="left" w:pos="6855"/>
        </w:tabs>
        <w:spacing w:line="600" w:lineRule="exact"/>
        <w:ind w:firstLineChars="0" w:firstLine="0"/>
        <w:jc w:val="center"/>
        <w:rPr>
          <w:rFonts w:eastAsia="方正大标宋简体" w:cs="Times New Roman"/>
          <w:color w:val="000000"/>
          <w:sz w:val="44"/>
          <w:szCs w:val="42"/>
        </w:rPr>
      </w:pPr>
      <w:r w:rsidRPr="00F4168A">
        <w:rPr>
          <w:rFonts w:eastAsia="方正大标宋简体" w:cs="Times New Roman" w:hint="eastAsia"/>
          <w:color w:val="000000"/>
          <w:sz w:val="44"/>
          <w:szCs w:val="42"/>
        </w:rPr>
        <w:t>做市商评价得分计算方法</w:t>
      </w:r>
    </w:p>
    <w:p w14:paraId="1DC5328E" w14:textId="77777777" w:rsidR="001E79F4" w:rsidRPr="00F4168A" w:rsidRDefault="001E79F4" w:rsidP="00F4168A">
      <w:pPr>
        <w:tabs>
          <w:tab w:val="center" w:pos="4365"/>
          <w:tab w:val="left" w:pos="6855"/>
        </w:tabs>
        <w:spacing w:line="600" w:lineRule="exact"/>
        <w:ind w:firstLineChars="0" w:firstLine="0"/>
        <w:jc w:val="center"/>
        <w:rPr>
          <w:rFonts w:eastAsia="方正大标宋简体" w:cs="Times New Roman"/>
          <w:color w:val="000000"/>
          <w:sz w:val="44"/>
          <w:szCs w:val="42"/>
        </w:rPr>
      </w:pPr>
    </w:p>
    <w:p w14:paraId="58EF96D5" w14:textId="74A03BEA" w:rsidR="001E79F4" w:rsidRPr="00F4168A" w:rsidRDefault="001E79F4" w:rsidP="00F4168A">
      <w:pPr>
        <w:spacing w:line="600" w:lineRule="exact"/>
        <w:ind w:firstLine="640"/>
        <w:rPr>
          <w:rFonts w:eastAsia="黑体" w:cs="Times New Roman"/>
          <w:sz w:val="32"/>
          <w:szCs w:val="32"/>
        </w:rPr>
      </w:pPr>
      <w:r w:rsidRPr="00F4168A">
        <w:rPr>
          <w:rFonts w:eastAsia="黑体" w:cs="Times New Roman" w:hint="eastAsia"/>
          <w:sz w:val="32"/>
          <w:szCs w:val="32"/>
        </w:rPr>
        <w:t>一、季度评价得分计算方法</w:t>
      </w:r>
    </w:p>
    <w:p w14:paraId="494CE54C" w14:textId="0FF1818C" w:rsidR="00067DF4" w:rsidRPr="00F4168A" w:rsidRDefault="005047C5" w:rsidP="00F4168A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F4168A">
        <w:rPr>
          <w:rFonts w:cs="Times New Roman" w:hint="eastAsia"/>
          <w:sz w:val="32"/>
          <w:szCs w:val="32"/>
        </w:rPr>
        <w:t>首先，</w:t>
      </w:r>
      <w:proofErr w:type="gramStart"/>
      <w:r w:rsidRPr="00F4168A">
        <w:rPr>
          <w:rFonts w:cs="Times New Roman" w:hint="eastAsia"/>
          <w:sz w:val="32"/>
          <w:szCs w:val="32"/>
        </w:rPr>
        <w:t>计算做</w:t>
      </w:r>
      <w:proofErr w:type="gramEnd"/>
      <w:r w:rsidRPr="00F4168A">
        <w:rPr>
          <w:rFonts w:cs="Times New Roman" w:hint="eastAsia"/>
          <w:sz w:val="32"/>
          <w:szCs w:val="32"/>
        </w:rPr>
        <w:t>市商得分项指标得分。做市商评价得分项满分</w:t>
      </w:r>
      <w:r w:rsidRPr="00F4168A">
        <w:rPr>
          <w:rFonts w:cs="Times New Roman"/>
          <w:sz w:val="32"/>
          <w:szCs w:val="32"/>
        </w:rPr>
        <w:t>100</w:t>
      </w:r>
      <w:r w:rsidRPr="00F4168A">
        <w:rPr>
          <w:rFonts w:cs="Times New Roman" w:hint="eastAsia"/>
          <w:sz w:val="32"/>
          <w:szCs w:val="32"/>
        </w:rPr>
        <w:t>分，其中</w:t>
      </w:r>
      <w:r w:rsidR="009179B3" w:rsidRPr="00F4168A">
        <w:rPr>
          <w:rFonts w:cs="Times New Roman" w:hint="eastAsia"/>
          <w:sz w:val="32"/>
          <w:szCs w:val="32"/>
        </w:rPr>
        <w:t>做市</w:t>
      </w:r>
      <w:r w:rsidRPr="00F4168A">
        <w:rPr>
          <w:rFonts w:cs="Times New Roman" w:hint="eastAsia"/>
          <w:sz w:val="32"/>
          <w:szCs w:val="32"/>
        </w:rPr>
        <w:t>规模</w:t>
      </w:r>
      <w:r w:rsidRPr="00F4168A">
        <w:rPr>
          <w:rFonts w:cs="Times New Roman"/>
          <w:sz w:val="32"/>
          <w:szCs w:val="32"/>
        </w:rPr>
        <w:t>40</w:t>
      </w:r>
      <w:r w:rsidRPr="00F4168A">
        <w:rPr>
          <w:rFonts w:cs="Times New Roman" w:hint="eastAsia"/>
          <w:sz w:val="32"/>
          <w:szCs w:val="32"/>
        </w:rPr>
        <w:t>分、流动性提供</w:t>
      </w:r>
      <w:r w:rsidRPr="00F4168A">
        <w:rPr>
          <w:rFonts w:cs="Times New Roman"/>
          <w:sz w:val="32"/>
          <w:szCs w:val="32"/>
        </w:rPr>
        <w:t>40</w:t>
      </w:r>
      <w:r w:rsidRPr="00F4168A">
        <w:rPr>
          <w:rFonts w:cs="Times New Roman" w:hint="eastAsia"/>
          <w:sz w:val="32"/>
          <w:szCs w:val="32"/>
        </w:rPr>
        <w:t>分、</w:t>
      </w:r>
      <w:r w:rsidR="009179B3" w:rsidRPr="00F4168A">
        <w:rPr>
          <w:rFonts w:cs="Times New Roman" w:hint="eastAsia"/>
          <w:sz w:val="32"/>
          <w:szCs w:val="32"/>
        </w:rPr>
        <w:t>报价</w:t>
      </w:r>
      <w:r w:rsidR="009179B3" w:rsidRPr="00F4168A">
        <w:rPr>
          <w:rFonts w:cs="Times New Roman"/>
          <w:sz w:val="32"/>
          <w:szCs w:val="32"/>
        </w:rPr>
        <w:t>质量</w:t>
      </w:r>
      <w:r w:rsidRPr="00F4168A">
        <w:rPr>
          <w:rFonts w:cs="Times New Roman"/>
          <w:sz w:val="32"/>
          <w:szCs w:val="32"/>
        </w:rPr>
        <w:t>20</w:t>
      </w:r>
      <w:r w:rsidRPr="00F4168A">
        <w:rPr>
          <w:rFonts w:cs="Times New Roman" w:hint="eastAsia"/>
          <w:sz w:val="32"/>
          <w:szCs w:val="32"/>
        </w:rPr>
        <w:t>分。单个指标具体得分计算方式如下：（</w:t>
      </w:r>
      <w:r w:rsidRPr="00F4168A">
        <w:rPr>
          <w:rFonts w:cs="Times New Roman"/>
          <w:sz w:val="32"/>
          <w:szCs w:val="32"/>
        </w:rPr>
        <w:t>1</w:t>
      </w:r>
      <w:r w:rsidRPr="00F4168A">
        <w:rPr>
          <w:rFonts w:cs="Times New Roman" w:hint="eastAsia"/>
          <w:sz w:val="32"/>
          <w:szCs w:val="32"/>
        </w:rPr>
        <w:t>）计算各做</w:t>
      </w:r>
      <w:proofErr w:type="gramStart"/>
      <w:r w:rsidRPr="00F4168A">
        <w:rPr>
          <w:rFonts w:cs="Times New Roman" w:hint="eastAsia"/>
          <w:sz w:val="32"/>
          <w:szCs w:val="32"/>
        </w:rPr>
        <w:t>市商该指标</w:t>
      </w:r>
      <w:proofErr w:type="gramEnd"/>
      <w:r w:rsidRPr="00F4168A">
        <w:rPr>
          <w:rFonts w:cs="Times New Roman" w:hint="eastAsia"/>
          <w:sz w:val="32"/>
          <w:szCs w:val="32"/>
        </w:rPr>
        <w:t>结果；（</w:t>
      </w:r>
      <w:r w:rsidRPr="00F4168A">
        <w:rPr>
          <w:rFonts w:cs="Times New Roman"/>
          <w:sz w:val="32"/>
          <w:szCs w:val="32"/>
        </w:rPr>
        <w:t>2</w:t>
      </w:r>
      <w:r w:rsidRPr="00F4168A">
        <w:rPr>
          <w:rFonts w:cs="Times New Roman" w:hint="eastAsia"/>
          <w:sz w:val="32"/>
          <w:szCs w:val="32"/>
        </w:rPr>
        <w:t>）确定满分对应的指标结果（该结果称为满分参考量）；（</w:t>
      </w:r>
      <w:r w:rsidRPr="00F4168A">
        <w:rPr>
          <w:rFonts w:cs="Times New Roman"/>
          <w:sz w:val="32"/>
          <w:szCs w:val="32"/>
        </w:rPr>
        <w:t>3</w:t>
      </w:r>
      <w:r w:rsidRPr="00F4168A">
        <w:rPr>
          <w:rFonts w:cs="Times New Roman" w:hint="eastAsia"/>
          <w:sz w:val="32"/>
          <w:szCs w:val="32"/>
        </w:rPr>
        <w:t>）</w:t>
      </w:r>
      <w:r w:rsidR="00255B44" w:rsidRPr="00F4168A">
        <w:rPr>
          <w:rFonts w:cs="Times New Roman" w:hint="eastAsia"/>
          <w:sz w:val="32"/>
          <w:szCs w:val="32"/>
        </w:rPr>
        <w:t>根据满分参考量</w:t>
      </w:r>
      <w:r w:rsidRPr="00F4168A">
        <w:rPr>
          <w:rFonts w:cs="Times New Roman" w:hint="eastAsia"/>
          <w:sz w:val="32"/>
          <w:szCs w:val="32"/>
        </w:rPr>
        <w:t>将每个做市商对应的指标结果转换为具体分值。</w:t>
      </w:r>
      <w:r w:rsidR="00067DF4" w:rsidRPr="00F4168A">
        <w:rPr>
          <w:rFonts w:cs="Times New Roman" w:hint="eastAsia"/>
          <w:sz w:val="32"/>
          <w:szCs w:val="32"/>
        </w:rPr>
        <w:t>各指标得分计算方法见表</w:t>
      </w:r>
      <w:r w:rsidR="00067DF4" w:rsidRPr="00F4168A">
        <w:rPr>
          <w:rFonts w:cs="Times New Roman"/>
          <w:sz w:val="32"/>
          <w:szCs w:val="32"/>
        </w:rPr>
        <w:t>1</w:t>
      </w:r>
      <w:r w:rsidR="00067DF4" w:rsidRPr="00F4168A">
        <w:rPr>
          <w:rFonts w:cs="Times New Roman" w:hint="eastAsia"/>
          <w:sz w:val="32"/>
          <w:szCs w:val="32"/>
        </w:rPr>
        <w:t>。</w:t>
      </w:r>
    </w:p>
    <w:p w14:paraId="26055F8A" w14:textId="77777777" w:rsidR="00067DF4" w:rsidRPr="00F4168A" w:rsidRDefault="00067DF4" w:rsidP="00067DF4">
      <w:pPr>
        <w:ind w:firstLineChars="0" w:firstLine="0"/>
        <w:jc w:val="center"/>
        <w:rPr>
          <w:rFonts w:cs="Times New Roman"/>
          <w:sz w:val="28"/>
          <w:szCs w:val="21"/>
        </w:rPr>
      </w:pPr>
      <w:r w:rsidRPr="00F4168A">
        <w:rPr>
          <w:rFonts w:cs="Times New Roman"/>
          <w:sz w:val="28"/>
          <w:szCs w:val="21"/>
        </w:rPr>
        <w:t>表</w:t>
      </w:r>
      <w:r w:rsidRPr="00F4168A">
        <w:rPr>
          <w:rFonts w:cs="Times New Roman"/>
          <w:sz w:val="28"/>
          <w:szCs w:val="21"/>
        </w:rPr>
        <w:t xml:space="preserve">1. </w:t>
      </w:r>
      <w:r w:rsidRPr="00F4168A">
        <w:rPr>
          <w:rFonts w:cs="Times New Roman"/>
          <w:sz w:val="28"/>
          <w:szCs w:val="21"/>
        </w:rPr>
        <w:t>各指标得分计算方法</w:t>
      </w:r>
    </w:p>
    <w:tbl>
      <w:tblPr>
        <w:tblStyle w:val="a5"/>
        <w:tblW w:w="8756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2545"/>
        <w:gridCol w:w="2772"/>
        <w:gridCol w:w="2870"/>
      </w:tblGrid>
      <w:tr w:rsidR="00067DF4" w:rsidRPr="00F4168A" w14:paraId="0B2BA717" w14:textId="77777777" w:rsidTr="00F4168A">
        <w:trPr>
          <w:trHeight w:val="760"/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14:paraId="372EFD30" w14:textId="77777777" w:rsidR="00067DF4" w:rsidRPr="00F4168A" w:rsidRDefault="00067DF4" w:rsidP="002360F1">
            <w:pPr>
              <w:pStyle w:val="aa"/>
              <w:jc w:val="center"/>
              <w:rPr>
                <w:rFonts w:cs="Times New Roman"/>
                <w:b/>
                <w:sz w:val="22"/>
                <w:szCs w:val="21"/>
              </w:rPr>
            </w:pPr>
            <w:r w:rsidRPr="00F4168A">
              <w:rPr>
                <w:rFonts w:cs="Times New Roman"/>
                <w:b/>
                <w:sz w:val="22"/>
                <w:szCs w:val="21"/>
              </w:rPr>
              <w:t>序号</w:t>
            </w: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20B3DBED" w14:textId="77777777" w:rsidR="00067DF4" w:rsidRPr="00F4168A" w:rsidRDefault="00067DF4" w:rsidP="002360F1">
            <w:pPr>
              <w:pStyle w:val="aa"/>
              <w:jc w:val="center"/>
              <w:rPr>
                <w:rFonts w:cs="Times New Roman"/>
                <w:b/>
                <w:sz w:val="22"/>
                <w:szCs w:val="21"/>
              </w:rPr>
            </w:pPr>
            <w:r w:rsidRPr="00F4168A">
              <w:rPr>
                <w:rFonts w:cs="Times New Roman"/>
                <w:b/>
                <w:sz w:val="22"/>
                <w:szCs w:val="21"/>
              </w:rPr>
              <w:t>指标名称（分数）</w:t>
            </w:r>
          </w:p>
        </w:tc>
        <w:tc>
          <w:tcPr>
            <w:tcW w:w="2772" w:type="dxa"/>
            <w:shd w:val="clear" w:color="auto" w:fill="D9D9D9" w:themeFill="background1" w:themeFillShade="D9"/>
            <w:vAlign w:val="center"/>
          </w:tcPr>
          <w:p w14:paraId="2F08E37F" w14:textId="77777777" w:rsidR="00067DF4" w:rsidRPr="00F4168A" w:rsidRDefault="00067DF4" w:rsidP="002360F1">
            <w:pPr>
              <w:pStyle w:val="aa"/>
              <w:jc w:val="center"/>
              <w:rPr>
                <w:rFonts w:cs="Times New Roman"/>
                <w:b/>
                <w:sz w:val="22"/>
                <w:szCs w:val="21"/>
              </w:rPr>
            </w:pPr>
            <w:r w:rsidRPr="00F4168A">
              <w:rPr>
                <w:rFonts w:cs="Times New Roman"/>
                <w:b/>
                <w:sz w:val="22"/>
                <w:szCs w:val="21"/>
              </w:rPr>
              <w:t>满分参考量</w:t>
            </w:r>
          </w:p>
        </w:tc>
        <w:tc>
          <w:tcPr>
            <w:tcW w:w="2870" w:type="dxa"/>
            <w:shd w:val="clear" w:color="auto" w:fill="D9D9D9" w:themeFill="background1" w:themeFillShade="D9"/>
            <w:vAlign w:val="center"/>
          </w:tcPr>
          <w:p w14:paraId="030C5529" w14:textId="77777777" w:rsidR="00067DF4" w:rsidRPr="00F4168A" w:rsidRDefault="00067DF4" w:rsidP="002360F1">
            <w:pPr>
              <w:pStyle w:val="aa"/>
              <w:jc w:val="center"/>
              <w:rPr>
                <w:rFonts w:cs="Times New Roman"/>
                <w:b/>
                <w:sz w:val="22"/>
                <w:szCs w:val="21"/>
              </w:rPr>
            </w:pPr>
            <w:r w:rsidRPr="00F4168A">
              <w:rPr>
                <w:rFonts w:cs="Times New Roman"/>
                <w:b/>
                <w:sz w:val="22"/>
                <w:szCs w:val="21"/>
              </w:rPr>
              <w:t>计算公式</w:t>
            </w:r>
          </w:p>
        </w:tc>
      </w:tr>
      <w:tr w:rsidR="00233F8D" w:rsidRPr="00F4168A" w14:paraId="1EF7722E" w14:textId="77777777" w:rsidTr="00F4168A">
        <w:trPr>
          <w:trHeight w:val="493"/>
          <w:jc w:val="center"/>
        </w:trPr>
        <w:tc>
          <w:tcPr>
            <w:tcW w:w="569" w:type="dxa"/>
            <w:vAlign w:val="center"/>
          </w:tcPr>
          <w:p w14:paraId="24B5E2BE" w14:textId="77777777" w:rsidR="00233F8D" w:rsidRPr="00F4168A" w:rsidRDefault="00233F8D" w:rsidP="002360F1">
            <w:pPr>
              <w:pStyle w:val="aa"/>
              <w:jc w:val="center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1</w:t>
            </w:r>
          </w:p>
        </w:tc>
        <w:tc>
          <w:tcPr>
            <w:tcW w:w="2545" w:type="dxa"/>
            <w:vAlign w:val="center"/>
          </w:tcPr>
          <w:p w14:paraId="70C86522" w14:textId="7266A3EA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做市股票数量（</w:t>
            </w:r>
            <w:r w:rsidRPr="00F4168A">
              <w:rPr>
                <w:rFonts w:cs="Times New Roman"/>
                <w:sz w:val="22"/>
                <w:szCs w:val="21"/>
              </w:rPr>
              <w:t>20</w:t>
            </w:r>
            <w:r w:rsidRPr="00F4168A">
              <w:rPr>
                <w:rFonts w:cs="Times New Roman"/>
                <w:sz w:val="22"/>
                <w:szCs w:val="21"/>
              </w:rPr>
              <w:t>分）</w:t>
            </w:r>
          </w:p>
        </w:tc>
        <w:tc>
          <w:tcPr>
            <w:tcW w:w="2772" w:type="dxa"/>
            <w:vMerge w:val="restart"/>
            <w:vAlign w:val="center"/>
          </w:tcPr>
          <w:p w14:paraId="52DCBD4D" w14:textId="059A6119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该指标计算结果的最大值</w:t>
            </w:r>
          </w:p>
        </w:tc>
        <w:tc>
          <w:tcPr>
            <w:tcW w:w="2870" w:type="dxa"/>
            <w:vMerge w:val="restart"/>
            <w:vAlign w:val="center"/>
          </w:tcPr>
          <w:p w14:paraId="79572370" w14:textId="02F7C3C7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得分</w:t>
            </w:r>
            <w:r w:rsidRPr="00F4168A">
              <w:rPr>
                <w:rFonts w:cs="Times New Roman"/>
                <w:sz w:val="22"/>
                <w:szCs w:val="21"/>
              </w:rPr>
              <w:t>=</w:t>
            </w:r>
            <w:r w:rsidRPr="00F4168A">
              <w:rPr>
                <w:rFonts w:cs="Times New Roman"/>
                <w:sz w:val="22"/>
                <w:szCs w:val="21"/>
              </w:rPr>
              <w:t>指标满分</w:t>
            </w:r>
            <w:r w:rsidRPr="00F4168A">
              <w:rPr>
                <w:rFonts w:cs="Times New Roman"/>
                <w:sz w:val="22"/>
                <w:szCs w:val="21"/>
              </w:rPr>
              <w:t>×</w:t>
            </w:r>
            <w:r w:rsidRPr="00F4168A">
              <w:rPr>
                <w:rFonts w:cs="Times New Roman"/>
                <w:sz w:val="22"/>
                <w:szCs w:val="21"/>
              </w:rPr>
              <w:t>（指标结果</w:t>
            </w:r>
            <w:r w:rsidRPr="00F4168A">
              <w:rPr>
                <w:rFonts w:cs="Times New Roman"/>
                <w:sz w:val="22"/>
                <w:szCs w:val="21"/>
              </w:rPr>
              <w:t>/</w:t>
            </w:r>
            <w:r w:rsidRPr="00F4168A">
              <w:rPr>
                <w:rFonts w:cs="Times New Roman"/>
                <w:sz w:val="22"/>
                <w:szCs w:val="21"/>
              </w:rPr>
              <w:t>满分参考量）</w:t>
            </w:r>
          </w:p>
        </w:tc>
      </w:tr>
      <w:tr w:rsidR="00233F8D" w:rsidRPr="00F4168A" w14:paraId="5A46F734" w14:textId="77777777" w:rsidTr="00F4168A">
        <w:trPr>
          <w:trHeight w:val="470"/>
          <w:jc w:val="center"/>
        </w:trPr>
        <w:tc>
          <w:tcPr>
            <w:tcW w:w="569" w:type="dxa"/>
            <w:vAlign w:val="center"/>
          </w:tcPr>
          <w:p w14:paraId="15E4172B" w14:textId="77777777" w:rsidR="00233F8D" w:rsidRPr="00F4168A" w:rsidRDefault="00233F8D" w:rsidP="002360F1">
            <w:pPr>
              <w:pStyle w:val="aa"/>
              <w:jc w:val="center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2</w:t>
            </w:r>
          </w:p>
        </w:tc>
        <w:tc>
          <w:tcPr>
            <w:tcW w:w="2545" w:type="dxa"/>
            <w:vAlign w:val="center"/>
          </w:tcPr>
          <w:p w14:paraId="6A5998E5" w14:textId="761E5220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做市股票市值（</w:t>
            </w:r>
            <w:r w:rsidRPr="00F4168A">
              <w:rPr>
                <w:rFonts w:cs="Times New Roman"/>
                <w:sz w:val="22"/>
                <w:szCs w:val="21"/>
              </w:rPr>
              <w:t>20</w:t>
            </w:r>
            <w:r w:rsidRPr="00F4168A">
              <w:rPr>
                <w:rFonts w:cs="Times New Roman"/>
                <w:sz w:val="22"/>
                <w:szCs w:val="21"/>
              </w:rPr>
              <w:t>分）</w:t>
            </w:r>
          </w:p>
        </w:tc>
        <w:tc>
          <w:tcPr>
            <w:tcW w:w="2772" w:type="dxa"/>
            <w:vMerge/>
            <w:vAlign w:val="center"/>
          </w:tcPr>
          <w:p w14:paraId="0A4B85F3" w14:textId="56B9A94D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</w:p>
        </w:tc>
        <w:tc>
          <w:tcPr>
            <w:tcW w:w="2870" w:type="dxa"/>
            <w:vMerge/>
            <w:vAlign w:val="center"/>
          </w:tcPr>
          <w:p w14:paraId="0E5E7F51" w14:textId="77777777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</w:p>
        </w:tc>
      </w:tr>
      <w:tr w:rsidR="00233F8D" w:rsidRPr="00F4168A" w14:paraId="527DF51E" w14:textId="77777777" w:rsidTr="00F4168A">
        <w:trPr>
          <w:trHeight w:val="493"/>
          <w:jc w:val="center"/>
        </w:trPr>
        <w:tc>
          <w:tcPr>
            <w:tcW w:w="569" w:type="dxa"/>
            <w:vAlign w:val="center"/>
          </w:tcPr>
          <w:p w14:paraId="6F86693E" w14:textId="77777777" w:rsidR="00233F8D" w:rsidRPr="00F4168A" w:rsidRDefault="00233F8D" w:rsidP="002360F1">
            <w:pPr>
              <w:pStyle w:val="aa"/>
              <w:jc w:val="center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3</w:t>
            </w:r>
          </w:p>
        </w:tc>
        <w:tc>
          <w:tcPr>
            <w:tcW w:w="2545" w:type="dxa"/>
            <w:vAlign w:val="center"/>
          </w:tcPr>
          <w:p w14:paraId="12806A2F" w14:textId="0441959C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成交金额（</w:t>
            </w:r>
            <w:r w:rsidRPr="00F4168A">
              <w:rPr>
                <w:rFonts w:cs="Times New Roman"/>
                <w:sz w:val="22"/>
                <w:szCs w:val="21"/>
              </w:rPr>
              <w:t>20</w:t>
            </w:r>
            <w:r w:rsidRPr="00F4168A">
              <w:rPr>
                <w:rFonts w:cs="Times New Roman"/>
                <w:sz w:val="22"/>
                <w:szCs w:val="21"/>
              </w:rPr>
              <w:t>分）</w:t>
            </w:r>
          </w:p>
        </w:tc>
        <w:tc>
          <w:tcPr>
            <w:tcW w:w="2772" w:type="dxa"/>
            <w:vMerge/>
            <w:vAlign w:val="center"/>
          </w:tcPr>
          <w:p w14:paraId="63764DE3" w14:textId="46BEE8CA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</w:p>
        </w:tc>
        <w:tc>
          <w:tcPr>
            <w:tcW w:w="2870" w:type="dxa"/>
            <w:vMerge/>
            <w:vAlign w:val="center"/>
          </w:tcPr>
          <w:p w14:paraId="4C96DBE0" w14:textId="77777777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</w:p>
        </w:tc>
      </w:tr>
      <w:tr w:rsidR="00233F8D" w:rsidRPr="00F4168A" w14:paraId="0CF5384A" w14:textId="77777777" w:rsidTr="00F4168A">
        <w:trPr>
          <w:trHeight w:val="470"/>
          <w:jc w:val="center"/>
        </w:trPr>
        <w:tc>
          <w:tcPr>
            <w:tcW w:w="569" w:type="dxa"/>
            <w:vAlign w:val="center"/>
          </w:tcPr>
          <w:p w14:paraId="45316A72" w14:textId="77777777" w:rsidR="00233F8D" w:rsidRPr="00F4168A" w:rsidRDefault="00233F8D" w:rsidP="002360F1">
            <w:pPr>
              <w:pStyle w:val="aa"/>
              <w:jc w:val="center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4</w:t>
            </w:r>
          </w:p>
        </w:tc>
        <w:tc>
          <w:tcPr>
            <w:tcW w:w="2545" w:type="dxa"/>
            <w:vAlign w:val="center"/>
          </w:tcPr>
          <w:p w14:paraId="13CD7C7F" w14:textId="63152F27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个股成交量占比（</w:t>
            </w:r>
            <w:r w:rsidRPr="00F4168A">
              <w:rPr>
                <w:rFonts w:cs="Times New Roman"/>
                <w:sz w:val="22"/>
                <w:szCs w:val="21"/>
              </w:rPr>
              <w:t>10</w:t>
            </w:r>
            <w:r w:rsidRPr="00F4168A">
              <w:rPr>
                <w:rFonts w:cs="Times New Roman"/>
                <w:sz w:val="22"/>
                <w:szCs w:val="21"/>
              </w:rPr>
              <w:t>分）</w:t>
            </w:r>
          </w:p>
        </w:tc>
        <w:tc>
          <w:tcPr>
            <w:tcW w:w="2772" w:type="dxa"/>
            <w:vMerge/>
            <w:vAlign w:val="center"/>
          </w:tcPr>
          <w:p w14:paraId="4D2DC8E3" w14:textId="712A053B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</w:p>
        </w:tc>
        <w:tc>
          <w:tcPr>
            <w:tcW w:w="2870" w:type="dxa"/>
            <w:vMerge/>
            <w:vAlign w:val="center"/>
          </w:tcPr>
          <w:p w14:paraId="70808181" w14:textId="77777777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</w:p>
        </w:tc>
      </w:tr>
      <w:tr w:rsidR="00233F8D" w:rsidRPr="00F4168A" w14:paraId="4C1A0A96" w14:textId="77777777" w:rsidTr="00F4168A">
        <w:trPr>
          <w:trHeight w:val="493"/>
          <w:jc w:val="center"/>
        </w:trPr>
        <w:tc>
          <w:tcPr>
            <w:tcW w:w="569" w:type="dxa"/>
            <w:vAlign w:val="center"/>
          </w:tcPr>
          <w:p w14:paraId="367D1D44" w14:textId="77777777" w:rsidR="00233F8D" w:rsidRPr="00F4168A" w:rsidRDefault="00233F8D" w:rsidP="002360F1">
            <w:pPr>
              <w:pStyle w:val="aa"/>
              <w:jc w:val="center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5</w:t>
            </w:r>
          </w:p>
        </w:tc>
        <w:tc>
          <w:tcPr>
            <w:tcW w:w="2545" w:type="dxa"/>
            <w:vAlign w:val="center"/>
          </w:tcPr>
          <w:p w14:paraId="78D87DE2" w14:textId="3EBECED3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订单深度（</w:t>
            </w:r>
            <w:r w:rsidRPr="00F4168A">
              <w:rPr>
                <w:rFonts w:cs="Times New Roman"/>
                <w:sz w:val="22"/>
                <w:szCs w:val="21"/>
              </w:rPr>
              <w:t>10</w:t>
            </w:r>
            <w:r w:rsidRPr="00F4168A">
              <w:rPr>
                <w:rFonts w:cs="Times New Roman"/>
                <w:sz w:val="22"/>
                <w:szCs w:val="21"/>
              </w:rPr>
              <w:t>分）</w:t>
            </w:r>
          </w:p>
        </w:tc>
        <w:tc>
          <w:tcPr>
            <w:tcW w:w="2772" w:type="dxa"/>
            <w:vMerge/>
            <w:vAlign w:val="center"/>
          </w:tcPr>
          <w:p w14:paraId="2462528C" w14:textId="013F0188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</w:p>
        </w:tc>
        <w:tc>
          <w:tcPr>
            <w:tcW w:w="2870" w:type="dxa"/>
            <w:vMerge/>
            <w:vAlign w:val="center"/>
          </w:tcPr>
          <w:p w14:paraId="6B0579AE" w14:textId="77777777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</w:p>
        </w:tc>
      </w:tr>
      <w:tr w:rsidR="00233F8D" w:rsidRPr="00F4168A" w14:paraId="45452B6D" w14:textId="77777777" w:rsidTr="00F4168A">
        <w:trPr>
          <w:trHeight w:val="470"/>
          <w:jc w:val="center"/>
        </w:trPr>
        <w:tc>
          <w:tcPr>
            <w:tcW w:w="569" w:type="dxa"/>
            <w:vAlign w:val="center"/>
          </w:tcPr>
          <w:p w14:paraId="1E14F86E" w14:textId="77777777" w:rsidR="00233F8D" w:rsidRPr="00F4168A" w:rsidRDefault="00233F8D" w:rsidP="002360F1">
            <w:pPr>
              <w:pStyle w:val="aa"/>
              <w:jc w:val="center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6</w:t>
            </w:r>
          </w:p>
        </w:tc>
        <w:tc>
          <w:tcPr>
            <w:tcW w:w="2545" w:type="dxa"/>
            <w:vAlign w:val="center"/>
          </w:tcPr>
          <w:p w14:paraId="258B68EE" w14:textId="39113E75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最优报价时间（</w:t>
            </w:r>
            <w:r w:rsidRPr="00F4168A">
              <w:rPr>
                <w:rFonts w:cs="Times New Roman"/>
                <w:sz w:val="22"/>
                <w:szCs w:val="21"/>
              </w:rPr>
              <w:t>10</w:t>
            </w:r>
            <w:r w:rsidRPr="00F4168A">
              <w:rPr>
                <w:rFonts w:cs="Times New Roman"/>
                <w:sz w:val="22"/>
                <w:szCs w:val="21"/>
              </w:rPr>
              <w:t>分）</w:t>
            </w:r>
          </w:p>
        </w:tc>
        <w:tc>
          <w:tcPr>
            <w:tcW w:w="2772" w:type="dxa"/>
            <w:vMerge/>
            <w:vAlign w:val="center"/>
          </w:tcPr>
          <w:p w14:paraId="70454B8C" w14:textId="428C9AE5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</w:p>
        </w:tc>
        <w:tc>
          <w:tcPr>
            <w:tcW w:w="2870" w:type="dxa"/>
            <w:vMerge/>
            <w:vAlign w:val="center"/>
          </w:tcPr>
          <w:p w14:paraId="2D7038F0" w14:textId="77777777" w:rsidR="00233F8D" w:rsidRPr="00F4168A" w:rsidRDefault="00233F8D" w:rsidP="002360F1">
            <w:pPr>
              <w:pStyle w:val="aa"/>
              <w:rPr>
                <w:rFonts w:cs="Times New Roman"/>
                <w:sz w:val="22"/>
                <w:szCs w:val="21"/>
              </w:rPr>
            </w:pPr>
          </w:p>
        </w:tc>
      </w:tr>
      <w:tr w:rsidR="00067DF4" w:rsidRPr="00F4168A" w14:paraId="7F0E717D" w14:textId="77777777" w:rsidTr="00F4168A">
        <w:trPr>
          <w:trHeight w:val="964"/>
          <w:jc w:val="center"/>
        </w:trPr>
        <w:tc>
          <w:tcPr>
            <w:tcW w:w="569" w:type="dxa"/>
            <w:vAlign w:val="center"/>
          </w:tcPr>
          <w:p w14:paraId="099FBF14" w14:textId="77777777" w:rsidR="00067DF4" w:rsidRPr="00F4168A" w:rsidRDefault="00067DF4" w:rsidP="002360F1">
            <w:pPr>
              <w:pStyle w:val="aa"/>
              <w:jc w:val="center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7</w:t>
            </w:r>
          </w:p>
        </w:tc>
        <w:tc>
          <w:tcPr>
            <w:tcW w:w="2545" w:type="dxa"/>
            <w:vAlign w:val="center"/>
          </w:tcPr>
          <w:p w14:paraId="50722ADF" w14:textId="6595E51E" w:rsidR="00067DF4" w:rsidRPr="00F4168A" w:rsidRDefault="00067DF4" w:rsidP="002360F1">
            <w:pPr>
              <w:pStyle w:val="aa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买卖价差（</w:t>
            </w:r>
            <w:r w:rsidRPr="00F4168A">
              <w:rPr>
                <w:rFonts w:cs="Times New Roman"/>
                <w:sz w:val="22"/>
                <w:szCs w:val="21"/>
              </w:rPr>
              <w:t>10</w:t>
            </w:r>
            <w:r w:rsidRPr="00F4168A">
              <w:rPr>
                <w:rFonts w:cs="Times New Roman"/>
                <w:sz w:val="22"/>
                <w:szCs w:val="21"/>
              </w:rPr>
              <w:t>分）</w:t>
            </w:r>
          </w:p>
        </w:tc>
        <w:tc>
          <w:tcPr>
            <w:tcW w:w="2772" w:type="dxa"/>
            <w:vAlign w:val="center"/>
          </w:tcPr>
          <w:p w14:paraId="46E3873A" w14:textId="77777777" w:rsidR="00067DF4" w:rsidRPr="00F4168A" w:rsidRDefault="00067DF4" w:rsidP="002360F1">
            <w:pPr>
              <w:pStyle w:val="aa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该指标计算结果的最小值</w:t>
            </w:r>
          </w:p>
        </w:tc>
        <w:tc>
          <w:tcPr>
            <w:tcW w:w="2870" w:type="dxa"/>
            <w:vAlign w:val="center"/>
          </w:tcPr>
          <w:p w14:paraId="21C78A39" w14:textId="24CF6652" w:rsidR="00067DF4" w:rsidRPr="00F4168A" w:rsidRDefault="00067DF4" w:rsidP="002360F1">
            <w:pPr>
              <w:pStyle w:val="aa"/>
              <w:rPr>
                <w:rFonts w:cs="Times New Roman"/>
                <w:sz w:val="22"/>
                <w:szCs w:val="21"/>
              </w:rPr>
            </w:pPr>
            <w:r w:rsidRPr="00F4168A">
              <w:rPr>
                <w:rFonts w:cs="Times New Roman"/>
                <w:sz w:val="22"/>
                <w:szCs w:val="21"/>
              </w:rPr>
              <w:t>得分</w:t>
            </w:r>
            <w:r w:rsidRPr="00F4168A">
              <w:rPr>
                <w:rFonts w:cs="Times New Roman"/>
                <w:sz w:val="22"/>
                <w:szCs w:val="21"/>
              </w:rPr>
              <w:t>=</w:t>
            </w:r>
            <w:r w:rsidRPr="00F4168A">
              <w:rPr>
                <w:rFonts w:cs="Times New Roman"/>
                <w:sz w:val="22"/>
                <w:szCs w:val="21"/>
              </w:rPr>
              <w:t>指标满分</w:t>
            </w:r>
            <w:r w:rsidRPr="00F4168A">
              <w:rPr>
                <w:rFonts w:cs="Times New Roman"/>
                <w:sz w:val="22"/>
                <w:szCs w:val="21"/>
              </w:rPr>
              <w:t>×</w:t>
            </w:r>
            <w:r w:rsidR="004572A0" w:rsidRPr="00F4168A">
              <w:rPr>
                <w:rFonts w:cs="Times New Roman"/>
                <w:sz w:val="22"/>
                <w:szCs w:val="21"/>
              </w:rPr>
              <w:t>[</w:t>
            </w:r>
            <w:r w:rsidRPr="00F4168A">
              <w:rPr>
                <w:rFonts w:cs="Times New Roman"/>
                <w:sz w:val="22"/>
                <w:szCs w:val="21"/>
              </w:rPr>
              <w:t>（</w:t>
            </w:r>
            <w:r w:rsidRPr="00F4168A">
              <w:rPr>
                <w:rFonts w:cs="Times New Roman"/>
                <w:sz w:val="22"/>
                <w:szCs w:val="21"/>
              </w:rPr>
              <w:t>5%-</w:t>
            </w:r>
            <w:r w:rsidRPr="00F4168A">
              <w:rPr>
                <w:rFonts w:cs="Times New Roman"/>
                <w:sz w:val="22"/>
                <w:szCs w:val="21"/>
              </w:rPr>
              <w:t>指标结果）</w:t>
            </w:r>
            <w:r w:rsidRPr="00F4168A">
              <w:rPr>
                <w:rFonts w:cs="Times New Roman"/>
                <w:sz w:val="22"/>
                <w:szCs w:val="21"/>
              </w:rPr>
              <w:t>/</w:t>
            </w:r>
            <w:r w:rsidRPr="00F4168A">
              <w:rPr>
                <w:rFonts w:cs="Times New Roman"/>
                <w:sz w:val="22"/>
                <w:szCs w:val="21"/>
              </w:rPr>
              <w:t>（</w:t>
            </w:r>
            <w:r w:rsidRPr="00F4168A">
              <w:rPr>
                <w:rFonts w:cs="Times New Roman"/>
                <w:sz w:val="22"/>
                <w:szCs w:val="21"/>
              </w:rPr>
              <w:t>5%-</w:t>
            </w:r>
            <w:r w:rsidRPr="00F4168A">
              <w:rPr>
                <w:rFonts w:cs="Times New Roman"/>
                <w:sz w:val="22"/>
                <w:szCs w:val="21"/>
              </w:rPr>
              <w:t>满分参考量）</w:t>
            </w:r>
            <w:r w:rsidR="004572A0" w:rsidRPr="00F4168A">
              <w:rPr>
                <w:rFonts w:cs="Times New Roman"/>
                <w:sz w:val="22"/>
                <w:szCs w:val="21"/>
              </w:rPr>
              <w:t>]</w:t>
            </w:r>
          </w:p>
        </w:tc>
      </w:tr>
    </w:tbl>
    <w:p w14:paraId="6A938998" w14:textId="18E4506B" w:rsidR="002F664F" w:rsidRPr="00233F8D" w:rsidRDefault="005047C5" w:rsidP="001E79F4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233F8D">
        <w:rPr>
          <w:rFonts w:cs="Times New Roman" w:hint="eastAsia"/>
          <w:sz w:val="32"/>
          <w:szCs w:val="32"/>
        </w:rPr>
        <w:t>其次，</w:t>
      </w:r>
      <w:r w:rsidR="002F664F" w:rsidRPr="00233F8D">
        <w:rPr>
          <w:rFonts w:cs="Times New Roman" w:hint="eastAsia"/>
          <w:sz w:val="32"/>
          <w:szCs w:val="32"/>
        </w:rPr>
        <w:t>根据减分项评分标准</w:t>
      </w:r>
      <w:proofErr w:type="gramStart"/>
      <w:r w:rsidRPr="00233F8D">
        <w:rPr>
          <w:rFonts w:cs="Times New Roman" w:hint="eastAsia"/>
          <w:sz w:val="32"/>
          <w:szCs w:val="32"/>
        </w:rPr>
        <w:t>计算做</w:t>
      </w:r>
      <w:proofErr w:type="gramEnd"/>
      <w:r w:rsidRPr="00233F8D">
        <w:rPr>
          <w:rFonts w:cs="Times New Roman" w:hint="eastAsia"/>
          <w:sz w:val="32"/>
          <w:szCs w:val="32"/>
        </w:rPr>
        <w:t>市商减分项指标扣分。</w:t>
      </w:r>
    </w:p>
    <w:p w14:paraId="6345C541" w14:textId="06BBF65B" w:rsidR="00194F29" w:rsidRPr="00233F8D" w:rsidRDefault="005047C5" w:rsidP="001E79F4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233F8D">
        <w:rPr>
          <w:rFonts w:cs="Times New Roman" w:hint="eastAsia"/>
          <w:sz w:val="32"/>
          <w:szCs w:val="32"/>
        </w:rPr>
        <w:t>最后，将得分项总分扣除减分项总分，得到做市商季度</w:t>
      </w:r>
      <w:r w:rsidRPr="00233F8D">
        <w:rPr>
          <w:rFonts w:cs="Times New Roman" w:hint="eastAsia"/>
          <w:sz w:val="32"/>
          <w:szCs w:val="32"/>
        </w:rPr>
        <w:lastRenderedPageBreak/>
        <w:t>评价的综合得分</w:t>
      </w:r>
      <w:r w:rsidR="002F664F" w:rsidRPr="00233F8D">
        <w:rPr>
          <w:rFonts w:cs="Times New Roman" w:hint="eastAsia"/>
          <w:sz w:val="32"/>
          <w:szCs w:val="32"/>
        </w:rPr>
        <w:t>；</w:t>
      </w:r>
      <w:r w:rsidRPr="00233F8D">
        <w:rPr>
          <w:rFonts w:cs="Times New Roman" w:hint="eastAsia"/>
          <w:sz w:val="32"/>
          <w:szCs w:val="32"/>
        </w:rPr>
        <w:t>综合得分低于</w:t>
      </w:r>
      <w:r w:rsidRPr="00233F8D">
        <w:rPr>
          <w:rFonts w:cs="Times New Roman"/>
          <w:sz w:val="32"/>
          <w:szCs w:val="32"/>
        </w:rPr>
        <w:t>0</w:t>
      </w:r>
      <w:r w:rsidRPr="00233F8D">
        <w:rPr>
          <w:rFonts w:cs="Times New Roman" w:hint="eastAsia"/>
          <w:sz w:val="32"/>
          <w:szCs w:val="32"/>
        </w:rPr>
        <w:t>分的，记为</w:t>
      </w:r>
      <w:r w:rsidRPr="00233F8D">
        <w:rPr>
          <w:rFonts w:cs="Times New Roman"/>
          <w:sz w:val="32"/>
          <w:szCs w:val="32"/>
        </w:rPr>
        <w:t>0</w:t>
      </w:r>
      <w:r w:rsidRPr="00233F8D">
        <w:rPr>
          <w:rFonts w:cs="Times New Roman" w:hint="eastAsia"/>
          <w:sz w:val="32"/>
          <w:szCs w:val="32"/>
        </w:rPr>
        <w:t>分。</w:t>
      </w:r>
    </w:p>
    <w:p w14:paraId="5B80E250" w14:textId="5344E5DC" w:rsidR="001E79F4" w:rsidRPr="00F4168A" w:rsidRDefault="001E79F4" w:rsidP="00F4168A">
      <w:pPr>
        <w:spacing w:line="600" w:lineRule="exact"/>
        <w:ind w:firstLine="640"/>
        <w:rPr>
          <w:rFonts w:eastAsia="黑体" w:cs="Times New Roman"/>
          <w:sz w:val="32"/>
          <w:szCs w:val="32"/>
        </w:rPr>
      </w:pPr>
      <w:r w:rsidRPr="00F4168A">
        <w:rPr>
          <w:rFonts w:eastAsia="黑体" w:cs="Times New Roman" w:hint="eastAsia"/>
          <w:sz w:val="32"/>
          <w:szCs w:val="32"/>
        </w:rPr>
        <w:t>二、年度评价得分计算方法</w:t>
      </w:r>
    </w:p>
    <w:p w14:paraId="153318F2" w14:textId="4078829A" w:rsidR="001E79F4" w:rsidRPr="007E313D" w:rsidRDefault="00194F29" w:rsidP="007E313D">
      <w:pPr>
        <w:spacing w:line="600" w:lineRule="exact"/>
        <w:ind w:firstLine="640"/>
        <w:rPr>
          <w:rFonts w:cs="Times New Roman"/>
          <w:sz w:val="32"/>
          <w:szCs w:val="32"/>
        </w:rPr>
      </w:pPr>
      <w:r w:rsidRPr="00233F8D">
        <w:rPr>
          <w:rFonts w:cs="Times New Roman" w:hint="eastAsia"/>
          <w:sz w:val="32"/>
          <w:szCs w:val="32"/>
        </w:rPr>
        <w:t>做市商年度评价得分等于做市</w:t>
      </w:r>
      <w:proofErr w:type="gramStart"/>
      <w:r w:rsidRPr="00233F8D">
        <w:rPr>
          <w:rFonts w:cs="Times New Roman" w:hint="eastAsia"/>
          <w:sz w:val="32"/>
          <w:szCs w:val="32"/>
        </w:rPr>
        <w:t>商当年</w:t>
      </w:r>
      <w:proofErr w:type="gramEnd"/>
      <w:r w:rsidRPr="00233F8D">
        <w:rPr>
          <w:rFonts w:cs="Times New Roman" w:hint="eastAsia"/>
          <w:sz w:val="32"/>
          <w:szCs w:val="32"/>
        </w:rPr>
        <w:t>季度评价得分的算术平均值。若做市</w:t>
      </w:r>
      <w:proofErr w:type="gramStart"/>
      <w:r w:rsidRPr="00233F8D">
        <w:rPr>
          <w:rFonts w:cs="Times New Roman" w:hint="eastAsia"/>
          <w:sz w:val="32"/>
          <w:szCs w:val="32"/>
        </w:rPr>
        <w:t>商当年</w:t>
      </w:r>
      <w:proofErr w:type="gramEnd"/>
      <w:r w:rsidRPr="00233F8D">
        <w:rPr>
          <w:rFonts w:cs="Times New Roman" w:hint="eastAsia"/>
          <w:sz w:val="32"/>
          <w:szCs w:val="32"/>
        </w:rPr>
        <w:t>有未做市的季度，在进行年度评价得分计算时</w:t>
      </w:r>
      <w:r w:rsidR="00301BA8" w:rsidRPr="00233F8D">
        <w:rPr>
          <w:rFonts w:cs="Times New Roman" w:hint="eastAsia"/>
          <w:sz w:val="32"/>
          <w:szCs w:val="32"/>
        </w:rPr>
        <w:t>，</w:t>
      </w:r>
      <w:r w:rsidRPr="00233F8D">
        <w:rPr>
          <w:rFonts w:cs="Times New Roman" w:hint="eastAsia"/>
          <w:sz w:val="32"/>
          <w:szCs w:val="32"/>
        </w:rPr>
        <w:t>该季度各指标记为</w:t>
      </w:r>
      <w:r w:rsidRPr="00233F8D">
        <w:rPr>
          <w:rFonts w:cs="Times New Roman"/>
          <w:sz w:val="32"/>
          <w:szCs w:val="32"/>
        </w:rPr>
        <w:t>0</w:t>
      </w:r>
      <w:r w:rsidRPr="00233F8D">
        <w:rPr>
          <w:rFonts w:cs="Times New Roman" w:hint="eastAsia"/>
          <w:sz w:val="32"/>
          <w:szCs w:val="32"/>
        </w:rPr>
        <w:t>分。</w:t>
      </w:r>
    </w:p>
    <w:sectPr w:rsidR="001E79F4" w:rsidRPr="007E313D" w:rsidSect="00045DF2"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183CE" w14:textId="77777777" w:rsidR="0059282C" w:rsidRDefault="0059282C" w:rsidP="00A3220D">
      <w:pPr>
        <w:ind w:firstLine="600"/>
      </w:pPr>
      <w:r>
        <w:separator/>
      </w:r>
    </w:p>
  </w:endnote>
  <w:endnote w:type="continuationSeparator" w:id="0">
    <w:p w14:paraId="72747EF7" w14:textId="77777777" w:rsidR="0059282C" w:rsidRDefault="0059282C" w:rsidP="00A3220D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FCDC4" w14:textId="77777777" w:rsidR="00382AD3" w:rsidRDefault="00382AD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2693094"/>
      <w:docPartObj>
        <w:docPartGallery w:val="Page Numbers (Bottom of Page)"/>
        <w:docPartUnique/>
      </w:docPartObj>
    </w:sdtPr>
    <w:sdtContent>
      <w:p w14:paraId="2B4BF60D" w14:textId="3D073F43" w:rsidR="0029251A" w:rsidRDefault="0029251A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9251A">
          <w:rPr>
            <w:noProof/>
            <w:lang w:val="zh-CN"/>
          </w:rPr>
          <w:t>-</w:t>
        </w:r>
        <w:r>
          <w:rPr>
            <w:noProof/>
          </w:rPr>
          <w:t xml:space="preserve"> 8 -</w:t>
        </w:r>
        <w:r>
          <w:fldChar w:fldCharType="end"/>
        </w:r>
      </w:p>
    </w:sdtContent>
  </w:sdt>
  <w:p w14:paraId="0315B2C6" w14:textId="6948DCD0" w:rsidR="00045DF2" w:rsidRPr="00045DF2" w:rsidRDefault="00045DF2">
    <w:pPr>
      <w:pStyle w:val="a4"/>
      <w:ind w:firstLine="560"/>
      <w:jc w:val="center"/>
      <w:rPr>
        <w:rFonts w:ascii="宋体" w:eastAsia="宋体" w:hAnsi="宋体"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DA3D" w14:textId="77777777" w:rsidR="00382AD3" w:rsidRDefault="00382AD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EBB83" w14:textId="77777777" w:rsidR="0059282C" w:rsidRDefault="0059282C" w:rsidP="00A3220D">
      <w:pPr>
        <w:ind w:firstLine="600"/>
      </w:pPr>
      <w:r>
        <w:separator/>
      </w:r>
    </w:p>
  </w:footnote>
  <w:footnote w:type="continuationSeparator" w:id="0">
    <w:p w14:paraId="67454D0B" w14:textId="77777777" w:rsidR="0059282C" w:rsidRDefault="0059282C" w:rsidP="00A3220D">
      <w:pPr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9E5" w14:textId="77777777" w:rsidR="00382AD3" w:rsidRDefault="00382AD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0AF20" w14:textId="77777777" w:rsidR="002458E3" w:rsidRDefault="002458E3" w:rsidP="00AA18B8">
    <w:pPr>
      <w:ind w:firstLine="6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B43DF" w14:textId="77777777" w:rsidR="00382AD3" w:rsidRDefault="00382AD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140F"/>
    <w:multiLevelType w:val="hybridMultilevel"/>
    <w:tmpl w:val="1BBA11AC"/>
    <w:lvl w:ilvl="0" w:tplc="04090017">
      <w:start w:val="1"/>
      <w:numFmt w:val="chineseCountingThousand"/>
      <w:lvlText w:val="(%1)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1">
    <w:nsid w:val="1BD1523A"/>
    <w:multiLevelType w:val="hybridMultilevel"/>
    <w:tmpl w:val="CF0CBBC0"/>
    <w:lvl w:ilvl="0" w:tplc="04090013">
      <w:start w:val="1"/>
      <w:numFmt w:val="chineseCountingThousand"/>
      <w:lvlText w:val="%1、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>
    <w:nsid w:val="3F6A00FE"/>
    <w:multiLevelType w:val="hybridMultilevel"/>
    <w:tmpl w:val="3B3CFA70"/>
    <w:lvl w:ilvl="0" w:tplc="2352424E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42404334"/>
    <w:multiLevelType w:val="hybridMultilevel"/>
    <w:tmpl w:val="1988DB56"/>
    <w:lvl w:ilvl="0" w:tplc="04090017">
      <w:start w:val="1"/>
      <w:numFmt w:val="chineseCountingThousand"/>
      <w:lvlText w:val="(%1)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4">
    <w:nsid w:val="47A71627"/>
    <w:multiLevelType w:val="hybridMultilevel"/>
    <w:tmpl w:val="0172AB0A"/>
    <w:lvl w:ilvl="0" w:tplc="04090013">
      <w:start w:val="1"/>
      <w:numFmt w:val="chineseCountingThousand"/>
      <w:lvlText w:val="%1、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5">
    <w:nsid w:val="4DB5606D"/>
    <w:multiLevelType w:val="hybridMultilevel"/>
    <w:tmpl w:val="AC5E0316"/>
    <w:lvl w:ilvl="0" w:tplc="04090013">
      <w:start w:val="1"/>
      <w:numFmt w:val="chineseCountingThousand"/>
      <w:lvlText w:val="%1、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74EE2838"/>
    <w:multiLevelType w:val="hybridMultilevel"/>
    <w:tmpl w:val="5A246B4A"/>
    <w:lvl w:ilvl="0" w:tplc="04090017">
      <w:start w:val="1"/>
      <w:numFmt w:val="chineseCountingThousand"/>
      <w:lvlText w:val="(%1)"/>
      <w:lvlJc w:val="left"/>
      <w:pPr>
        <w:ind w:left="10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7">
    <w:nsid w:val="792A00CA"/>
    <w:multiLevelType w:val="hybridMultilevel"/>
    <w:tmpl w:val="5894B8D0"/>
    <w:lvl w:ilvl="0" w:tplc="04090017">
      <w:start w:val="1"/>
      <w:numFmt w:val="chineseCountingThousand"/>
      <w:lvlText w:val="(%1)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DA"/>
    <w:rsid w:val="00013CCC"/>
    <w:rsid w:val="0001469C"/>
    <w:rsid w:val="00020AA9"/>
    <w:rsid w:val="0002154A"/>
    <w:rsid w:val="000233DA"/>
    <w:rsid w:val="000306A8"/>
    <w:rsid w:val="00033062"/>
    <w:rsid w:val="00035A7F"/>
    <w:rsid w:val="00037C0D"/>
    <w:rsid w:val="0004443D"/>
    <w:rsid w:val="000446B0"/>
    <w:rsid w:val="00045DF2"/>
    <w:rsid w:val="000460D7"/>
    <w:rsid w:val="0004708C"/>
    <w:rsid w:val="00051B04"/>
    <w:rsid w:val="00060987"/>
    <w:rsid w:val="00062CD6"/>
    <w:rsid w:val="00067A0A"/>
    <w:rsid w:val="00067DF4"/>
    <w:rsid w:val="0007337C"/>
    <w:rsid w:val="00074F55"/>
    <w:rsid w:val="000775D4"/>
    <w:rsid w:val="00080071"/>
    <w:rsid w:val="00081F71"/>
    <w:rsid w:val="000860D0"/>
    <w:rsid w:val="00090620"/>
    <w:rsid w:val="000A00B0"/>
    <w:rsid w:val="000A0D2C"/>
    <w:rsid w:val="000A4F9A"/>
    <w:rsid w:val="000B04C4"/>
    <w:rsid w:val="000B50A8"/>
    <w:rsid w:val="000B6ECD"/>
    <w:rsid w:val="000C0B01"/>
    <w:rsid w:val="000D0985"/>
    <w:rsid w:val="000D3556"/>
    <w:rsid w:val="000D430B"/>
    <w:rsid w:val="000D4F24"/>
    <w:rsid w:val="000D594D"/>
    <w:rsid w:val="000D6509"/>
    <w:rsid w:val="000D7709"/>
    <w:rsid w:val="000D790D"/>
    <w:rsid w:val="000E65D3"/>
    <w:rsid w:val="000F5148"/>
    <w:rsid w:val="00101EB9"/>
    <w:rsid w:val="00105051"/>
    <w:rsid w:val="001068DB"/>
    <w:rsid w:val="00113457"/>
    <w:rsid w:val="00115E51"/>
    <w:rsid w:val="00125157"/>
    <w:rsid w:val="00126781"/>
    <w:rsid w:val="001325A4"/>
    <w:rsid w:val="001417F2"/>
    <w:rsid w:val="00141843"/>
    <w:rsid w:val="001459E0"/>
    <w:rsid w:val="001535E2"/>
    <w:rsid w:val="00154815"/>
    <w:rsid w:val="00154E03"/>
    <w:rsid w:val="00165F3A"/>
    <w:rsid w:val="00167071"/>
    <w:rsid w:val="00177EDB"/>
    <w:rsid w:val="00194F29"/>
    <w:rsid w:val="00197354"/>
    <w:rsid w:val="001A212C"/>
    <w:rsid w:val="001A3BFC"/>
    <w:rsid w:val="001A42BC"/>
    <w:rsid w:val="001A6E15"/>
    <w:rsid w:val="001A73A4"/>
    <w:rsid w:val="001B02F5"/>
    <w:rsid w:val="001C06CA"/>
    <w:rsid w:val="001D7261"/>
    <w:rsid w:val="001E7169"/>
    <w:rsid w:val="001E79F4"/>
    <w:rsid w:val="001F1744"/>
    <w:rsid w:val="0020115B"/>
    <w:rsid w:val="00207A28"/>
    <w:rsid w:val="0021057B"/>
    <w:rsid w:val="00210C26"/>
    <w:rsid w:val="0021487B"/>
    <w:rsid w:val="00216781"/>
    <w:rsid w:val="002270F0"/>
    <w:rsid w:val="002314D7"/>
    <w:rsid w:val="0023259B"/>
    <w:rsid w:val="00233F8D"/>
    <w:rsid w:val="002360F1"/>
    <w:rsid w:val="00236302"/>
    <w:rsid w:val="00240EAC"/>
    <w:rsid w:val="002458E3"/>
    <w:rsid w:val="002463DD"/>
    <w:rsid w:val="00255B44"/>
    <w:rsid w:val="00255CBA"/>
    <w:rsid w:val="00263926"/>
    <w:rsid w:val="002734D1"/>
    <w:rsid w:val="002858B7"/>
    <w:rsid w:val="00287F88"/>
    <w:rsid w:val="0029251A"/>
    <w:rsid w:val="00292C77"/>
    <w:rsid w:val="002A06E7"/>
    <w:rsid w:val="002A4520"/>
    <w:rsid w:val="002B0A24"/>
    <w:rsid w:val="002B3733"/>
    <w:rsid w:val="002B4324"/>
    <w:rsid w:val="002B55ED"/>
    <w:rsid w:val="002C0052"/>
    <w:rsid w:val="002C092A"/>
    <w:rsid w:val="002C6F9B"/>
    <w:rsid w:val="002D0859"/>
    <w:rsid w:val="002D1E78"/>
    <w:rsid w:val="002D354E"/>
    <w:rsid w:val="002D6706"/>
    <w:rsid w:val="002E4C19"/>
    <w:rsid w:val="002F2192"/>
    <w:rsid w:val="002F426E"/>
    <w:rsid w:val="002F5AF2"/>
    <w:rsid w:val="002F664F"/>
    <w:rsid w:val="002F7F3E"/>
    <w:rsid w:val="00301BA8"/>
    <w:rsid w:val="003172C6"/>
    <w:rsid w:val="0032493B"/>
    <w:rsid w:val="003316E4"/>
    <w:rsid w:val="003318D5"/>
    <w:rsid w:val="003362DE"/>
    <w:rsid w:val="00342F0A"/>
    <w:rsid w:val="00350240"/>
    <w:rsid w:val="00356E34"/>
    <w:rsid w:val="003600FD"/>
    <w:rsid w:val="003665E4"/>
    <w:rsid w:val="00366C25"/>
    <w:rsid w:val="00370900"/>
    <w:rsid w:val="00371DEB"/>
    <w:rsid w:val="0037445B"/>
    <w:rsid w:val="00374B99"/>
    <w:rsid w:val="00376C30"/>
    <w:rsid w:val="00382AD3"/>
    <w:rsid w:val="003861FD"/>
    <w:rsid w:val="00392F83"/>
    <w:rsid w:val="0039422A"/>
    <w:rsid w:val="00396634"/>
    <w:rsid w:val="003A1667"/>
    <w:rsid w:val="003B6093"/>
    <w:rsid w:val="003B7F15"/>
    <w:rsid w:val="003C39D9"/>
    <w:rsid w:val="003D1337"/>
    <w:rsid w:val="003D2F19"/>
    <w:rsid w:val="003D518D"/>
    <w:rsid w:val="00400990"/>
    <w:rsid w:val="004021CD"/>
    <w:rsid w:val="004065F6"/>
    <w:rsid w:val="00415F71"/>
    <w:rsid w:val="004325BD"/>
    <w:rsid w:val="00441FDF"/>
    <w:rsid w:val="00443783"/>
    <w:rsid w:val="00444519"/>
    <w:rsid w:val="00445919"/>
    <w:rsid w:val="004478CF"/>
    <w:rsid w:val="00452FFA"/>
    <w:rsid w:val="004572A0"/>
    <w:rsid w:val="004579A6"/>
    <w:rsid w:val="00465F39"/>
    <w:rsid w:val="004676E9"/>
    <w:rsid w:val="00467CE2"/>
    <w:rsid w:val="00470D51"/>
    <w:rsid w:val="00471C7D"/>
    <w:rsid w:val="004726CD"/>
    <w:rsid w:val="00481CBD"/>
    <w:rsid w:val="00487322"/>
    <w:rsid w:val="004914A8"/>
    <w:rsid w:val="00492E44"/>
    <w:rsid w:val="004C2F01"/>
    <w:rsid w:val="004C329C"/>
    <w:rsid w:val="004C3B59"/>
    <w:rsid w:val="004D4939"/>
    <w:rsid w:val="004E3559"/>
    <w:rsid w:val="004E4E5B"/>
    <w:rsid w:val="004E7CF2"/>
    <w:rsid w:val="004F6F9E"/>
    <w:rsid w:val="005000A4"/>
    <w:rsid w:val="0050264A"/>
    <w:rsid w:val="0050311A"/>
    <w:rsid w:val="005047C5"/>
    <w:rsid w:val="00504EA7"/>
    <w:rsid w:val="005130BF"/>
    <w:rsid w:val="00513D4A"/>
    <w:rsid w:val="00514ED7"/>
    <w:rsid w:val="00516E12"/>
    <w:rsid w:val="005239C5"/>
    <w:rsid w:val="00524034"/>
    <w:rsid w:val="00525BAB"/>
    <w:rsid w:val="0052799B"/>
    <w:rsid w:val="00531860"/>
    <w:rsid w:val="005524BF"/>
    <w:rsid w:val="005529CA"/>
    <w:rsid w:val="00563448"/>
    <w:rsid w:val="00572C35"/>
    <w:rsid w:val="005744D4"/>
    <w:rsid w:val="005841A1"/>
    <w:rsid w:val="0059282C"/>
    <w:rsid w:val="00592DAA"/>
    <w:rsid w:val="00593F56"/>
    <w:rsid w:val="00594F5B"/>
    <w:rsid w:val="005A0756"/>
    <w:rsid w:val="005A1F8A"/>
    <w:rsid w:val="005B1EC5"/>
    <w:rsid w:val="005B45B3"/>
    <w:rsid w:val="005B5D2A"/>
    <w:rsid w:val="005C0E5C"/>
    <w:rsid w:val="005C6742"/>
    <w:rsid w:val="005D7537"/>
    <w:rsid w:val="005F013E"/>
    <w:rsid w:val="005F1994"/>
    <w:rsid w:val="005F5747"/>
    <w:rsid w:val="00607B8E"/>
    <w:rsid w:val="00610B1F"/>
    <w:rsid w:val="00611FD0"/>
    <w:rsid w:val="00616343"/>
    <w:rsid w:val="00626AA9"/>
    <w:rsid w:val="00632759"/>
    <w:rsid w:val="00636CF4"/>
    <w:rsid w:val="0063760E"/>
    <w:rsid w:val="00642918"/>
    <w:rsid w:val="00655F52"/>
    <w:rsid w:val="006629DF"/>
    <w:rsid w:val="00663C69"/>
    <w:rsid w:val="00670E5A"/>
    <w:rsid w:val="00672118"/>
    <w:rsid w:val="006966DB"/>
    <w:rsid w:val="006A3112"/>
    <w:rsid w:val="006A377C"/>
    <w:rsid w:val="006A6CF0"/>
    <w:rsid w:val="006B1DE0"/>
    <w:rsid w:val="006B1EE7"/>
    <w:rsid w:val="006B6993"/>
    <w:rsid w:val="006C43F9"/>
    <w:rsid w:val="006C7E31"/>
    <w:rsid w:val="006D11EC"/>
    <w:rsid w:val="006D1637"/>
    <w:rsid w:val="006D4BCB"/>
    <w:rsid w:val="006F776D"/>
    <w:rsid w:val="00701E4F"/>
    <w:rsid w:val="00702316"/>
    <w:rsid w:val="0070720F"/>
    <w:rsid w:val="00707EBC"/>
    <w:rsid w:val="00711E68"/>
    <w:rsid w:val="0071758E"/>
    <w:rsid w:val="00717690"/>
    <w:rsid w:val="00723484"/>
    <w:rsid w:val="00731462"/>
    <w:rsid w:val="007324ED"/>
    <w:rsid w:val="0073332B"/>
    <w:rsid w:val="00741A46"/>
    <w:rsid w:val="00742735"/>
    <w:rsid w:val="00754E56"/>
    <w:rsid w:val="00760056"/>
    <w:rsid w:val="0076249E"/>
    <w:rsid w:val="00763771"/>
    <w:rsid w:val="00764242"/>
    <w:rsid w:val="00767835"/>
    <w:rsid w:val="007737D6"/>
    <w:rsid w:val="00774064"/>
    <w:rsid w:val="00775680"/>
    <w:rsid w:val="00790E6E"/>
    <w:rsid w:val="007912FC"/>
    <w:rsid w:val="0079429F"/>
    <w:rsid w:val="00795F9C"/>
    <w:rsid w:val="007A2175"/>
    <w:rsid w:val="007A326D"/>
    <w:rsid w:val="007A4E32"/>
    <w:rsid w:val="007B3BC0"/>
    <w:rsid w:val="007C32CB"/>
    <w:rsid w:val="007C4C86"/>
    <w:rsid w:val="007C5AA3"/>
    <w:rsid w:val="007D1662"/>
    <w:rsid w:val="007D2FE1"/>
    <w:rsid w:val="007D3C53"/>
    <w:rsid w:val="007E313D"/>
    <w:rsid w:val="007F2851"/>
    <w:rsid w:val="007F3FD7"/>
    <w:rsid w:val="007F4386"/>
    <w:rsid w:val="007F4503"/>
    <w:rsid w:val="007F6FCC"/>
    <w:rsid w:val="0080273C"/>
    <w:rsid w:val="0080471F"/>
    <w:rsid w:val="008121F6"/>
    <w:rsid w:val="00813EFC"/>
    <w:rsid w:val="008211DB"/>
    <w:rsid w:val="00821E6B"/>
    <w:rsid w:val="00822575"/>
    <w:rsid w:val="00830E6E"/>
    <w:rsid w:val="00834637"/>
    <w:rsid w:val="00837B9C"/>
    <w:rsid w:val="00840F19"/>
    <w:rsid w:val="0084499D"/>
    <w:rsid w:val="008575A0"/>
    <w:rsid w:val="00860DEB"/>
    <w:rsid w:val="00861FD0"/>
    <w:rsid w:val="0086306D"/>
    <w:rsid w:val="0086505A"/>
    <w:rsid w:val="00870DF3"/>
    <w:rsid w:val="00883FED"/>
    <w:rsid w:val="00887660"/>
    <w:rsid w:val="008A2A68"/>
    <w:rsid w:val="008B0B64"/>
    <w:rsid w:val="008B2D34"/>
    <w:rsid w:val="008B550B"/>
    <w:rsid w:val="008B79D2"/>
    <w:rsid w:val="008C09AA"/>
    <w:rsid w:val="008C2757"/>
    <w:rsid w:val="008D28A7"/>
    <w:rsid w:val="008D684F"/>
    <w:rsid w:val="008D77DC"/>
    <w:rsid w:val="008E2006"/>
    <w:rsid w:val="009038EE"/>
    <w:rsid w:val="0091021F"/>
    <w:rsid w:val="00910CF5"/>
    <w:rsid w:val="00914193"/>
    <w:rsid w:val="009179B3"/>
    <w:rsid w:val="00921675"/>
    <w:rsid w:val="0092219C"/>
    <w:rsid w:val="0092337A"/>
    <w:rsid w:val="00926F90"/>
    <w:rsid w:val="00931406"/>
    <w:rsid w:val="0093373B"/>
    <w:rsid w:val="009340E7"/>
    <w:rsid w:val="00936704"/>
    <w:rsid w:val="0093670A"/>
    <w:rsid w:val="00942B08"/>
    <w:rsid w:val="00943DBC"/>
    <w:rsid w:val="009562EE"/>
    <w:rsid w:val="00961BC3"/>
    <w:rsid w:val="009640F4"/>
    <w:rsid w:val="009649D8"/>
    <w:rsid w:val="00967237"/>
    <w:rsid w:val="009674B9"/>
    <w:rsid w:val="00970EBA"/>
    <w:rsid w:val="00972F66"/>
    <w:rsid w:val="0097430E"/>
    <w:rsid w:val="00984BF1"/>
    <w:rsid w:val="0099185D"/>
    <w:rsid w:val="009920DD"/>
    <w:rsid w:val="0099542F"/>
    <w:rsid w:val="009974E4"/>
    <w:rsid w:val="009A202B"/>
    <w:rsid w:val="009A4B99"/>
    <w:rsid w:val="009A6E42"/>
    <w:rsid w:val="009A7C1A"/>
    <w:rsid w:val="009B1EE9"/>
    <w:rsid w:val="009B3172"/>
    <w:rsid w:val="009B76A7"/>
    <w:rsid w:val="009C1FDB"/>
    <w:rsid w:val="009C740A"/>
    <w:rsid w:val="009D2951"/>
    <w:rsid w:val="009D2EC2"/>
    <w:rsid w:val="009D6AF1"/>
    <w:rsid w:val="009E0072"/>
    <w:rsid w:val="009E6EFD"/>
    <w:rsid w:val="009F0BC6"/>
    <w:rsid w:val="009F2D97"/>
    <w:rsid w:val="009F3C8C"/>
    <w:rsid w:val="009F3D3B"/>
    <w:rsid w:val="009F5F86"/>
    <w:rsid w:val="00A04E4D"/>
    <w:rsid w:val="00A05B67"/>
    <w:rsid w:val="00A06C5B"/>
    <w:rsid w:val="00A10395"/>
    <w:rsid w:val="00A13CBB"/>
    <w:rsid w:val="00A2279B"/>
    <w:rsid w:val="00A254DF"/>
    <w:rsid w:val="00A25C43"/>
    <w:rsid w:val="00A27EA9"/>
    <w:rsid w:val="00A3220D"/>
    <w:rsid w:val="00A34A6A"/>
    <w:rsid w:val="00A36951"/>
    <w:rsid w:val="00A46229"/>
    <w:rsid w:val="00A50E60"/>
    <w:rsid w:val="00A511DA"/>
    <w:rsid w:val="00A54583"/>
    <w:rsid w:val="00A553F5"/>
    <w:rsid w:val="00A928BD"/>
    <w:rsid w:val="00AA08AA"/>
    <w:rsid w:val="00AA18B8"/>
    <w:rsid w:val="00AA6F9D"/>
    <w:rsid w:val="00AA79DA"/>
    <w:rsid w:val="00AB2BB7"/>
    <w:rsid w:val="00AC190A"/>
    <w:rsid w:val="00AD01DE"/>
    <w:rsid w:val="00AD22AA"/>
    <w:rsid w:val="00AE0854"/>
    <w:rsid w:val="00AE37C1"/>
    <w:rsid w:val="00AE614C"/>
    <w:rsid w:val="00AF4E4B"/>
    <w:rsid w:val="00AF7955"/>
    <w:rsid w:val="00B009B2"/>
    <w:rsid w:val="00B0263E"/>
    <w:rsid w:val="00B31747"/>
    <w:rsid w:val="00B32607"/>
    <w:rsid w:val="00B417F3"/>
    <w:rsid w:val="00B4358A"/>
    <w:rsid w:val="00B4481B"/>
    <w:rsid w:val="00B55666"/>
    <w:rsid w:val="00B61DBD"/>
    <w:rsid w:val="00B63391"/>
    <w:rsid w:val="00B77471"/>
    <w:rsid w:val="00B837C7"/>
    <w:rsid w:val="00B86E1A"/>
    <w:rsid w:val="00B9147A"/>
    <w:rsid w:val="00BB20E0"/>
    <w:rsid w:val="00BC2FC8"/>
    <w:rsid w:val="00BC511C"/>
    <w:rsid w:val="00BC54D8"/>
    <w:rsid w:val="00BC5A4A"/>
    <w:rsid w:val="00BD4D2F"/>
    <w:rsid w:val="00BD6223"/>
    <w:rsid w:val="00BE1EEB"/>
    <w:rsid w:val="00BE491B"/>
    <w:rsid w:val="00BE730C"/>
    <w:rsid w:val="00C06EDF"/>
    <w:rsid w:val="00C1508E"/>
    <w:rsid w:val="00C31287"/>
    <w:rsid w:val="00C31D79"/>
    <w:rsid w:val="00C32AD7"/>
    <w:rsid w:val="00C3425C"/>
    <w:rsid w:val="00C35C86"/>
    <w:rsid w:val="00C4221F"/>
    <w:rsid w:val="00C42AEC"/>
    <w:rsid w:val="00C45463"/>
    <w:rsid w:val="00C601D7"/>
    <w:rsid w:val="00C72571"/>
    <w:rsid w:val="00C74CC1"/>
    <w:rsid w:val="00C80B5F"/>
    <w:rsid w:val="00C84B40"/>
    <w:rsid w:val="00C8601A"/>
    <w:rsid w:val="00C871DB"/>
    <w:rsid w:val="00C93CD9"/>
    <w:rsid w:val="00CA11C2"/>
    <w:rsid w:val="00CA5232"/>
    <w:rsid w:val="00CB1341"/>
    <w:rsid w:val="00CB47A0"/>
    <w:rsid w:val="00CC74B7"/>
    <w:rsid w:val="00CD18E0"/>
    <w:rsid w:val="00CD79D3"/>
    <w:rsid w:val="00D00490"/>
    <w:rsid w:val="00D0133E"/>
    <w:rsid w:val="00D12CD5"/>
    <w:rsid w:val="00D1693F"/>
    <w:rsid w:val="00D21044"/>
    <w:rsid w:val="00D22F0F"/>
    <w:rsid w:val="00D270F2"/>
    <w:rsid w:val="00D341A4"/>
    <w:rsid w:val="00D360FD"/>
    <w:rsid w:val="00D430AE"/>
    <w:rsid w:val="00D52375"/>
    <w:rsid w:val="00D573C9"/>
    <w:rsid w:val="00D60585"/>
    <w:rsid w:val="00D60C93"/>
    <w:rsid w:val="00D67731"/>
    <w:rsid w:val="00D74B11"/>
    <w:rsid w:val="00D7544A"/>
    <w:rsid w:val="00D816D4"/>
    <w:rsid w:val="00D86699"/>
    <w:rsid w:val="00D947B4"/>
    <w:rsid w:val="00DA0B6E"/>
    <w:rsid w:val="00DA78E2"/>
    <w:rsid w:val="00DB1C1B"/>
    <w:rsid w:val="00DB406A"/>
    <w:rsid w:val="00DB49DF"/>
    <w:rsid w:val="00DB67E6"/>
    <w:rsid w:val="00DC53D8"/>
    <w:rsid w:val="00DC62E9"/>
    <w:rsid w:val="00DD5023"/>
    <w:rsid w:val="00DE1C47"/>
    <w:rsid w:val="00DE546D"/>
    <w:rsid w:val="00DF15F1"/>
    <w:rsid w:val="00DF5820"/>
    <w:rsid w:val="00E05FD2"/>
    <w:rsid w:val="00E10106"/>
    <w:rsid w:val="00E17EE0"/>
    <w:rsid w:val="00E23894"/>
    <w:rsid w:val="00E2467C"/>
    <w:rsid w:val="00E35711"/>
    <w:rsid w:val="00E56786"/>
    <w:rsid w:val="00E62E78"/>
    <w:rsid w:val="00E80635"/>
    <w:rsid w:val="00E82EF6"/>
    <w:rsid w:val="00E87615"/>
    <w:rsid w:val="00E87D4C"/>
    <w:rsid w:val="00E87F5C"/>
    <w:rsid w:val="00E974D1"/>
    <w:rsid w:val="00EA0EDF"/>
    <w:rsid w:val="00EA2EE3"/>
    <w:rsid w:val="00EB1B37"/>
    <w:rsid w:val="00EB23C6"/>
    <w:rsid w:val="00EB30D8"/>
    <w:rsid w:val="00EB715E"/>
    <w:rsid w:val="00EC447F"/>
    <w:rsid w:val="00EC47D2"/>
    <w:rsid w:val="00ED0FEA"/>
    <w:rsid w:val="00EE1366"/>
    <w:rsid w:val="00F127BB"/>
    <w:rsid w:val="00F13A7E"/>
    <w:rsid w:val="00F13F3D"/>
    <w:rsid w:val="00F15871"/>
    <w:rsid w:val="00F16181"/>
    <w:rsid w:val="00F171AC"/>
    <w:rsid w:val="00F27F2E"/>
    <w:rsid w:val="00F32DD7"/>
    <w:rsid w:val="00F37FD8"/>
    <w:rsid w:val="00F404F5"/>
    <w:rsid w:val="00F4168A"/>
    <w:rsid w:val="00F47413"/>
    <w:rsid w:val="00F50802"/>
    <w:rsid w:val="00F54777"/>
    <w:rsid w:val="00F55ED2"/>
    <w:rsid w:val="00F60C76"/>
    <w:rsid w:val="00F626E5"/>
    <w:rsid w:val="00F72673"/>
    <w:rsid w:val="00F75471"/>
    <w:rsid w:val="00F77749"/>
    <w:rsid w:val="00F84543"/>
    <w:rsid w:val="00F91153"/>
    <w:rsid w:val="00F92338"/>
    <w:rsid w:val="00F935EE"/>
    <w:rsid w:val="00F94122"/>
    <w:rsid w:val="00FB29CF"/>
    <w:rsid w:val="00FB604E"/>
    <w:rsid w:val="00FC6D4D"/>
    <w:rsid w:val="00FC7FF1"/>
    <w:rsid w:val="00FE1E10"/>
    <w:rsid w:val="00FE7527"/>
    <w:rsid w:val="00FF1735"/>
    <w:rsid w:val="00FF3A65"/>
    <w:rsid w:val="00FF6597"/>
    <w:rsid w:val="00FF6787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39B6C"/>
  <w15:chartTrackingRefBased/>
  <w15:docId w15:val="{0B89FF13-C6DD-41F1-8E62-649EBA12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6A7"/>
    <w:pPr>
      <w:widowControl w:val="0"/>
      <w:spacing w:line="560" w:lineRule="exact"/>
      <w:ind w:firstLineChars="200" w:firstLine="200"/>
      <w:jc w:val="both"/>
    </w:pPr>
    <w:rPr>
      <w:rFonts w:ascii="Times New Roman" w:eastAsia="仿宋" w:hAnsi="Times New Roman"/>
      <w:sz w:val="30"/>
    </w:rPr>
  </w:style>
  <w:style w:type="paragraph" w:styleId="1">
    <w:name w:val="heading 1"/>
    <w:basedOn w:val="a"/>
    <w:next w:val="a"/>
    <w:link w:val="1Char"/>
    <w:uiPriority w:val="9"/>
    <w:qFormat/>
    <w:rsid w:val="009B76A7"/>
    <w:pPr>
      <w:keepNext/>
      <w:keepLines/>
      <w:spacing w:before="120" w:after="12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76A7"/>
    <w:pPr>
      <w:keepNext/>
      <w:keepLines/>
      <w:spacing w:before="60" w:after="6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6A7"/>
    <w:pPr>
      <w:keepNext/>
      <w:keepLines/>
      <w:spacing w:before="60" w:after="6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22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2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220D"/>
    <w:rPr>
      <w:sz w:val="18"/>
      <w:szCs w:val="18"/>
    </w:rPr>
  </w:style>
  <w:style w:type="table" w:customStyle="1" w:styleId="10">
    <w:name w:val="网格型1"/>
    <w:basedOn w:val="a1"/>
    <w:next w:val="a5"/>
    <w:uiPriority w:val="39"/>
    <w:rsid w:val="00F4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F4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592D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2DA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626E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626E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626E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626E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626E5"/>
    <w:rPr>
      <w:b/>
      <w:bCs/>
    </w:rPr>
  </w:style>
  <w:style w:type="character" w:customStyle="1" w:styleId="1Char">
    <w:name w:val="标题 1 Char"/>
    <w:basedOn w:val="a0"/>
    <w:link w:val="1"/>
    <w:uiPriority w:val="9"/>
    <w:rsid w:val="009B76A7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B76A7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76A7"/>
    <w:rPr>
      <w:rFonts w:ascii="Times New Roman" w:eastAsia="仿宋" w:hAnsi="Times New Roman"/>
      <w:b/>
      <w:bCs/>
      <w:sz w:val="30"/>
      <w:szCs w:val="32"/>
    </w:rPr>
  </w:style>
  <w:style w:type="paragraph" w:styleId="aa">
    <w:name w:val="No Spacing"/>
    <w:uiPriority w:val="1"/>
    <w:qFormat/>
    <w:rsid w:val="009B76A7"/>
    <w:pPr>
      <w:widowControl w:val="0"/>
      <w:jc w:val="both"/>
    </w:pPr>
    <w:rPr>
      <w:rFonts w:ascii="Times New Roman" w:eastAsia="仿宋" w:hAnsi="Times New Roman"/>
      <w:sz w:val="24"/>
    </w:rPr>
  </w:style>
  <w:style w:type="paragraph" w:styleId="ab">
    <w:name w:val="List Paragraph"/>
    <w:basedOn w:val="a"/>
    <w:uiPriority w:val="34"/>
    <w:qFormat/>
    <w:rsid w:val="009B76A7"/>
    <w:pPr>
      <w:ind w:firstLine="420"/>
    </w:pPr>
  </w:style>
  <w:style w:type="paragraph" w:styleId="ac">
    <w:name w:val="Title"/>
    <w:basedOn w:val="a"/>
    <w:next w:val="a"/>
    <w:link w:val="Char4"/>
    <w:uiPriority w:val="10"/>
    <w:qFormat/>
    <w:rsid w:val="009B76A7"/>
    <w:pPr>
      <w:spacing w:before="240" w:after="60"/>
      <w:jc w:val="center"/>
      <w:outlineLvl w:val="0"/>
    </w:pPr>
    <w:rPr>
      <w:rFonts w:asciiTheme="majorHAnsi" w:eastAsia="方正大标宋简体" w:hAnsiTheme="majorHAnsi" w:cstheme="majorBidi"/>
      <w:b/>
      <w:bCs/>
      <w:sz w:val="42"/>
      <w:szCs w:val="32"/>
    </w:rPr>
  </w:style>
  <w:style w:type="character" w:customStyle="1" w:styleId="Char4">
    <w:name w:val="标题 Char"/>
    <w:basedOn w:val="a0"/>
    <w:link w:val="ac"/>
    <w:uiPriority w:val="10"/>
    <w:rsid w:val="009B76A7"/>
    <w:rPr>
      <w:rFonts w:asciiTheme="majorHAnsi" w:eastAsia="方正大标宋简体" w:hAnsiTheme="majorHAnsi" w:cstheme="majorBidi"/>
      <w:b/>
      <w:bCs/>
      <w:sz w:val="42"/>
      <w:szCs w:val="32"/>
    </w:rPr>
  </w:style>
  <w:style w:type="paragraph" w:styleId="ad">
    <w:name w:val="Revision"/>
    <w:hidden/>
    <w:uiPriority w:val="99"/>
    <w:semiHidden/>
    <w:rsid w:val="003316E4"/>
    <w:rPr>
      <w:rFonts w:ascii="Times New Roman" w:eastAsia="仿宋" w:hAnsi="Times New Roman"/>
      <w:sz w:val="30"/>
    </w:rPr>
  </w:style>
  <w:style w:type="paragraph" w:styleId="ae">
    <w:name w:val="footnote text"/>
    <w:basedOn w:val="a"/>
    <w:link w:val="Char5"/>
    <w:uiPriority w:val="99"/>
    <w:semiHidden/>
    <w:unhideWhenUsed/>
    <w:rsid w:val="000D430B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e"/>
    <w:uiPriority w:val="99"/>
    <w:semiHidden/>
    <w:rsid w:val="000D430B"/>
    <w:rPr>
      <w:rFonts w:ascii="Times New Roman" w:eastAsia="仿宋" w:hAnsi="Times New Roman"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0D430B"/>
    <w:rPr>
      <w:vertAlign w:val="superscript"/>
    </w:rPr>
  </w:style>
  <w:style w:type="table" w:customStyle="1" w:styleId="20">
    <w:name w:val="网格型2"/>
    <w:basedOn w:val="a1"/>
    <w:next w:val="a5"/>
    <w:uiPriority w:val="39"/>
    <w:rsid w:val="001E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0FF77-10DB-4DCE-8554-2E7D2E5A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杨微波ywb</cp:lastModifiedBy>
  <cp:revision>19</cp:revision>
  <cp:lastPrinted>2018-10-25T10:42:00Z</cp:lastPrinted>
  <dcterms:created xsi:type="dcterms:W3CDTF">2018-10-25T12:31:00Z</dcterms:created>
  <dcterms:modified xsi:type="dcterms:W3CDTF">2019-10-18T11:40:00Z</dcterms:modified>
</cp:coreProperties>
</file>