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B6" w:rsidRDefault="00D42FB6">
      <w:pPr>
        <w:jc w:val="center"/>
        <w:rPr>
          <w:rFonts w:ascii="方正大标宋简体" w:eastAsia="方正大标宋简体" w:hAnsi="黑体"/>
          <w:sz w:val="42"/>
          <w:szCs w:val="42"/>
        </w:rPr>
      </w:pPr>
    </w:p>
    <w:p w:rsidR="00D42FB6" w:rsidRDefault="00892AB2">
      <w:pPr>
        <w:jc w:val="center"/>
        <w:rPr>
          <w:rFonts w:ascii="方正大标宋简体" w:eastAsia="方正大标宋简体" w:hAnsi="宋体"/>
          <w:sz w:val="42"/>
          <w:szCs w:val="42"/>
        </w:rPr>
      </w:pPr>
      <w:r>
        <w:rPr>
          <w:rFonts w:ascii="方正大标宋简体" w:eastAsia="方正大标宋简体" w:hAnsi="宋体" w:hint="eastAsia"/>
          <w:sz w:val="42"/>
          <w:szCs w:val="42"/>
        </w:rPr>
        <w:t>全国</w:t>
      </w:r>
      <w:r>
        <w:rPr>
          <w:rFonts w:ascii="方正大标宋简体" w:eastAsia="方正大标宋简体" w:hAnsi="宋体"/>
          <w:sz w:val="42"/>
          <w:szCs w:val="42"/>
        </w:rPr>
        <w:t>中小企业股份转让系统</w:t>
      </w:r>
    </w:p>
    <w:p w:rsidR="00D42FB6" w:rsidRDefault="00892AB2">
      <w:pPr>
        <w:jc w:val="center"/>
        <w:rPr>
          <w:rFonts w:ascii="方正大标宋简体" w:eastAsia="方正大标宋简体" w:hAnsi="黑体"/>
          <w:sz w:val="42"/>
          <w:szCs w:val="42"/>
        </w:rPr>
      </w:pPr>
      <w:r>
        <w:rPr>
          <w:rFonts w:ascii="方正大标宋简体" w:eastAsia="方正大标宋简体" w:hAnsi="宋体" w:hint="eastAsia"/>
          <w:sz w:val="42"/>
          <w:szCs w:val="42"/>
        </w:rPr>
        <w:t>投资者适当性管理证券账户</w:t>
      </w:r>
      <w:r>
        <w:rPr>
          <w:rFonts w:ascii="方正大标宋简体" w:eastAsia="方正大标宋简体" w:hAnsi="黑体"/>
          <w:sz w:val="42"/>
          <w:szCs w:val="42"/>
        </w:rPr>
        <w:t>信息</w:t>
      </w:r>
      <w:r>
        <w:rPr>
          <w:rFonts w:ascii="方正大标宋简体" w:eastAsia="方正大标宋简体" w:hAnsi="黑体" w:hint="eastAsia"/>
          <w:sz w:val="42"/>
          <w:szCs w:val="42"/>
        </w:rPr>
        <w:t>报送</w:t>
      </w:r>
    </w:p>
    <w:p w:rsidR="00D42FB6" w:rsidRDefault="00892AB2">
      <w:pPr>
        <w:jc w:val="center"/>
        <w:rPr>
          <w:rFonts w:ascii="方正大标宋简体" w:eastAsia="方正大标宋简体" w:hAnsi="黑体"/>
          <w:sz w:val="42"/>
          <w:szCs w:val="42"/>
        </w:rPr>
      </w:pPr>
      <w:r>
        <w:rPr>
          <w:rFonts w:ascii="方正大标宋简体" w:eastAsia="方正大标宋简体" w:hAnsi="黑体" w:hint="eastAsia"/>
          <w:sz w:val="42"/>
          <w:szCs w:val="42"/>
        </w:rPr>
        <w:t xml:space="preserve">业 </w:t>
      </w:r>
      <w:proofErr w:type="gramStart"/>
      <w:r>
        <w:rPr>
          <w:rFonts w:ascii="方正大标宋简体" w:eastAsia="方正大标宋简体" w:hAnsi="黑体"/>
          <w:sz w:val="42"/>
          <w:szCs w:val="42"/>
        </w:rPr>
        <w:t>务</w:t>
      </w:r>
      <w:proofErr w:type="gramEnd"/>
      <w:r>
        <w:rPr>
          <w:rFonts w:ascii="方正大标宋简体" w:eastAsia="方正大标宋简体" w:hAnsi="黑体" w:hint="eastAsia"/>
          <w:sz w:val="42"/>
          <w:szCs w:val="42"/>
        </w:rPr>
        <w:t xml:space="preserve"> 指 南</w:t>
      </w:r>
    </w:p>
    <w:p w:rsidR="00D42FB6" w:rsidRDefault="00D42FB6">
      <w:pPr>
        <w:jc w:val="center"/>
        <w:rPr>
          <w:rFonts w:ascii="方正仿宋简体" w:eastAsia="方正仿宋简体" w:hAnsi="黑体"/>
          <w:sz w:val="30"/>
          <w:szCs w:val="30"/>
        </w:rPr>
      </w:pPr>
    </w:p>
    <w:p w:rsidR="00D42FB6" w:rsidRPr="00DF5FD3" w:rsidRDefault="00892AB2" w:rsidP="00DF5FD3">
      <w:pPr>
        <w:spacing w:line="560" w:lineRule="exact"/>
        <w:ind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为加强主办券商投资者适当性管理，规范投资者适当性管理证券账户信息报送标准及流程，根据《全国中小企业股份转让系统投资者适当性管理细则（试行）》、《全国中小企业股份转让系统交易支持平台数据接口规范》等有关规定，制定本指南。</w:t>
      </w:r>
    </w:p>
    <w:p w:rsidR="00D42FB6" w:rsidRPr="00DF5FD3" w:rsidRDefault="00892AB2" w:rsidP="00DF5FD3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bCs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一、</w:t>
      </w:r>
      <w:r w:rsidR="00725D8F" w:rsidRPr="00DF5FD3">
        <w:rPr>
          <w:rFonts w:ascii="Times New Roman" w:eastAsia="方正仿宋简体" w:hAnsi="Times New Roman" w:cs="Times New Roman"/>
          <w:b/>
          <w:sz w:val="30"/>
          <w:szCs w:val="30"/>
        </w:rPr>
        <w:t>投资者适当性管理</w:t>
      </w: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证券账户信息</w:t>
      </w:r>
      <w:r w:rsidRPr="00DF5FD3">
        <w:rPr>
          <w:rFonts w:ascii="Times New Roman" w:eastAsia="方正仿宋简体" w:hAnsi="Times New Roman" w:cs="Times New Roman"/>
          <w:b/>
          <w:bCs/>
          <w:sz w:val="30"/>
          <w:szCs w:val="30"/>
        </w:rPr>
        <w:t>报送内容、格式、时限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主办券商应于每个</w:t>
      </w:r>
      <w:proofErr w:type="gramStart"/>
      <w:r w:rsidRPr="00DF5FD3">
        <w:rPr>
          <w:rFonts w:ascii="Times New Roman" w:eastAsia="方正仿宋简体" w:hAnsi="Times New Roman" w:cs="Times New Roman"/>
          <w:sz w:val="30"/>
          <w:szCs w:val="30"/>
        </w:rPr>
        <w:t>转让日</w:t>
      </w:r>
      <w:proofErr w:type="gramEnd"/>
      <w:r w:rsidRPr="00DF5FD3">
        <w:rPr>
          <w:rFonts w:ascii="Times New Roman" w:eastAsia="方正仿宋简体" w:hAnsi="Times New Roman" w:cs="Times New Roman"/>
          <w:sz w:val="30"/>
          <w:szCs w:val="30"/>
        </w:rPr>
        <w:t>15:00-15:30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期间，按照《全国中小企业股份转让系统交易支持平台数据接口规范》第七章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“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投资者适当性管理信息库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”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有关要求，通过</w:t>
      </w:r>
      <w:r w:rsidRPr="00DF5FD3">
        <w:rPr>
          <w:rFonts w:ascii="Times New Roman" w:eastAsia="方正仿宋简体" w:hAnsi="Times New Roman" w:cs="Times New Roman"/>
          <w:kern w:val="0"/>
          <w:sz w:val="30"/>
          <w:szCs w:val="30"/>
        </w:rPr>
        <w:t>深圳证券通信有限公司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金融数据交换平台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(</w:t>
      </w:r>
      <w:r w:rsidR="00DF01C2" w:rsidRPr="00DF5FD3">
        <w:rPr>
          <w:rFonts w:ascii="Times New Roman" w:eastAsia="方正仿宋简体" w:hAnsi="Times New Roman" w:cs="Times New Roman"/>
          <w:sz w:val="30"/>
          <w:szCs w:val="30"/>
        </w:rPr>
        <w:t>以下简称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FDEP)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，向全国中小企业股份转让系统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有限责任公司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（以下简称全国股份转让系统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）报送当日新增合格投资者证券账户信息。包括如下内容：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1.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合格投资者业务开通流水号。为该主办券商内部当日唯一流水序号。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2.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证券账户。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3.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账户名称。对于合格个人投资者，填写姓名；对于合格机构投资者，填写机构全称。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4.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签署日期。为合格投资者签署适当性协议的日期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,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格式为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CCYYMMDD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5.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申请日期。为主办券商上报该投资者为合格投资者的日期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,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lastRenderedPageBreak/>
        <w:t>格式为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CCYYMMDD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6.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类别标识。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“1”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为买卖挂牌公司股票合格投资者新增。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7.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营业部编码。证券营业部识别码，为主办券商内部唯一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2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位编码。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8.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备用标识。为空。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主办</w:t>
      </w:r>
      <w:proofErr w:type="gramStart"/>
      <w:r w:rsidRPr="00DF5FD3">
        <w:rPr>
          <w:rFonts w:ascii="Times New Roman" w:eastAsia="方正仿宋简体" w:hAnsi="Times New Roman" w:cs="Times New Roman"/>
          <w:sz w:val="30"/>
          <w:szCs w:val="30"/>
        </w:rPr>
        <w:t>券商未</w:t>
      </w:r>
      <w:proofErr w:type="gramEnd"/>
      <w:r w:rsidRPr="00DF5FD3">
        <w:rPr>
          <w:rFonts w:ascii="Times New Roman" w:eastAsia="方正仿宋简体" w:hAnsi="Times New Roman" w:cs="Times New Roman"/>
          <w:sz w:val="30"/>
          <w:szCs w:val="30"/>
        </w:rPr>
        <w:t>按时申报的，全国股份转让系统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按其当日无新增合格投资者进行处理；当日多次报送的，全国股份转让系统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以其最后一次报送的证券账户信息为准；若同一报送文件中存在同一证券账户重复报送的情形，则以流水号最小的证券账户信息为准。当日无新增合格投资者的，应报送空表。</w:t>
      </w:r>
    </w:p>
    <w:p w:rsidR="00D42FB6" w:rsidRPr="00DF5FD3" w:rsidRDefault="00892AB2" w:rsidP="00DF5FD3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二、</w:t>
      </w:r>
      <w:r w:rsidR="00725D8F" w:rsidRPr="00DF5FD3">
        <w:rPr>
          <w:rFonts w:ascii="Times New Roman" w:eastAsia="方正仿宋简体" w:hAnsi="Times New Roman" w:cs="Times New Roman"/>
          <w:b/>
          <w:sz w:val="30"/>
          <w:szCs w:val="30"/>
        </w:rPr>
        <w:t>投资者适当性管理</w:t>
      </w: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证券账户信息的处理流程</w:t>
      </w:r>
    </w:p>
    <w:p w:rsidR="00D42FB6" w:rsidRPr="00DF5FD3" w:rsidRDefault="00892AB2" w:rsidP="00DF5FD3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1.</w:t>
      </w: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证券账户信息接收。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每个转让日</w:t>
      </w:r>
      <w:r w:rsidR="009A5C12" w:rsidRPr="00DF5FD3">
        <w:rPr>
          <w:rFonts w:ascii="Times New Roman" w:eastAsia="方正仿宋简体" w:hAnsi="Times New Roman" w:cs="Times New Roman"/>
          <w:sz w:val="30"/>
          <w:szCs w:val="30"/>
        </w:rPr>
        <w:t>收市后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，全国股份转让系统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公司接收</w:t>
      </w:r>
      <w:r w:rsidR="00DF01C2" w:rsidRPr="00DF5FD3">
        <w:rPr>
          <w:rFonts w:ascii="Times New Roman" w:eastAsia="方正仿宋简体" w:hAnsi="Times New Roman" w:cs="Times New Roman"/>
          <w:kern w:val="0"/>
          <w:sz w:val="30"/>
          <w:szCs w:val="30"/>
        </w:rPr>
        <w:t>中国证券登记结算有限责任公司北京分公司（以下简称</w:t>
      </w:r>
      <w:r w:rsidR="00DF01C2" w:rsidRPr="00DF5FD3">
        <w:rPr>
          <w:rFonts w:ascii="Times New Roman" w:eastAsia="方正仿宋简体" w:hAnsi="Times New Roman" w:cs="Times New Roman"/>
          <w:sz w:val="30"/>
          <w:szCs w:val="30"/>
        </w:rPr>
        <w:t>中国结算北京分公司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）发送的</w:t>
      </w:r>
      <w:r w:rsidR="00725D8F" w:rsidRPr="00DF5FD3">
        <w:rPr>
          <w:rFonts w:ascii="Times New Roman" w:eastAsia="方正仿宋简体" w:hAnsi="Times New Roman" w:cs="Times New Roman"/>
          <w:sz w:val="30"/>
          <w:szCs w:val="30"/>
        </w:rPr>
        <w:t>增量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证券账户信息。</w:t>
      </w:r>
    </w:p>
    <w:p w:rsidR="00D42FB6" w:rsidRPr="00DF5FD3" w:rsidRDefault="00892AB2" w:rsidP="00DF5FD3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2.</w:t>
      </w:r>
      <w:r w:rsidR="00725D8F" w:rsidRPr="00DF5FD3">
        <w:rPr>
          <w:rFonts w:ascii="Times New Roman" w:eastAsia="方正仿宋简体" w:hAnsi="Times New Roman" w:cs="Times New Roman"/>
          <w:b/>
          <w:sz w:val="30"/>
          <w:szCs w:val="30"/>
        </w:rPr>
        <w:t>投资者适当性管理</w:t>
      </w: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证券账户信息生成。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每个</w:t>
      </w:r>
      <w:proofErr w:type="gramStart"/>
      <w:r w:rsidRPr="00DF5FD3">
        <w:rPr>
          <w:rFonts w:ascii="Times New Roman" w:eastAsia="方正仿宋简体" w:hAnsi="Times New Roman" w:cs="Times New Roman"/>
          <w:sz w:val="30"/>
          <w:szCs w:val="30"/>
        </w:rPr>
        <w:t>转让日</w:t>
      </w:r>
      <w:proofErr w:type="gramEnd"/>
      <w:r w:rsidRPr="00DF5FD3">
        <w:rPr>
          <w:rFonts w:ascii="Times New Roman" w:eastAsia="方正仿宋简体" w:hAnsi="Times New Roman" w:cs="Times New Roman"/>
          <w:sz w:val="30"/>
          <w:szCs w:val="30"/>
        </w:rPr>
        <w:t>19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：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30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后，全国股份转让系统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对各主办券商上报的</w:t>
      </w:r>
      <w:r w:rsidR="00725D8F" w:rsidRPr="00DF5FD3">
        <w:rPr>
          <w:rFonts w:ascii="Times New Roman" w:eastAsia="方正仿宋简体" w:hAnsi="Times New Roman" w:cs="Times New Roman"/>
          <w:sz w:val="30"/>
          <w:szCs w:val="30"/>
        </w:rPr>
        <w:t>投资者适当性管理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证券账户信息进行汇总，生成《当日新增合格投资者汇总信息库》，主要包括当日新增的全部合格投资者证券账户、适当性协议签署日期及申请开通的交易类别标识等信息。</w:t>
      </w:r>
      <w:r w:rsidR="004505AB" w:rsidRPr="00DF5FD3">
        <w:rPr>
          <w:rFonts w:ascii="Times New Roman" w:eastAsia="方正仿宋简体" w:hAnsi="Times New Roman" w:cs="Times New Roman"/>
          <w:sz w:val="30"/>
          <w:szCs w:val="30"/>
        </w:rPr>
        <w:t>随后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，</w:t>
      </w:r>
      <w:r w:rsidR="004505AB" w:rsidRPr="00DF5FD3">
        <w:rPr>
          <w:rFonts w:ascii="Times New Roman" w:eastAsia="方正仿宋简体" w:hAnsi="Times New Roman" w:cs="Times New Roman"/>
          <w:sz w:val="30"/>
          <w:szCs w:val="30"/>
        </w:rPr>
        <w:t>全国股份转让系统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="00592711" w:rsidRPr="00DF5FD3">
        <w:rPr>
          <w:rFonts w:ascii="Times New Roman" w:eastAsia="方正仿宋简体" w:hAnsi="Times New Roman" w:cs="Times New Roman"/>
          <w:sz w:val="30"/>
          <w:szCs w:val="30"/>
        </w:rPr>
        <w:t>将</w:t>
      </w:r>
      <w:r w:rsidR="004505AB" w:rsidRPr="00DF5FD3">
        <w:rPr>
          <w:rFonts w:ascii="Times New Roman" w:eastAsia="方正仿宋简体" w:hAnsi="Times New Roman" w:cs="Times New Roman"/>
          <w:sz w:val="30"/>
          <w:szCs w:val="30"/>
        </w:rPr>
        <w:t>主办券商报送的合格</w:t>
      </w:r>
      <w:r w:rsidR="00592711" w:rsidRPr="00DF5FD3">
        <w:rPr>
          <w:rFonts w:ascii="Times New Roman" w:eastAsia="方正仿宋简体" w:hAnsi="Times New Roman" w:cs="Times New Roman"/>
          <w:sz w:val="30"/>
          <w:szCs w:val="30"/>
        </w:rPr>
        <w:t>投资者证券账户信息与</w:t>
      </w:r>
      <w:r w:rsidR="004505AB" w:rsidRPr="00DF5FD3">
        <w:rPr>
          <w:rFonts w:ascii="Times New Roman" w:eastAsia="方正仿宋简体" w:hAnsi="Times New Roman" w:cs="Times New Roman"/>
          <w:sz w:val="30"/>
          <w:szCs w:val="30"/>
        </w:rPr>
        <w:t>中国结算北京分公司发送的曾持股证券账户信息（不包括违规买入证券的证券账户信息）</w:t>
      </w:r>
      <w:r w:rsidR="00592711" w:rsidRPr="00DF5FD3">
        <w:rPr>
          <w:rFonts w:ascii="Times New Roman" w:eastAsia="方正仿宋简体" w:hAnsi="Times New Roman" w:cs="Times New Roman"/>
          <w:sz w:val="30"/>
          <w:szCs w:val="30"/>
        </w:rPr>
        <w:t>进行比对处理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，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生成《受限投资者可交易证券信息库》，主要包括全部受限投资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lastRenderedPageBreak/>
        <w:t>者证券账户及可交易证券等信息。</w:t>
      </w:r>
      <w:bookmarkStart w:id="0" w:name="_GoBack"/>
      <w:bookmarkEnd w:id="0"/>
    </w:p>
    <w:p w:rsidR="00D42FB6" w:rsidRPr="00DF5FD3" w:rsidRDefault="00892AB2" w:rsidP="00DF5FD3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bCs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3</w:t>
      </w:r>
      <w:r w:rsidR="00B216C3">
        <w:rPr>
          <w:rFonts w:ascii="Times New Roman" w:eastAsia="方正仿宋简体" w:hAnsi="Times New Roman" w:cs="Times New Roman" w:hint="eastAsia"/>
          <w:b/>
          <w:sz w:val="30"/>
          <w:szCs w:val="30"/>
        </w:rPr>
        <w:t>.</w:t>
      </w: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证券账户信息</w:t>
      </w:r>
      <w:r w:rsidRPr="00DF5FD3">
        <w:rPr>
          <w:rFonts w:ascii="Times New Roman" w:eastAsia="方正仿宋简体" w:hAnsi="Times New Roman" w:cs="Times New Roman"/>
          <w:b/>
          <w:bCs/>
          <w:sz w:val="30"/>
          <w:szCs w:val="30"/>
        </w:rPr>
        <w:t>下发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每个</w:t>
      </w:r>
      <w:proofErr w:type="gramStart"/>
      <w:r w:rsidRPr="00DF5FD3">
        <w:rPr>
          <w:rFonts w:ascii="Times New Roman" w:eastAsia="方正仿宋简体" w:hAnsi="Times New Roman" w:cs="Times New Roman"/>
          <w:sz w:val="30"/>
          <w:szCs w:val="30"/>
        </w:rPr>
        <w:t>转让日</w:t>
      </w:r>
      <w:proofErr w:type="gramEnd"/>
      <w:r w:rsidRPr="00DF5FD3">
        <w:rPr>
          <w:rFonts w:ascii="Times New Roman" w:eastAsia="方正仿宋简体" w:hAnsi="Times New Roman" w:cs="Times New Roman"/>
          <w:sz w:val="30"/>
          <w:szCs w:val="30"/>
        </w:rPr>
        <w:t>20:00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后，全国股份转让系统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通过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FDEP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向各主办券商下发《当日新增合格投资者汇总信息库》以及《受限投资者可交易证券信息库》。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每月第一个</w:t>
      </w:r>
      <w:proofErr w:type="gramStart"/>
      <w:r w:rsidRPr="00DF5FD3">
        <w:rPr>
          <w:rFonts w:ascii="Times New Roman" w:eastAsia="方正仿宋简体" w:hAnsi="Times New Roman" w:cs="Times New Roman"/>
          <w:sz w:val="30"/>
          <w:szCs w:val="30"/>
        </w:rPr>
        <w:t>转让日</w:t>
      </w:r>
      <w:proofErr w:type="gramEnd"/>
      <w:r w:rsidRPr="00DF5FD3">
        <w:rPr>
          <w:rFonts w:ascii="Times New Roman" w:eastAsia="方正仿宋简体" w:hAnsi="Times New Roman" w:cs="Times New Roman"/>
          <w:sz w:val="30"/>
          <w:szCs w:val="30"/>
        </w:rPr>
        <w:t>20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：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00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后，全国股份转让系统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将向各主办券商下发截至当日的全部合格投资者证券账户信息。</w:t>
      </w:r>
    </w:p>
    <w:p w:rsidR="00D42FB6" w:rsidRPr="00DF5FD3" w:rsidRDefault="00A20267" w:rsidP="00DF5FD3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三</w:t>
      </w:r>
      <w:r w:rsidR="00892AB2" w:rsidRPr="00DF5FD3">
        <w:rPr>
          <w:rFonts w:ascii="Times New Roman" w:eastAsia="方正仿宋简体" w:hAnsi="Times New Roman" w:cs="Times New Roman"/>
          <w:b/>
          <w:sz w:val="30"/>
          <w:szCs w:val="30"/>
        </w:rPr>
        <w:t>、报送错误信息的反馈与处理</w:t>
      </w:r>
    </w:p>
    <w:p w:rsidR="00041C43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color w:val="000000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次一</w:t>
      </w:r>
      <w:proofErr w:type="gramStart"/>
      <w:r w:rsidRPr="00DF5FD3">
        <w:rPr>
          <w:rFonts w:ascii="Times New Roman" w:eastAsia="方正仿宋简体" w:hAnsi="Times New Roman" w:cs="Times New Roman"/>
          <w:sz w:val="30"/>
          <w:szCs w:val="30"/>
        </w:rPr>
        <w:t>转让日</w:t>
      </w:r>
      <w:proofErr w:type="gramEnd"/>
      <w:r w:rsidRPr="00DF5FD3">
        <w:rPr>
          <w:rFonts w:ascii="Times New Roman" w:eastAsia="方正仿宋简体" w:hAnsi="Times New Roman" w:cs="Times New Roman"/>
          <w:sz w:val="30"/>
          <w:szCs w:val="30"/>
        </w:rPr>
        <w:t>9:00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前，</w:t>
      </w:r>
      <w:r w:rsidR="00C453BE" w:rsidRPr="00DF5FD3">
        <w:rPr>
          <w:rFonts w:ascii="Times New Roman" w:eastAsia="方正仿宋简体" w:hAnsi="Times New Roman" w:cs="Times New Roman"/>
          <w:sz w:val="30"/>
          <w:szCs w:val="30"/>
        </w:rPr>
        <w:t>全国股份转让系统公司</w:t>
      </w:r>
      <w:r w:rsidR="00592711" w:rsidRPr="00DF5FD3">
        <w:rPr>
          <w:rFonts w:ascii="Times New Roman" w:eastAsia="方正仿宋简体" w:hAnsi="Times New Roman" w:cs="Times New Roman"/>
          <w:sz w:val="30"/>
          <w:szCs w:val="30"/>
        </w:rPr>
        <w:t>将前一日数据处理过程中发现的错误证券账户信息</w:t>
      </w:r>
      <w:proofErr w:type="gramStart"/>
      <w:r w:rsidR="00592711" w:rsidRPr="00DF5FD3">
        <w:rPr>
          <w:rFonts w:ascii="Times New Roman" w:eastAsia="方正仿宋简体" w:hAnsi="Times New Roman" w:cs="Times New Roman"/>
          <w:sz w:val="30"/>
          <w:szCs w:val="30"/>
        </w:rPr>
        <w:t>按主办</w:t>
      </w:r>
      <w:proofErr w:type="gramEnd"/>
      <w:r w:rsidR="00592711" w:rsidRPr="00DF5FD3">
        <w:rPr>
          <w:rFonts w:ascii="Times New Roman" w:eastAsia="方正仿宋简体" w:hAnsi="Times New Roman" w:cs="Times New Roman"/>
          <w:sz w:val="30"/>
          <w:szCs w:val="30"/>
        </w:rPr>
        <w:t>券商进行分类，并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通过指定电子邮箱向相关主办券商发送。</w:t>
      </w:r>
      <w:r w:rsidR="00041C43" w:rsidRPr="00DF5FD3">
        <w:rPr>
          <w:rFonts w:ascii="Times New Roman" w:eastAsia="方正仿宋简体" w:hAnsi="Times New Roman" w:cs="Times New Roman"/>
          <w:color w:val="000000"/>
          <w:sz w:val="30"/>
          <w:szCs w:val="30"/>
        </w:rPr>
        <w:t>错误证券账户信息包括：</w:t>
      </w:r>
    </w:p>
    <w:p w:rsidR="00041C43" w:rsidRPr="00DF5FD3" w:rsidRDefault="00041C43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color w:val="000000"/>
          <w:sz w:val="30"/>
          <w:szCs w:val="30"/>
        </w:rPr>
        <w:t>1.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合格投资者业务开通流水号。</w:t>
      </w:r>
    </w:p>
    <w:p w:rsidR="00041C43" w:rsidRPr="00DF5FD3" w:rsidRDefault="00041C43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2.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错误原因。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color w:val="000000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主办券商应更正后随当日新增合格投资者证券账户信息于当日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15:00-15:30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进行</w:t>
      </w:r>
      <w:r w:rsidRPr="00DF5FD3">
        <w:rPr>
          <w:rFonts w:ascii="Times New Roman" w:eastAsia="方正仿宋简体" w:hAnsi="Times New Roman" w:cs="Times New Roman"/>
          <w:color w:val="000000"/>
          <w:sz w:val="30"/>
          <w:szCs w:val="30"/>
        </w:rPr>
        <w:t>补报。</w:t>
      </w:r>
    </w:p>
    <w:p w:rsidR="00D42FB6" w:rsidRPr="00DF5FD3" w:rsidRDefault="00A20267" w:rsidP="00DF5FD3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四</w:t>
      </w:r>
      <w:r w:rsidR="00892AB2" w:rsidRPr="00DF5FD3">
        <w:rPr>
          <w:rFonts w:ascii="Times New Roman" w:eastAsia="方正仿宋简体" w:hAnsi="Times New Roman" w:cs="Times New Roman"/>
          <w:b/>
          <w:sz w:val="30"/>
          <w:szCs w:val="30"/>
        </w:rPr>
        <w:t>、主办券商证券账户信息联系人</w:t>
      </w:r>
    </w:p>
    <w:p w:rsidR="00D42FB6" w:rsidRPr="00DF5FD3" w:rsidRDefault="00892AB2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sz w:val="30"/>
          <w:szCs w:val="30"/>
        </w:rPr>
        <w:t>主办券商应当指定专人负责证券账户信息的统计、报送、接收及维护工作，并按要求将相关工作人员的名单及联系方式报全国股份转让系统</w:t>
      </w:r>
      <w:r w:rsidR="004460F8" w:rsidRPr="00DF5FD3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Pr="00DF5FD3">
        <w:rPr>
          <w:rFonts w:ascii="Times New Roman" w:eastAsia="方正仿宋简体" w:hAnsi="Times New Roman" w:cs="Times New Roman"/>
          <w:sz w:val="30"/>
          <w:szCs w:val="30"/>
        </w:rPr>
        <w:t>。</w:t>
      </w:r>
    </w:p>
    <w:p w:rsidR="00183E88" w:rsidRPr="00DF5FD3" w:rsidRDefault="00183E88" w:rsidP="00DF5FD3">
      <w:pPr>
        <w:spacing w:line="560" w:lineRule="exact"/>
        <w:ind w:firstLineChars="200" w:firstLine="602"/>
        <w:rPr>
          <w:rFonts w:ascii="Times New Roman" w:eastAsia="方正仿宋简体" w:hAnsi="Times New Roman" w:cs="Times New Roman"/>
          <w:sz w:val="30"/>
          <w:szCs w:val="30"/>
        </w:rPr>
      </w:pPr>
      <w:r w:rsidRPr="00DF5FD3">
        <w:rPr>
          <w:rFonts w:ascii="Times New Roman" w:eastAsia="方正仿宋简体" w:hAnsi="Times New Roman" w:cs="Times New Roman"/>
          <w:b/>
          <w:sz w:val="30"/>
          <w:szCs w:val="30"/>
        </w:rPr>
        <w:t>五、本指南自全国股份转让系统交易支持平台上线之日起实施。</w:t>
      </w:r>
    </w:p>
    <w:p w:rsidR="00D42FB6" w:rsidRPr="00DF5FD3" w:rsidRDefault="00D42FB6" w:rsidP="00DF5FD3">
      <w:pPr>
        <w:spacing w:line="560" w:lineRule="exact"/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</w:p>
    <w:sectPr w:rsidR="00D42FB6" w:rsidRPr="00DF5FD3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E18" w:rsidRDefault="00C30E18">
      <w:r>
        <w:separator/>
      </w:r>
    </w:p>
  </w:endnote>
  <w:endnote w:type="continuationSeparator" w:id="0">
    <w:p w:rsidR="00C30E18" w:rsidRDefault="00C3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FB6" w:rsidRDefault="00892AB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216C3" w:rsidRPr="00B216C3">
      <w:rPr>
        <w:noProof/>
        <w:lang w:val="zh-CN"/>
      </w:rPr>
      <w:t>3</w:t>
    </w:r>
    <w:r>
      <w:fldChar w:fldCharType="end"/>
    </w:r>
  </w:p>
  <w:p w:rsidR="00D42FB6" w:rsidRDefault="00D42FB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E18" w:rsidRDefault="00C30E18">
      <w:r>
        <w:separator/>
      </w:r>
    </w:p>
  </w:footnote>
  <w:footnote w:type="continuationSeparator" w:id="0">
    <w:p w:rsidR="00C30E18" w:rsidRDefault="00C30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B6"/>
    <w:rsid w:val="00041C43"/>
    <w:rsid w:val="00183E88"/>
    <w:rsid w:val="00337436"/>
    <w:rsid w:val="004460F8"/>
    <w:rsid w:val="004505AB"/>
    <w:rsid w:val="00592711"/>
    <w:rsid w:val="00685C5B"/>
    <w:rsid w:val="00725D8F"/>
    <w:rsid w:val="007574DE"/>
    <w:rsid w:val="007F2DF7"/>
    <w:rsid w:val="00892AB2"/>
    <w:rsid w:val="009A5C12"/>
    <w:rsid w:val="00A01DEC"/>
    <w:rsid w:val="00A20267"/>
    <w:rsid w:val="00B216C3"/>
    <w:rsid w:val="00C23FAE"/>
    <w:rsid w:val="00C30E18"/>
    <w:rsid w:val="00C453BE"/>
    <w:rsid w:val="00C502C4"/>
    <w:rsid w:val="00D42FB6"/>
    <w:rsid w:val="00D55D0C"/>
    <w:rsid w:val="00DA3861"/>
    <w:rsid w:val="00DF01C2"/>
    <w:rsid w:val="00DF5FD3"/>
    <w:rsid w:val="00E53A5C"/>
    <w:rsid w:val="00F3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01C7CF3-947C-4301-AD7E-3F3E3741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uiPriority w:val="99"/>
    <w:semiHidden/>
    <w:unhideWhenUsed/>
    <w:rPr>
      <w:sz w:val="21"/>
      <w:szCs w:val="21"/>
    </w:r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全国中小企业股份转让系统</dc:title>
  <dc:creator>蒋天刚jtg</dc:creator>
  <cp:lastModifiedBy>王超云wcy</cp:lastModifiedBy>
  <cp:revision>5</cp:revision>
  <cp:lastPrinted>2014-02-15T06:42:00Z</cp:lastPrinted>
  <dcterms:created xsi:type="dcterms:W3CDTF">2014-04-26T09:55:00Z</dcterms:created>
  <dcterms:modified xsi:type="dcterms:W3CDTF">2014-04-29T09:20:00Z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