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0C8" w:rsidRDefault="00D440C8" w:rsidP="00D440C8">
      <w:pPr>
        <w:jc w:val="left"/>
        <w:rPr>
          <w:rFonts w:eastAsia="黑体"/>
          <w:sz w:val="32"/>
          <w:szCs w:val="32"/>
        </w:rPr>
      </w:pPr>
      <w:r>
        <w:rPr>
          <w:rFonts w:eastAsia="黑体" w:hint="eastAsia"/>
          <w:sz w:val="32"/>
          <w:szCs w:val="32"/>
        </w:rPr>
        <w:t>附件</w:t>
      </w:r>
      <w:bookmarkStart w:id="0" w:name="_GoBack"/>
      <w:bookmarkEnd w:id="0"/>
    </w:p>
    <w:p w:rsidR="00D440C8" w:rsidRDefault="00D440C8" w:rsidP="00D440C8">
      <w:pPr>
        <w:spacing w:line="560" w:lineRule="exact"/>
        <w:jc w:val="center"/>
        <w:rPr>
          <w:rFonts w:eastAsia="方正大标宋简体" w:cs="方正大标宋简体"/>
          <w:bCs/>
          <w:sz w:val="36"/>
          <w:szCs w:val="36"/>
        </w:rPr>
      </w:pPr>
    </w:p>
    <w:p w:rsidR="00D440C8" w:rsidRDefault="00D440C8" w:rsidP="00D440C8">
      <w:pPr>
        <w:spacing w:line="600" w:lineRule="exact"/>
        <w:jc w:val="center"/>
        <w:rPr>
          <w:rFonts w:eastAsia="方正大标宋简体"/>
          <w:color w:val="000000"/>
          <w:kern w:val="0"/>
          <w:sz w:val="44"/>
          <w:szCs w:val="42"/>
        </w:rPr>
      </w:pPr>
      <w:r>
        <w:rPr>
          <w:rFonts w:eastAsia="方正大标宋简体" w:hint="eastAsia"/>
          <w:color w:val="000000"/>
          <w:kern w:val="0"/>
          <w:sz w:val="44"/>
          <w:szCs w:val="42"/>
        </w:rPr>
        <w:t>全国中小企业股份转让系统</w:t>
      </w:r>
    </w:p>
    <w:p w:rsidR="00D440C8" w:rsidRDefault="00D440C8" w:rsidP="00D440C8">
      <w:pPr>
        <w:spacing w:line="600" w:lineRule="exact"/>
        <w:jc w:val="center"/>
        <w:rPr>
          <w:rFonts w:eastAsia="方正大标宋简体"/>
          <w:color w:val="000000"/>
          <w:kern w:val="0"/>
          <w:sz w:val="44"/>
          <w:szCs w:val="42"/>
        </w:rPr>
      </w:pPr>
      <w:r>
        <w:rPr>
          <w:rFonts w:eastAsia="方正大标宋简体" w:hint="eastAsia"/>
          <w:color w:val="000000"/>
          <w:kern w:val="0"/>
          <w:sz w:val="44"/>
          <w:szCs w:val="42"/>
        </w:rPr>
        <w:t>投资者适当性管理细则</w:t>
      </w:r>
    </w:p>
    <w:p w:rsidR="00D440C8" w:rsidRDefault="00D440C8" w:rsidP="00D440C8">
      <w:pPr>
        <w:spacing w:line="560" w:lineRule="exact"/>
        <w:jc w:val="center"/>
        <w:rPr>
          <w:rFonts w:eastAsia="仿宋"/>
        </w:rPr>
      </w:pPr>
      <w:r>
        <w:rPr>
          <w:rFonts w:eastAsia="仿宋" w:hint="eastAsia"/>
        </w:rPr>
        <w:t>（</w:t>
      </w:r>
      <w:r>
        <w:rPr>
          <w:rFonts w:eastAsia="仿宋"/>
        </w:rPr>
        <w:t>2013</w:t>
      </w:r>
      <w:r>
        <w:rPr>
          <w:rFonts w:eastAsia="仿宋" w:hint="eastAsia"/>
        </w:rPr>
        <w:t>年</w:t>
      </w:r>
      <w:r>
        <w:rPr>
          <w:rFonts w:eastAsia="仿宋"/>
        </w:rPr>
        <w:t>2</w:t>
      </w:r>
      <w:r>
        <w:rPr>
          <w:rFonts w:eastAsia="仿宋" w:hint="eastAsia"/>
        </w:rPr>
        <w:t>月</w:t>
      </w:r>
      <w:r>
        <w:rPr>
          <w:rFonts w:eastAsia="仿宋"/>
        </w:rPr>
        <w:t>8</w:t>
      </w:r>
      <w:r>
        <w:rPr>
          <w:rFonts w:eastAsia="仿宋" w:hint="eastAsia"/>
        </w:rPr>
        <w:t>日发布，</w:t>
      </w:r>
      <w:r>
        <w:rPr>
          <w:rFonts w:eastAsia="仿宋"/>
        </w:rPr>
        <w:t>2013</w:t>
      </w:r>
      <w:r>
        <w:rPr>
          <w:rFonts w:eastAsia="仿宋" w:hint="eastAsia"/>
        </w:rPr>
        <w:t>年</w:t>
      </w:r>
      <w:r>
        <w:rPr>
          <w:rFonts w:eastAsia="仿宋"/>
        </w:rPr>
        <w:t>12</w:t>
      </w:r>
      <w:r>
        <w:rPr>
          <w:rFonts w:eastAsia="仿宋" w:hint="eastAsia"/>
        </w:rPr>
        <w:t>月</w:t>
      </w:r>
      <w:r>
        <w:rPr>
          <w:rFonts w:eastAsia="仿宋"/>
        </w:rPr>
        <w:t>30</w:t>
      </w:r>
      <w:r>
        <w:rPr>
          <w:rFonts w:eastAsia="仿宋" w:hint="eastAsia"/>
        </w:rPr>
        <w:t>日第一次修订并施行，</w:t>
      </w:r>
      <w:r>
        <w:rPr>
          <w:rFonts w:eastAsia="仿宋"/>
        </w:rPr>
        <w:t>2017</w:t>
      </w:r>
      <w:r>
        <w:rPr>
          <w:rFonts w:eastAsia="仿宋" w:hint="eastAsia"/>
        </w:rPr>
        <w:t>年</w:t>
      </w:r>
      <w:r w:rsidR="006408E8">
        <w:rPr>
          <w:rFonts w:eastAsia="仿宋" w:hint="eastAsia"/>
        </w:rPr>
        <w:t>7</w:t>
      </w:r>
      <w:r>
        <w:rPr>
          <w:rFonts w:eastAsia="仿宋" w:hint="eastAsia"/>
        </w:rPr>
        <w:t>月</w:t>
      </w:r>
      <w:r w:rsidR="006408E8">
        <w:rPr>
          <w:rFonts w:eastAsia="仿宋" w:hint="eastAsia"/>
        </w:rPr>
        <w:t>1</w:t>
      </w:r>
      <w:r>
        <w:rPr>
          <w:rFonts w:eastAsia="仿宋" w:hint="eastAsia"/>
        </w:rPr>
        <w:t>日第二次修订并施行）</w:t>
      </w:r>
    </w:p>
    <w:p w:rsidR="00D440C8" w:rsidRDefault="00D440C8" w:rsidP="00D440C8">
      <w:pPr>
        <w:spacing w:line="560" w:lineRule="exact"/>
        <w:jc w:val="center"/>
        <w:rPr>
          <w:rFonts w:ascii="方正仿宋简体" w:cs="方正仿宋简体"/>
        </w:rPr>
      </w:pPr>
    </w:p>
    <w:p w:rsidR="00D440C8" w:rsidRDefault="00D440C8" w:rsidP="00D440C8">
      <w:pPr>
        <w:spacing w:line="600" w:lineRule="exact"/>
        <w:ind w:firstLineChars="200" w:firstLine="643"/>
        <w:rPr>
          <w:rFonts w:eastAsia="仿宋"/>
          <w:sz w:val="32"/>
        </w:rPr>
      </w:pPr>
      <w:r>
        <w:rPr>
          <w:rFonts w:eastAsia="仿宋" w:hint="eastAsia"/>
          <w:b/>
          <w:sz w:val="32"/>
        </w:rPr>
        <w:t>第一条</w:t>
      </w:r>
      <w:r>
        <w:rPr>
          <w:rFonts w:eastAsia="仿宋"/>
          <w:sz w:val="32"/>
        </w:rPr>
        <w:t xml:space="preserve"> </w:t>
      </w:r>
      <w:r>
        <w:rPr>
          <w:rFonts w:eastAsia="仿宋" w:hint="eastAsia"/>
          <w:sz w:val="32"/>
        </w:rPr>
        <w:t>为保障全国中小企业股份转让系统（以下简称全国股转系统）平稳有序发展，有效控制市场风险，保护投资者合法权益，根据《证券期货投资者适当性管理办法》（以下简称《办法》）、《全国中小企业股份转让系统业务规则（试行）》（以下简称《业务规则》）等规定，制定本细则。</w:t>
      </w:r>
    </w:p>
    <w:p w:rsidR="00D440C8" w:rsidRDefault="00D440C8" w:rsidP="00D440C8">
      <w:pPr>
        <w:spacing w:line="600" w:lineRule="exact"/>
        <w:ind w:firstLineChars="200" w:firstLine="643"/>
        <w:rPr>
          <w:rFonts w:eastAsia="仿宋"/>
          <w:sz w:val="32"/>
        </w:rPr>
      </w:pPr>
      <w:r>
        <w:rPr>
          <w:rFonts w:eastAsia="仿宋" w:hint="eastAsia"/>
          <w:b/>
          <w:sz w:val="32"/>
        </w:rPr>
        <w:t>第二条</w:t>
      </w:r>
      <w:r>
        <w:rPr>
          <w:rFonts w:eastAsia="仿宋"/>
          <w:sz w:val="32"/>
        </w:rPr>
        <w:t xml:space="preserve"> </w:t>
      </w:r>
      <w:r>
        <w:rPr>
          <w:rFonts w:eastAsia="仿宋" w:hint="eastAsia"/>
          <w:sz w:val="32"/>
        </w:rPr>
        <w:t>投资者参与挂牌公司股票公开转让等相关业务，应当熟悉全国股转系统相关规定，了解挂牌公司股票风险特征，结合自身风险偏好确定投资目标，客观评估自身的心理和生理承受能力、风险识别能力及风险控制能力，审慎决定是否参与挂牌公司股票公开转让等业务。</w:t>
      </w:r>
    </w:p>
    <w:p w:rsidR="00D440C8" w:rsidRDefault="00D440C8" w:rsidP="00D440C8">
      <w:pPr>
        <w:spacing w:line="600" w:lineRule="exact"/>
        <w:ind w:firstLineChars="200" w:firstLine="643"/>
        <w:rPr>
          <w:rFonts w:eastAsia="仿宋"/>
          <w:sz w:val="32"/>
        </w:rPr>
      </w:pPr>
      <w:r>
        <w:rPr>
          <w:rFonts w:eastAsia="仿宋" w:hint="eastAsia"/>
          <w:b/>
          <w:sz w:val="32"/>
        </w:rPr>
        <w:t>第三条</w:t>
      </w:r>
      <w:r>
        <w:rPr>
          <w:rFonts w:eastAsia="仿宋"/>
          <w:sz w:val="32"/>
        </w:rPr>
        <w:t xml:space="preserve"> </w:t>
      </w:r>
      <w:r>
        <w:rPr>
          <w:rFonts w:eastAsia="仿宋" w:hint="eastAsia"/>
          <w:sz w:val="32"/>
        </w:rPr>
        <w:t>下列机构投资者可以申请参与挂牌公司股票公开转让：</w:t>
      </w:r>
      <w:r>
        <w:rPr>
          <w:rFonts w:eastAsia="仿宋"/>
          <w:sz w:val="32"/>
        </w:rPr>
        <w:t xml:space="preserve"> </w:t>
      </w:r>
    </w:p>
    <w:p w:rsidR="00D440C8" w:rsidRDefault="00D440C8" w:rsidP="00D440C8">
      <w:pPr>
        <w:spacing w:line="600" w:lineRule="exact"/>
        <w:ind w:firstLineChars="200" w:firstLine="640"/>
        <w:rPr>
          <w:rFonts w:eastAsia="仿宋"/>
          <w:sz w:val="32"/>
        </w:rPr>
      </w:pPr>
      <w:r>
        <w:rPr>
          <w:rFonts w:eastAsia="仿宋" w:hint="eastAsia"/>
          <w:sz w:val="32"/>
        </w:rPr>
        <w:t>（一）实收资本或实收股本总额</w:t>
      </w:r>
      <w:r>
        <w:rPr>
          <w:rFonts w:eastAsia="仿宋"/>
          <w:sz w:val="32"/>
        </w:rPr>
        <w:t>500</w:t>
      </w:r>
      <w:r>
        <w:rPr>
          <w:rFonts w:eastAsia="仿宋" w:hint="eastAsia"/>
          <w:sz w:val="32"/>
        </w:rPr>
        <w:t>万元人民币以上的法人机构；</w:t>
      </w:r>
    </w:p>
    <w:p w:rsidR="00D440C8" w:rsidRDefault="00D440C8" w:rsidP="00D440C8">
      <w:pPr>
        <w:spacing w:line="600" w:lineRule="exact"/>
        <w:ind w:firstLineChars="200" w:firstLine="640"/>
        <w:rPr>
          <w:rFonts w:eastAsia="仿宋"/>
          <w:sz w:val="32"/>
        </w:rPr>
      </w:pPr>
      <w:r>
        <w:rPr>
          <w:rFonts w:eastAsia="仿宋" w:hint="eastAsia"/>
          <w:sz w:val="32"/>
        </w:rPr>
        <w:t>（二）实缴出资总额</w:t>
      </w:r>
      <w:r>
        <w:rPr>
          <w:rFonts w:eastAsia="仿宋"/>
          <w:sz w:val="32"/>
        </w:rPr>
        <w:t>500</w:t>
      </w:r>
      <w:r>
        <w:rPr>
          <w:rFonts w:eastAsia="仿宋" w:hint="eastAsia"/>
          <w:sz w:val="32"/>
        </w:rPr>
        <w:t>万元人民币以上的合伙企业。</w:t>
      </w:r>
      <w:r>
        <w:rPr>
          <w:rFonts w:eastAsia="仿宋"/>
          <w:sz w:val="32"/>
        </w:rPr>
        <w:t xml:space="preserve"> </w:t>
      </w:r>
    </w:p>
    <w:p w:rsidR="00D440C8" w:rsidRDefault="00D440C8" w:rsidP="00D440C8">
      <w:pPr>
        <w:spacing w:line="600" w:lineRule="exact"/>
        <w:ind w:firstLineChars="200" w:firstLine="643"/>
        <w:rPr>
          <w:rFonts w:eastAsia="仿宋"/>
          <w:sz w:val="32"/>
        </w:rPr>
      </w:pPr>
      <w:r>
        <w:rPr>
          <w:rFonts w:eastAsia="仿宋" w:hint="eastAsia"/>
          <w:b/>
          <w:sz w:val="32"/>
        </w:rPr>
        <w:lastRenderedPageBreak/>
        <w:t>第四条</w:t>
      </w:r>
      <w:r w:rsidR="006B3664">
        <w:rPr>
          <w:rFonts w:eastAsia="仿宋"/>
          <w:sz w:val="32"/>
        </w:rPr>
        <w:t xml:space="preserve"> </w:t>
      </w:r>
      <w:r>
        <w:rPr>
          <w:rFonts w:eastAsia="仿宋" w:hint="eastAsia"/>
          <w:sz w:val="32"/>
        </w:rPr>
        <w:t>《办法》第八条第二款、第三款规定的证券公司资产管理产品、基金管理公司及其子公司产品、期货公司资产管理产品、银行理财产品、保险产品、信托产品、经行业协会备案的私募基金等理财产品，社会保障基金、企业年金等养老金，慈善基金等社会公益基金，合格境外机构投资者（</w:t>
      </w:r>
      <w:r>
        <w:rPr>
          <w:rFonts w:eastAsia="仿宋"/>
          <w:sz w:val="32"/>
        </w:rPr>
        <w:t>QFII</w:t>
      </w:r>
      <w:r>
        <w:rPr>
          <w:rFonts w:eastAsia="仿宋" w:hint="eastAsia"/>
          <w:sz w:val="32"/>
        </w:rPr>
        <w:t>）、人民币合格境外机构投资者（</w:t>
      </w:r>
      <w:r>
        <w:rPr>
          <w:rFonts w:eastAsia="仿宋"/>
          <w:sz w:val="32"/>
        </w:rPr>
        <w:t>RQFII</w:t>
      </w:r>
      <w:r>
        <w:rPr>
          <w:rFonts w:eastAsia="仿宋" w:hint="eastAsia"/>
          <w:sz w:val="32"/>
        </w:rPr>
        <w:t>）等机构投资者，可以申请参与挂牌公司股票公开转让。</w:t>
      </w:r>
    </w:p>
    <w:p w:rsidR="00D440C8" w:rsidRDefault="00D440C8" w:rsidP="00D440C8">
      <w:pPr>
        <w:spacing w:line="600" w:lineRule="exact"/>
        <w:ind w:firstLineChars="200" w:firstLine="643"/>
        <w:rPr>
          <w:rFonts w:eastAsia="仿宋"/>
          <w:sz w:val="32"/>
        </w:rPr>
      </w:pPr>
      <w:r>
        <w:rPr>
          <w:rFonts w:eastAsia="仿宋" w:hint="eastAsia"/>
          <w:b/>
          <w:sz w:val="32"/>
        </w:rPr>
        <w:t>第五条</w:t>
      </w:r>
      <w:r>
        <w:rPr>
          <w:rFonts w:eastAsia="仿宋"/>
          <w:sz w:val="32"/>
        </w:rPr>
        <w:t xml:space="preserve"> </w:t>
      </w:r>
      <w:r>
        <w:rPr>
          <w:rFonts w:eastAsia="仿宋" w:hint="eastAsia"/>
          <w:sz w:val="32"/>
        </w:rPr>
        <w:t>同时符合下列条件的自然人投资者可以申请参与挂牌公司股票公开转让：</w:t>
      </w:r>
      <w:r>
        <w:rPr>
          <w:rFonts w:eastAsia="仿宋"/>
          <w:sz w:val="32"/>
        </w:rPr>
        <w:t xml:space="preserve"> </w:t>
      </w:r>
    </w:p>
    <w:p w:rsidR="00D440C8" w:rsidRDefault="00D440C8" w:rsidP="00D440C8">
      <w:pPr>
        <w:spacing w:line="600" w:lineRule="exact"/>
        <w:ind w:firstLineChars="200" w:firstLine="640"/>
        <w:rPr>
          <w:rFonts w:eastAsia="仿宋"/>
          <w:sz w:val="32"/>
        </w:rPr>
      </w:pPr>
      <w:r>
        <w:rPr>
          <w:rFonts w:eastAsia="仿宋" w:hint="eastAsia"/>
          <w:sz w:val="32"/>
        </w:rPr>
        <w:t>（一）在签署协议之日前，投资者本人名下最近</w:t>
      </w:r>
      <w:r>
        <w:rPr>
          <w:rFonts w:eastAsia="仿宋"/>
          <w:sz w:val="32"/>
        </w:rPr>
        <w:t>10</w:t>
      </w:r>
      <w:r>
        <w:rPr>
          <w:rFonts w:eastAsia="仿宋" w:hint="eastAsia"/>
          <w:sz w:val="32"/>
        </w:rPr>
        <w:t>个转让日的日均金融资产</w:t>
      </w:r>
      <w:r>
        <w:rPr>
          <w:rFonts w:eastAsia="仿宋"/>
          <w:sz w:val="32"/>
        </w:rPr>
        <w:t>500</w:t>
      </w:r>
      <w:r>
        <w:rPr>
          <w:rFonts w:eastAsia="仿宋" w:hint="eastAsia"/>
          <w:sz w:val="32"/>
        </w:rPr>
        <w:t>万元人民币以上。金融资产是指银行存款、股票、债券、基金份额、资产管理计划、银行理财产品、信托计划、保险产品、期货及其他衍生产品等。</w:t>
      </w:r>
    </w:p>
    <w:p w:rsidR="00D440C8" w:rsidRDefault="00D440C8" w:rsidP="00D440C8">
      <w:pPr>
        <w:spacing w:line="600" w:lineRule="exact"/>
        <w:ind w:firstLineChars="200" w:firstLine="640"/>
        <w:rPr>
          <w:rFonts w:eastAsia="仿宋"/>
          <w:sz w:val="32"/>
        </w:rPr>
      </w:pPr>
      <w:r>
        <w:rPr>
          <w:rFonts w:eastAsia="仿宋" w:hint="eastAsia"/>
          <w:sz w:val="32"/>
        </w:rPr>
        <w:t>（二）具有</w:t>
      </w:r>
      <w:r>
        <w:rPr>
          <w:rFonts w:eastAsia="仿宋"/>
          <w:sz w:val="32"/>
        </w:rPr>
        <w:t>2</w:t>
      </w:r>
      <w:r>
        <w:rPr>
          <w:rFonts w:eastAsia="仿宋" w:hint="eastAsia"/>
          <w:sz w:val="32"/>
        </w:rPr>
        <w:t>年以上证券、基金、期货投资经历，或者具有</w:t>
      </w:r>
      <w:r>
        <w:rPr>
          <w:rFonts w:eastAsia="仿宋"/>
          <w:sz w:val="32"/>
        </w:rPr>
        <w:t>2</w:t>
      </w:r>
      <w:r>
        <w:rPr>
          <w:rFonts w:eastAsia="仿宋" w:hint="eastAsia"/>
          <w:sz w:val="32"/>
        </w:rPr>
        <w:t>年以上金融产品设计、投资、风险管理及相关工作经历，或者具有《办法》第八条第一款规定的证券公司、期货公司、基金管理公司及其子公司、商业银行、保险公司、信托公司、财务公司，以及经行业协会备案或者登记的证券公司子公司、期货公司子公司、私募基金管理人等金融机构的高级管理人员任职经历。</w:t>
      </w:r>
    </w:p>
    <w:p w:rsidR="00D440C8" w:rsidRDefault="00D440C8" w:rsidP="00D440C8">
      <w:pPr>
        <w:spacing w:line="600" w:lineRule="exact"/>
        <w:ind w:firstLineChars="200" w:firstLine="640"/>
        <w:rPr>
          <w:rFonts w:eastAsia="仿宋"/>
          <w:sz w:val="32"/>
        </w:rPr>
      </w:pPr>
      <w:r>
        <w:rPr>
          <w:rFonts w:eastAsia="仿宋" w:hint="eastAsia"/>
          <w:sz w:val="32"/>
        </w:rPr>
        <w:t>具有前款所称投资经历、工作经历或任职经历的人员属于《证券法》第四十三条规定禁止参与股票交易的，不得申请参</w:t>
      </w:r>
      <w:r>
        <w:rPr>
          <w:rFonts w:eastAsia="仿宋" w:hint="eastAsia"/>
          <w:sz w:val="32"/>
        </w:rPr>
        <w:lastRenderedPageBreak/>
        <w:t>与挂牌公司股票公开转让。</w:t>
      </w:r>
    </w:p>
    <w:p w:rsidR="00D440C8" w:rsidRDefault="00D440C8" w:rsidP="00D440C8">
      <w:pPr>
        <w:spacing w:line="600" w:lineRule="exact"/>
        <w:ind w:firstLineChars="200" w:firstLine="643"/>
        <w:rPr>
          <w:rFonts w:eastAsia="仿宋"/>
          <w:sz w:val="32"/>
        </w:rPr>
      </w:pPr>
      <w:r>
        <w:rPr>
          <w:rFonts w:eastAsia="仿宋" w:hint="eastAsia"/>
          <w:b/>
          <w:sz w:val="32"/>
        </w:rPr>
        <w:t>第六条</w:t>
      </w:r>
      <w:r>
        <w:rPr>
          <w:rFonts w:eastAsia="仿宋"/>
          <w:sz w:val="32"/>
        </w:rPr>
        <w:t xml:space="preserve"> </w:t>
      </w:r>
      <w:r>
        <w:rPr>
          <w:rFonts w:eastAsia="仿宋" w:hint="eastAsia"/>
          <w:sz w:val="32"/>
        </w:rPr>
        <w:t>下列投资者可以参与挂牌公司股票定向发行：</w:t>
      </w:r>
      <w:r>
        <w:rPr>
          <w:rFonts w:eastAsia="仿宋"/>
          <w:sz w:val="32"/>
        </w:rPr>
        <w:t xml:space="preserve"> </w:t>
      </w:r>
    </w:p>
    <w:p w:rsidR="00D440C8" w:rsidRDefault="00D440C8" w:rsidP="00D440C8">
      <w:pPr>
        <w:spacing w:line="600" w:lineRule="exact"/>
        <w:ind w:firstLineChars="200" w:firstLine="640"/>
        <w:rPr>
          <w:rFonts w:eastAsia="仿宋"/>
          <w:sz w:val="32"/>
        </w:rPr>
      </w:pPr>
      <w:r>
        <w:rPr>
          <w:rFonts w:eastAsia="仿宋" w:hint="eastAsia"/>
          <w:sz w:val="32"/>
        </w:rPr>
        <w:t>（一）《非上市公众公司监督管理办法》第三十九条规定的公司股东、董事、监事、高级管理人员、核心员工，以及符合投资者适当性管理规定的自然人投资者、法人投资者及其他经济组织；</w:t>
      </w:r>
      <w:r>
        <w:rPr>
          <w:rFonts w:eastAsia="仿宋"/>
          <w:sz w:val="32"/>
        </w:rPr>
        <w:t xml:space="preserve"> </w:t>
      </w:r>
    </w:p>
    <w:p w:rsidR="00D440C8" w:rsidRDefault="00D440C8" w:rsidP="00D440C8">
      <w:pPr>
        <w:spacing w:line="600" w:lineRule="exact"/>
        <w:ind w:firstLineChars="200" w:firstLine="640"/>
        <w:rPr>
          <w:rFonts w:eastAsia="仿宋"/>
          <w:sz w:val="32"/>
        </w:rPr>
      </w:pPr>
      <w:r>
        <w:rPr>
          <w:rFonts w:eastAsia="仿宋" w:hint="eastAsia"/>
          <w:sz w:val="32"/>
        </w:rPr>
        <w:t>（二）符合参与挂牌公司股票公开转让条件的投资者。</w:t>
      </w:r>
      <w:r>
        <w:rPr>
          <w:rFonts w:eastAsia="仿宋"/>
          <w:sz w:val="32"/>
        </w:rPr>
        <w:t xml:space="preserve">  </w:t>
      </w:r>
    </w:p>
    <w:p w:rsidR="00D440C8" w:rsidRDefault="00D440C8" w:rsidP="00D440C8">
      <w:pPr>
        <w:spacing w:line="600" w:lineRule="exact"/>
        <w:ind w:firstLineChars="200" w:firstLine="643"/>
        <w:rPr>
          <w:rFonts w:eastAsia="仿宋"/>
          <w:sz w:val="32"/>
        </w:rPr>
      </w:pPr>
      <w:r>
        <w:rPr>
          <w:rFonts w:eastAsia="仿宋" w:hint="eastAsia"/>
          <w:b/>
          <w:sz w:val="32"/>
        </w:rPr>
        <w:t>第七条</w:t>
      </w:r>
      <w:r>
        <w:rPr>
          <w:rFonts w:eastAsia="仿宋"/>
          <w:sz w:val="32"/>
        </w:rPr>
        <w:t xml:space="preserve"> </w:t>
      </w:r>
      <w:r>
        <w:rPr>
          <w:rFonts w:eastAsia="仿宋" w:hint="eastAsia"/>
          <w:sz w:val="32"/>
        </w:rPr>
        <w:t>公司挂牌前的股东、通过定向发行持有公司股份的股东等，如不符合参与挂牌公司股票公开转让条件</w:t>
      </w:r>
      <w:r>
        <w:rPr>
          <w:rFonts w:eastAsia="仿宋"/>
          <w:sz w:val="32"/>
        </w:rPr>
        <w:t>,</w:t>
      </w:r>
      <w:r>
        <w:rPr>
          <w:rFonts w:eastAsia="仿宋" w:hint="eastAsia"/>
          <w:sz w:val="32"/>
        </w:rPr>
        <w:t>只能买卖其持有的挂牌公司股票。</w:t>
      </w:r>
    </w:p>
    <w:p w:rsidR="00D440C8" w:rsidRDefault="00D440C8" w:rsidP="00D440C8">
      <w:pPr>
        <w:spacing w:line="600" w:lineRule="exact"/>
        <w:ind w:firstLineChars="200" w:firstLine="640"/>
        <w:rPr>
          <w:rFonts w:eastAsia="仿宋"/>
          <w:sz w:val="32"/>
        </w:rPr>
      </w:pPr>
      <w:r>
        <w:rPr>
          <w:rFonts w:eastAsia="仿宋" w:hint="eastAsia"/>
          <w:sz w:val="32"/>
        </w:rPr>
        <w:t>已经参与挂牌公司股票买卖的投资者保持原有交易权限不变。</w:t>
      </w:r>
    </w:p>
    <w:p w:rsidR="00D440C8" w:rsidRDefault="00D440C8" w:rsidP="00D440C8">
      <w:pPr>
        <w:spacing w:line="600" w:lineRule="exact"/>
        <w:ind w:firstLineChars="200" w:firstLine="643"/>
        <w:rPr>
          <w:rFonts w:eastAsia="仿宋"/>
          <w:sz w:val="32"/>
        </w:rPr>
      </w:pPr>
      <w:r>
        <w:rPr>
          <w:rFonts w:eastAsia="仿宋" w:hint="eastAsia"/>
          <w:b/>
          <w:sz w:val="32"/>
        </w:rPr>
        <w:t>第八条</w:t>
      </w:r>
      <w:r>
        <w:rPr>
          <w:rFonts w:eastAsia="仿宋"/>
          <w:sz w:val="32"/>
        </w:rPr>
        <w:t xml:space="preserve"> </w:t>
      </w:r>
      <w:r>
        <w:rPr>
          <w:rFonts w:eastAsia="仿宋" w:hint="eastAsia"/>
          <w:sz w:val="32"/>
        </w:rPr>
        <w:t>法律法规、行政规章和全国中小企业股份转让系统有限责任公司（以下简称全国股转公司）对产品或服务的投资者准入要求另有规定的，从其规定。</w:t>
      </w:r>
    </w:p>
    <w:p w:rsidR="00D440C8" w:rsidRDefault="00D440C8" w:rsidP="00D440C8">
      <w:pPr>
        <w:spacing w:line="600" w:lineRule="exact"/>
        <w:ind w:firstLineChars="200" w:firstLine="643"/>
        <w:rPr>
          <w:rFonts w:eastAsia="仿宋"/>
          <w:sz w:val="32"/>
        </w:rPr>
      </w:pPr>
      <w:r>
        <w:rPr>
          <w:rFonts w:eastAsia="仿宋" w:hint="eastAsia"/>
          <w:b/>
          <w:sz w:val="32"/>
        </w:rPr>
        <w:t>第九条</w:t>
      </w:r>
      <w:r>
        <w:rPr>
          <w:rFonts w:eastAsia="仿宋"/>
          <w:sz w:val="32"/>
        </w:rPr>
        <w:t xml:space="preserve"> </w:t>
      </w:r>
      <w:r>
        <w:rPr>
          <w:rFonts w:eastAsia="仿宋" w:hint="eastAsia"/>
          <w:sz w:val="32"/>
        </w:rPr>
        <w:t>主办券商应当根据中国证券监督管理委员会（以下简称中国证监会）有关规定及本细则要求，建立健全投资者分类、产品或服务分级和适当性匹配等内部管理制度，明确匹配依据、方法、流程等，并报全国股转公司备案。</w:t>
      </w:r>
    </w:p>
    <w:p w:rsidR="00D440C8" w:rsidRDefault="00D440C8" w:rsidP="00D440C8">
      <w:pPr>
        <w:spacing w:line="600" w:lineRule="exact"/>
        <w:ind w:firstLineChars="200" w:firstLine="643"/>
        <w:rPr>
          <w:rFonts w:eastAsia="仿宋"/>
          <w:sz w:val="32"/>
        </w:rPr>
      </w:pPr>
      <w:r>
        <w:rPr>
          <w:rFonts w:eastAsia="仿宋" w:hint="eastAsia"/>
          <w:b/>
          <w:sz w:val="32"/>
        </w:rPr>
        <w:t>第十条</w:t>
      </w:r>
      <w:r>
        <w:rPr>
          <w:rFonts w:eastAsia="仿宋"/>
          <w:sz w:val="32"/>
        </w:rPr>
        <w:t xml:space="preserve"> </w:t>
      </w:r>
      <w:r>
        <w:rPr>
          <w:rFonts w:eastAsia="仿宋" w:hint="eastAsia"/>
          <w:sz w:val="32"/>
        </w:rPr>
        <w:t>主办券商应当切实履行投资者适当性管理职责，了解投资者的身份、财务状况、证券投资经验等相关信息，评估投资者的风险承受能力和风险识别能力，有针对性地开展风险</w:t>
      </w:r>
      <w:r>
        <w:rPr>
          <w:rFonts w:eastAsia="仿宋" w:hint="eastAsia"/>
          <w:sz w:val="32"/>
        </w:rPr>
        <w:lastRenderedPageBreak/>
        <w:t>揭示、投资者知识普及、投资者服务等工作，引导投资者审慎参与挂牌公司股票公开转让等相关业务。</w:t>
      </w:r>
    </w:p>
    <w:p w:rsidR="00D440C8" w:rsidRDefault="00D440C8" w:rsidP="00D440C8">
      <w:pPr>
        <w:spacing w:line="600" w:lineRule="exact"/>
        <w:ind w:firstLineChars="200" w:firstLine="643"/>
        <w:rPr>
          <w:rFonts w:eastAsia="仿宋"/>
          <w:sz w:val="32"/>
        </w:rPr>
      </w:pPr>
      <w:r>
        <w:rPr>
          <w:rFonts w:eastAsia="仿宋" w:hint="eastAsia"/>
          <w:b/>
          <w:sz w:val="32"/>
        </w:rPr>
        <w:t>第十一条</w:t>
      </w:r>
      <w:r>
        <w:rPr>
          <w:rFonts w:eastAsia="仿宋"/>
          <w:sz w:val="32"/>
        </w:rPr>
        <w:t xml:space="preserve"> </w:t>
      </w:r>
      <w:r>
        <w:rPr>
          <w:rFonts w:eastAsia="仿宋" w:hint="eastAsia"/>
          <w:sz w:val="32"/>
        </w:rPr>
        <w:t>主办券商应当认真审核投资者提交的相关材料，并与投资者书面签署《买卖挂牌公司股票委托代理协议》和《挂牌公司股票公开转让特别风险揭示书》。</w:t>
      </w:r>
      <w:r>
        <w:rPr>
          <w:rFonts w:eastAsia="仿宋"/>
          <w:sz w:val="32"/>
        </w:rPr>
        <w:t xml:space="preserve"> </w:t>
      </w:r>
    </w:p>
    <w:p w:rsidR="00D440C8" w:rsidRDefault="00D440C8" w:rsidP="00D440C8">
      <w:pPr>
        <w:spacing w:line="600" w:lineRule="exact"/>
        <w:ind w:firstLineChars="200" w:firstLine="640"/>
        <w:rPr>
          <w:rFonts w:eastAsia="仿宋"/>
          <w:sz w:val="32"/>
        </w:rPr>
      </w:pPr>
      <w:r>
        <w:rPr>
          <w:rFonts w:eastAsia="仿宋" w:hint="eastAsia"/>
          <w:sz w:val="32"/>
        </w:rPr>
        <w:t>投资者应抄录《挂牌公司股票公开转让特别风险揭示书》中的特别声明。</w:t>
      </w:r>
    </w:p>
    <w:p w:rsidR="00D440C8" w:rsidRDefault="00D440C8" w:rsidP="00D440C8">
      <w:pPr>
        <w:spacing w:line="600" w:lineRule="exact"/>
        <w:ind w:firstLineChars="200" w:firstLine="643"/>
        <w:rPr>
          <w:rFonts w:eastAsia="仿宋"/>
          <w:sz w:val="32"/>
        </w:rPr>
      </w:pPr>
      <w:r>
        <w:rPr>
          <w:rFonts w:eastAsia="仿宋" w:hint="eastAsia"/>
          <w:b/>
          <w:sz w:val="32"/>
        </w:rPr>
        <w:t>第十二条</w:t>
      </w:r>
      <w:r>
        <w:rPr>
          <w:rFonts w:eastAsia="仿宋"/>
          <w:sz w:val="32"/>
        </w:rPr>
        <w:t xml:space="preserve"> </w:t>
      </w:r>
      <w:r>
        <w:rPr>
          <w:rFonts w:eastAsia="仿宋" w:hint="eastAsia"/>
          <w:sz w:val="32"/>
        </w:rPr>
        <w:t>主办券商应当针对不同类别的投资者制定服务方案和管理流程，根据客户的不同特点，讲解全国股转系统业务规则和风险特点，提示参与挂牌公司股票公开转让可能面临的风险。</w:t>
      </w:r>
    </w:p>
    <w:p w:rsidR="00D440C8" w:rsidRDefault="00D440C8" w:rsidP="00D440C8">
      <w:pPr>
        <w:spacing w:line="600" w:lineRule="exact"/>
        <w:ind w:firstLineChars="200" w:firstLine="643"/>
        <w:rPr>
          <w:rFonts w:eastAsia="仿宋"/>
          <w:sz w:val="32"/>
        </w:rPr>
      </w:pPr>
      <w:r>
        <w:rPr>
          <w:rFonts w:eastAsia="仿宋" w:hint="eastAsia"/>
          <w:b/>
          <w:sz w:val="32"/>
        </w:rPr>
        <w:t>第十三条</w:t>
      </w:r>
      <w:r>
        <w:rPr>
          <w:rFonts w:eastAsia="仿宋"/>
          <w:sz w:val="32"/>
        </w:rPr>
        <w:t xml:space="preserve"> </w:t>
      </w:r>
      <w:r>
        <w:rPr>
          <w:rFonts w:eastAsia="仿宋" w:hint="eastAsia"/>
          <w:sz w:val="32"/>
        </w:rPr>
        <w:t>主办券商应当建立投资者评估数据库，结合所了解的投资者信息和投资者参与挂牌公司股票转让的情况，每年对评估数据库进行更新，留存评估结果备查。</w:t>
      </w:r>
    </w:p>
    <w:p w:rsidR="00D440C8" w:rsidRDefault="00D440C8" w:rsidP="00D440C8">
      <w:pPr>
        <w:spacing w:line="600" w:lineRule="exact"/>
        <w:ind w:firstLineChars="200" w:firstLine="643"/>
        <w:rPr>
          <w:rFonts w:eastAsia="仿宋"/>
          <w:sz w:val="32"/>
        </w:rPr>
      </w:pPr>
      <w:r>
        <w:rPr>
          <w:rFonts w:eastAsia="仿宋" w:hint="eastAsia"/>
          <w:b/>
          <w:sz w:val="32"/>
        </w:rPr>
        <w:t>第十四条</w:t>
      </w:r>
      <w:r>
        <w:rPr>
          <w:rFonts w:eastAsia="仿宋"/>
          <w:sz w:val="32"/>
        </w:rPr>
        <w:t xml:space="preserve"> </w:t>
      </w:r>
      <w:r>
        <w:rPr>
          <w:rFonts w:eastAsia="仿宋" w:hint="eastAsia"/>
          <w:sz w:val="32"/>
        </w:rPr>
        <w:t>主办券商应当在投资者首次参与挂牌公司股票公开转让之日起，通过主动提醒、动态跟踪、定期检查等方式，督促投资者持续符合要求。</w:t>
      </w:r>
    </w:p>
    <w:p w:rsidR="00D440C8" w:rsidRDefault="00D440C8" w:rsidP="00D440C8">
      <w:pPr>
        <w:spacing w:line="600" w:lineRule="exact"/>
        <w:ind w:firstLineChars="200" w:firstLine="640"/>
        <w:rPr>
          <w:rFonts w:eastAsia="仿宋"/>
          <w:sz w:val="32"/>
        </w:rPr>
      </w:pPr>
      <w:r>
        <w:rPr>
          <w:rFonts w:eastAsia="仿宋" w:hint="eastAsia"/>
          <w:sz w:val="32"/>
        </w:rPr>
        <w:t>主办券商应当自为自然人投资者开通权限之日起每</w:t>
      </w:r>
      <w:r>
        <w:rPr>
          <w:rFonts w:eastAsia="仿宋"/>
          <w:sz w:val="32"/>
        </w:rPr>
        <w:t>12</w:t>
      </w:r>
      <w:r>
        <w:rPr>
          <w:rFonts w:eastAsia="仿宋" w:hint="eastAsia"/>
          <w:sz w:val="32"/>
        </w:rPr>
        <w:t>个月内至少对其进行一次持续评估，如其前</w:t>
      </w:r>
      <w:r>
        <w:rPr>
          <w:rFonts w:eastAsia="仿宋"/>
          <w:sz w:val="32"/>
        </w:rPr>
        <w:t>5</w:t>
      </w:r>
      <w:r>
        <w:rPr>
          <w:rFonts w:eastAsia="仿宋" w:hint="eastAsia"/>
          <w:sz w:val="32"/>
        </w:rPr>
        <w:t>个转让日日均资产低于申请开通权限时准入资产规模要求的</w:t>
      </w:r>
      <w:r>
        <w:rPr>
          <w:rFonts w:eastAsia="仿宋"/>
          <w:sz w:val="32"/>
        </w:rPr>
        <w:t>60%</w:t>
      </w:r>
      <w:r>
        <w:rPr>
          <w:rFonts w:eastAsia="仿宋" w:hint="eastAsia"/>
          <w:sz w:val="32"/>
        </w:rPr>
        <w:t>时，主办券商应当履行特别的注意义务，包括制定专门的工作程序，追加了解相关信息，告知特别的风险点，或者增加回访频次等。</w:t>
      </w:r>
    </w:p>
    <w:p w:rsidR="00D440C8" w:rsidRDefault="00D440C8" w:rsidP="00D440C8">
      <w:pPr>
        <w:spacing w:line="600" w:lineRule="exact"/>
        <w:ind w:firstLineChars="200" w:firstLine="643"/>
        <w:rPr>
          <w:rFonts w:eastAsia="仿宋"/>
          <w:sz w:val="32"/>
        </w:rPr>
      </w:pPr>
      <w:r>
        <w:rPr>
          <w:rFonts w:eastAsia="仿宋" w:hint="eastAsia"/>
          <w:b/>
          <w:sz w:val="32"/>
        </w:rPr>
        <w:lastRenderedPageBreak/>
        <w:t>第十五条</w:t>
      </w:r>
      <w:r>
        <w:rPr>
          <w:rFonts w:eastAsia="仿宋"/>
          <w:sz w:val="32"/>
        </w:rPr>
        <w:t xml:space="preserve"> </w:t>
      </w:r>
      <w:r>
        <w:rPr>
          <w:rFonts w:eastAsia="仿宋" w:hint="eastAsia"/>
          <w:sz w:val="32"/>
        </w:rPr>
        <w:t>投资者应当配合主办券商投资者适当性管理工作，如实提供申报材料。投资者不予配合或提供虚假信息的，主办券商应当拒绝为其办理挂牌公司股票公开转让相关业务或者限制其交易权限。</w:t>
      </w:r>
    </w:p>
    <w:p w:rsidR="00D440C8" w:rsidRDefault="00D440C8" w:rsidP="00D440C8">
      <w:pPr>
        <w:spacing w:line="600" w:lineRule="exact"/>
        <w:ind w:firstLineChars="200" w:firstLine="643"/>
        <w:rPr>
          <w:rFonts w:eastAsia="仿宋"/>
          <w:sz w:val="32"/>
        </w:rPr>
      </w:pPr>
      <w:r>
        <w:rPr>
          <w:rFonts w:eastAsia="仿宋" w:hint="eastAsia"/>
          <w:b/>
          <w:sz w:val="32"/>
        </w:rPr>
        <w:t>第十六条</w:t>
      </w:r>
      <w:r>
        <w:rPr>
          <w:rFonts w:eastAsia="仿宋"/>
          <w:sz w:val="32"/>
        </w:rPr>
        <w:t xml:space="preserve"> </w:t>
      </w:r>
      <w:r>
        <w:rPr>
          <w:rFonts w:eastAsia="仿宋" w:hint="eastAsia"/>
          <w:sz w:val="32"/>
        </w:rPr>
        <w:t>主办券商应当妥善保管投资者的档案资料，除依法配合调查和检查外，应当为投资者保密。</w:t>
      </w:r>
      <w:r>
        <w:rPr>
          <w:rFonts w:eastAsia="仿宋"/>
          <w:sz w:val="32"/>
        </w:rPr>
        <w:t xml:space="preserve"> </w:t>
      </w:r>
    </w:p>
    <w:p w:rsidR="00D440C8" w:rsidRDefault="00D440C8" w:rsidP="00D440C8">
      <w:pPr>
        <w:spacing w:line="600" w:lineRule="exact"/>
        <w:ind w:firstLineChars="200" w:firstLine="643"/>
        <w:rPr>
          <w:rFonts w:eastAsia="仿宋"/>
          <w:sz w:val="32"/>
        </w:rPr>
      </w:pPr>
      <w:r>
        <w:rPr>
          <w:rFonts w:eastAsia="仿宋" w:hint="eastAsia"/>
          <w:b/>
          <w:sz w:val="32"/>
        </w:rPr>
        <w:t>第十七条</w:t>
      </w:r>
      <w:r>
        <w:rPr>
          <w:rFonts w:eastAsia="仿宋"/>
          <w:sz w:val="32"/>
        </w:rPr>
        <w:t xml:space="preserve"> </w:t>
      </w:r>
      <w:r>
        <w:rPr>
          <w:rFonts w:eastAsia="仿宋" w:hint="eastAsia"/>
          <w:sz w:val="32"/>
        </w:rPr>
        <w:t>主办券商应当妥善保存业务办理、投资者服务过程中风险揭示的语音或影像留痕。</w:t>
      </w:r>
    </w:p>
    <w:p w:rsidR="00D440C8" w:rsidRDefault="00D440C8" w:rsidP="00D440C8">
      <w:pPr>
        <w:spacing w:line="600" w:lineRule="exact"/>
        <w:ind w:firstLineChars="200" w:firstLine="643"/>
        <w:rPr>
          <w:rFonts w:eastAsia="仿宋"/>
          <w:sz w:val="32"/>
        </w:rPr>
      </w:pPr>
      <w:r>
        <w:rPr>
          <w:rFonts w:eastAsia="仿宋" w:hint="eastAsia"/>
          <w:b/>
          <w:sz w:val="32"/>
        </w:rPr>
        <w:t>第十八条</w:t>
      </w:r>
      <w:r>
        <w:rPr>
          <w:rFonts w:eastAsia="仿宋"/>
          <w:b/>
          <w:sz w:val="32"/>
        </w:rPr>
        <w:t xml:space="preserve"> </w:t>
      </w:r>
      <w:r>
        <w:rPr>
          <w:rFonts w:eastAsia="仿宋" w:hint="eastAsia"/>
          <w:sz w:val="32"/>
        </w:rPr>
        <w:t>主办券商发现客户存在异常交易行为或者违法违规行为时，应当根据全国股转公司相关规定及时提醒客户，并向全国股转公司报告。</w:t>
      </w:r>
    </w:p>
    <w:p w:rsidR="00D440C8" w:rsidRDefault="00D440C8" w:rsidP="00D440C8">
      <w:pPr>
        <w:spacing w:line="600" w:lineRule="exact"/>
        <w:ind w:firstLineChars="200" w:firstLine="643"/>
        <w:rPr>
          <w:rFonts w:eastAsia="仿宋"/>
          <w:sz w:val="32"/>
        </w:rPr>
      </w:pPr>
      <w:r>
        <w:rPr>
          <w:rFonts w:eastAsia="仿宋" w:hint="eastAsia"/>
          <w:b/>
          <w:sz w:val="32"/>
        </w:rPr>
        <w:t>第十九条</w:t>
      </w:r>
      <w:r>
        <w:rPr>
          <w:rFonts w:eastAsia="仿宋"/>
          <w:b/>
          <w:sz w:val="32"/>
        </w:rPr>
        <w:t xml:space="preserve"> </w:t>
      </w:r>
      <w:r>
        <w:rPr>
          <w:rFonts w:eastAsia="仿宋" w:hint="eastAsia"/>
          <w:sz w:val="32"/>
        </w:rPr>
        <w:t>全国股转公司对存在异常交易行为的投资者采取口头或书面警示等监管措施的，主办券商应当及时与投资者取得联系，告知其有关监管要求和采取的监管措施。</w:t>
      </w:r>
      <w:r>
        <w:rPr>
          <w:rFonts w:eastAsia="仿宋"/>
          <w:sz w:val="32"/>
        </w:rPr>
        <w:t xml:space="preserve"> </w:t>
      </w:r>
    </w:p>
    <w:p w:rsidR="00D440C8" w:rsidRDefault="00D440C8" w:rsidP="00D440C8">
      <w:pPr>
        <w:spacing w:line="600" w:lineRule="exact"/>
        <w:ind w:firstLineChars="200" w:firstLine="640"/>
        <w:rPr>
          <w:rFonts w:eastAsia="仿宋"/>
          <w:sz w:val="32"/>
        </w:rPr>
      </w:pPr>
      <w:r>
        <w:rPr>
          <w:rFonts w:eastAsia="仿宋" w:hint="eastAsia"/>
          <w:sz w:val="32"/>
        </w:rPr>
        <w:t>对出现异常交易行为的投资者，全国股转公司可以限制其交易，主办券商应当予以配合。</w:t>
      </w:r>
    </w:p>
    <w:p w:rsidR="00D440C8" w:rsidRDefault="00D440C8" w:rsidP="00D440C8">
      <w:pPr>
        <w:spacing w:line="600" w:lineRule="exact"/>
        <w:ind w:firstLineChars="200" w:firstLine="643"/>
        <w:rPr>
          <w:rFonts w:eastAsia="仿宋"/>
          <w:sz w:val="32"/>
        </w:rPr>
      </w:pPr>
      <w:r>
        <w:rPr>
          <w:rFonts w:eastAsia="仿宋" w:hint="eastAsia"/>
          <w:b/>
          <w:sz w:val="32"/>
        </w:rPr>
        <w:t>第二十条</w:t>
      </w:r>
      <w:r>
        <w:rPr>
          <w:rFonts w:eastAsia="仿宋"/>
          <w:sz w:val="32"/>
        </w:rPr>
        <w:t xml:space="preserve"> </w:t>
      </w:r>
      <w:r>
        <w:rPr>
          <w:rFonts w:eastAsia="仿宋" w:hint="eastAsia"/>
          <w:sz w:val="32"/>
        </w:rPr>
        <w:t>主办券商应当为投资者提供合理的投诉渠道，指定专门部门受理投诉，妥善处理与投资者的矛盾和纠纷，并认真做好记录工作。</w:t>
      </w:r>
    </w:p>
    <w:p w:rsidR="00D440C8" w:rsidRDefault="00D440C8" w:rsidP="00D440C8">
      <w:pPr>
        <w:spacing w:line="600" w:lineRule="exact"/>
        <w:ind w:firstLineChars="200" w:firstLine="643"/>
        <w:rPr>
          <w:rFonts w:eastAsia="仿宋"/>
          <w:sz w:val="32"/>
        </w:rPr>
      </w:pPr>
      <w:r>
        <w:rPr>
          <w:rFonts w:eastAsia="仿宋" w:hint="eastAsia"/>
          <w:b/>
          <w:sz w:val="32"/>
        </w:rPr>
        <w:t>第二十一条</w:t>
      </w:r>
      <w:r>
        <w:rPr>
          <w:rFonts w:eastAsia="仿宋"/>
          <w:sz w:val="32"/>
        </w:rPr>
        <w:t xml:space="preserve"> </w:t>
      </w:r>
      <w:r>
        <w:rPr>
          <w:rFonts w:eastAsia="仿宋" w:hint="eastAsia"/>
          <w:sz w:val="32"/>
        </w:rPr>
        <w:t>主办券商应当按照全国股转公司的要求报送投资者适当性管理相关信息，并配合中国证监会及其派出机构、全国股转公司等监管机构对其投资者适当性管理执行情况进行</w:t>
      </w:r>
      <w:r>
        <w:rPr>
          <w:rFonts w:eastAsia="仿宋" w:hint="eastAsia"/>
          <w:sz w:val="32"/>
        </w:rPr>
        <w:lastRenderedPageBreak/>
        <w:t>检查，如实提供投资者开户资料、资金账户情况等信息，不得隐瞒、阻碍和拒绝。</w:t>
      </w:r>
      <w:r>
        <w:rPr>
          <w:rFonts w:eastAsia="仿宋"/>
          <w:sz w:val="32"/>
        </w:rPr>
        <w:t xml:space="preserve"> </w:t>
      </w:r>
    </w:p>
    <w:p w:rsidR="00D440C8" w:rsidRDefault="00D440C8" w:rsidP="00D440C8">
      <w:pPr>
        <w:spacing w:line="600" w:lineRule="exact"/>
        <w:ind w:firstLineChars="200" w:firstLine="640"/>
        <w:rPr>
          <w:rFonts w:eastAsia="仿宋"/>
          <w:sz w:val="32"/>
        </w:rPr>
      </w:pPr>
      <w:r>
        <w:rPr>
          <w:rFonts w:eastAsia="仿宋" w:hint="eastAsia"/>
          <w:sz w:val="32"/>
        </w:rPr>
        <w:t>主办券商应当妥善保存其履行投资者适当性义务的相关信息资料，保存期限不得少于</w:t>
      </w:r>
      <w:r>
        <w:rPr>
          <w:rFonts w:eastAsia="仿宋"/>
          <w:sz w:val="32"/>
        </w:rPr>
        <w:t>20</w:t>
      </w:r>
      <w:r>
        <w:rPr>
          <w:rFonts w:eastAsia="仿宋" w:hint="eastAsia"/>
          <w:sz w:val="32"/>
        </w:rPr>
        <w:t>年。</w:t>
      </w:r>
    </w:p>
    <w:p w:rsidR="00D440C8" w:rsidRDefault="00D440C8" w:rsidP="00D440C8">
      <w:pPr>
        <w:spacing w:line="600" w:lineRule="exact"/>
        <w:ind w:firstLineChars="200" w:firstLine="643"/>
        <w:rPr>
          <w:rFonts w:eastAsia="仿宋"/>
          <w:sz w:val="32"/>
        </w:rPr>
      </w:pPr>
      <w:r>
        <w:rPr>
          <w:rFonts w:eastAsia="仿宋" w:hint="eastAsia"/>
          <w:b/>
          <w:sz w:val="32"/>
        </w:rPr>
        <w:t>第二十二条</w:t>
      </w:r>
      <w:r>
        <w:rPr>
          <w:rFonts w:eastAsia="仿宋"/>
          <w:sz w:val="32"/>
        </w:rPr>
        <w:t xml:space="preserve">  </w:t>
      </w:r>
      <w:r>
        <w:rPr>
          <w:rFonts w:eastAsia="仿宋" w:hint="eastAsia"/>
          <w:sz w:val="32"/>
        </w:rPr>
        <w:t>主办券商及其相关业务人员违反本细则规定，全国股转公司可依据《业务规则》等有关规定采取相应的监管措施或纪律处分。</w:t>
      </w:r>
      <w:r>
        <w:rPr>
          <w:rFonts w:eastAsia="仿宋"/>
          <w:sz w:val="32"/>
        </w:rPr>
        <w:t xml:space="preserve">   </w:t>
      </w:r>
    </w:p>
    <w:p w:rsidR="00D440C8" w:rsidRDefault="00D440C8" w:rsidP="00D440C8">
      <w:pPr>
        <w:spacing w:line="600" w:lineRule="exact"/>
        <w:ind w:firstLineChars="200" w:firstLine="643"/>
        <w:rPr>
          <w:rFonts w:eastAsia="仿宋"/>
          <w:sz w:val="32"/>
        </w:rPr>
      </w:pPr>
      <w:r>
        <w:rPr>
          <w:rFonts w:eastAsia="仿宋" w:hint="eastAsia"/>
          <w:b/>
          <w:sz w:val="32"/>
        </w:rPr>
        <w:t>第二十三条</w:t>
      </w:r>
      <w:r>
        <w:rPr>
          <w:rFonts w:eastAsia="仿宋"/>
          <w:sz w:val="32"/>
        </w:rPr>
        <w:t xml:space="preserve"> </w:t>
      </w:r>
      <w:r>
        <w:rPr>
          <w:rFonts w:eastAsia="仿宋" w:hint="eastAsia"/>
          <w:sz w:val="32"/>
        </w:rPr>
        <w:t>本细则所称</w:t>
      </w:r>
      <w:r>
        <w:rPr>
          <w:rFonts w:eastAsia="仿宋"/>
          <w:sz w:val="32"/>
        </w:rPr>
        <w:t>“</w:t>
      </w:r>
      <w:r>
        <w:rPr>
          <w:rFonts w:eastAsia="仿宋" w:hint="eastAsia"/>
          <w:sz w:val="32"/>
        </w:rPr>
        <w:t>以上</w:t>
      </w:r>
      <w:r>
        <w:rPr>
          <w:rFonts w:eastAsia="仿宋"/>
          <w:sz w:val="32"/>
        </w:rPr>
        <w:t>”</w:t>
      </w:r>
      <w:r>
        <w:rPr>
          <w:rFonts w:eastAsia="仿宋" w:hint="eastAsia"/>
          <w:sz w:val="32"/>
        </w:rPr>
        <w:t>含本数。</w:t>
      </w:r>
    </w:p>
    <w:p w:rsidR="00D440C8" w:rsidRDefault="00D440C8" w:rsidP="00D440C8">
      <w:pPr>
        <w:spacing w:line="600" w:lineRule="exact"/>
        <w:ind w:firstLineChars="200" w:firstLine="643"/>
        <w:rPr>
          <w:rFonts w:eastAsia="仿宋"/>
          <w:sz w:val="32"/>
        </w:rPr>
      </w:pPr>
      <w:r>
        <w:rPr>
          <w:rFonts w:eastAsia="仿宋" w:hint="eastAsia"/>
          <w:b/>
          <w:sz w:val="32"/>
        </w:rPr>
        <w:t>第二十四条</w:t>
      </w:r>
      <w:r>
        <w:rPr>
          <w:rFonts w:eastAsia="仿宋"/>
          <w:sz w:val="32"/>
        </w:rPr>
        <w:t xml:space="preserve"> </w:t>
      </w:r>
      <w:r>
        <w:rPr>
          <w:rFonts w:eastAsia="仿宋" w:hint="eastAsia"/>
          <w:sz w:val="32"/>
        </w:rPr>
        <w:t>本细则由全国股转公司负责解释。</w:t>
      </w:r>
    </w:p>
    <w:p w:rsidR="00D440C8" w:rsidRDefault="00D440C8" w:rsidP="00D440C8">
      <w:pPr>
        <w:spacing w:line="600" w:lineRule="exact"/>
        <w:ind w:firstLineChars="200" w:firstLine="643"/>
        <w:rPr>
          <w:rFonts w:eastAsia="仿宋"/>
          <w:sz w:val="32"/>
        </w:rPr>
      </w:pPr>
      <w:r>
        <w:rPr>
          <w:rFonts w:eastAsia="仿宋" w:hint="eastAsia"/>
          <w:b/>
          <w:sz w:val="32"/>
        </w:rPr>
        <w:t>第二十五条</w:t>
      </w:r>
      <w:r>
        <w:rPr>
          <w:rFonts w:eastAsia="仿宋"/>
          <w:sz w:val="32"/>
        </w:rPr>
        <w:t xml:space="preserve"> </w:t>
      </w:r>
      <w:r>
        <w:rPr>
          <w:rFonts w:eastAsia="仿宋" w:hint="eastAsia"/>
          <w:sz w:val="32"/>
        </w:rPr>
        <w:t>本细则自</w:t>
      </w:r>
      <w:r w:rsidR="00A008DB">
        <w:rPr>
          <w:rFonts w:eastAsia="仿宋" w:hint="eastAsia"/>
          <w:sz w:val="32"/>
        </w:rPr>
        <w:t>2017</w:t>
      </w:r>
      <w:r w:rsidR="00A008DB">
        <w:rPr>
          <w:rFonts w:eastAsia="仿宋" w:hint="eastAsia"/>
          <w:sz w:val="32"/>
        </w:rPr>
        <w:t>年</w:t>
      </w:r>
      <w:r w:rsidR="00A008DB">
        <w:rPr>
          <w:rFonts w:eastAsia="仿宋" w:hint="eastAsia"/>
          <w:sz w:val="32"/>
        </w:rPr>
        <w:t>7</w:t>
      </w:r>
      <w:r w:rsidR="00A008DB">
        <w:rPr>
          <w:rFonts w:eastAsia="仿宋" w:hint="eastAsia"/>
          <w:sz w:val="32"/>
        </w:rPr>
        <w:t>月</w:t>
      </w:r>
      <w:r w:rsidR="00A008DB">
        <w:rPr>
          <w:rFonts w:eastAsia="仿宋" w:hint="eastAsia"/>
          <w:sz w:val="32"/>
        </w:rPr>
        <w:t>1</w:t>
      </w:r>
      <w:r w:rsidR="00A008DB">
        <w:rPr>
          <w:rFonts w:eastAsia="仿宋" w:hint="eastAsia"/>
          <w:sz w:val="32"/>
        </w:rPr>
        <w:t>日</w:t>
      </w:r>
      <w:r>
        <w:rPr>
          <w:rFonts w:eastAsia="仿宋" w:hint="eastAsia"/>
          <w:sz w:val="32"/>
        </w:rPr>
        <w:t>起施行，《全国中小企业股份转让系统投资者适当性管理细则（试行）》同时废止。</w:t>
      </w:r>
    </w:p>
    <w:p w:rsidR="00337111" w:rsidRPr="005C2AA4" w:rsidRDefault="00337111" w:rsidP="00D440C8"/>
    <w:sectPr w:rsidR="00337111" w:rsidRPr="005C2AA4" w:rsidSect="00C1005B">
      <w:footerReference w:type="even" r:id="rId8"/>
      <w:footerReference w:type="default" r:id="rId9"/>
      <w:pgSz w:w="11906" w:h="16838"/>
      <w:pgMar w:top="1758" w:right="1588" w:bottom="1758" w:left="1588" w:header="851" w:footer="992" w:gutter="0"/>
      <w:pgNumType w:fmt="numberInDash"/>
      <w:cols w:space="425"/>
      <w:docGrid w:type="lines"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032" w:rsidRDefault="000F5032" w:rsidP="006B6FE6">
      <w:r>
        <w:separator/>
      </w:r>
    </w:p>
  </w:endnote>
  <w:endnote w:type="continuationSeparator" w:id="0">
    <w:p w:rsidR="000F5032" w:rsidRDefault="000F5032" w:rsidP="006B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简体">
    <w:altName w:val="Arial Unicode MS"/>
    <w:charset w:val="86"/>
    <w:family w:val="auto"/>
    <w:pitch w:val="variable"/>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C0A" w:rsidRPr="00521C0A" w:rsidRDefault="00521C0A">
    <w:pPr>
      <w:pStyle w:val="a4"/>
      <w:rPr>
        <w:rFonts w:ascii="宋体" w:eastAsia="宋体" w:hAnsi="宋体"/>
        <w:sz w:val="28"/>
      </w:rPr>
    </w:pPr>
    <w:r w:rsidRPr="00521C0A">
      <w:rPr>
        <w:rFonts w:ascii="宋体" w:eastAsia="宋体" w:hAnsi="宋体"/>
        <w:sz w:val="28"/>
      </w:rPr>
      <w:fldChar w:fldCharType="begin"/>
    </w:r>
    <w:r w:rsidRPr="00521C0A">
      <w:rPr>
        <w:rFonts w:ascii="宋体" w:eastAsia="宋体" w:hAnsi="宋体"/>
        <w:sz w:val="28"/>
      </w:rPr>
      <w:instrText>PAGE   \* MERGEFORMAT</w:instrText>
    </w:r>
    <w:r w:rsidRPr="00521C0A">
      <w:rPr>
        <w:rFonts w:ascii="宋体" w:eastAsia="宋体" w:hAnsi="宋体"/>
        <w:sz w:val="28"/>
      </w:rPr>
      <w:fldChar w:fldCharType="separate"/>
    </w:r>
    <w:r w:rsidR="001D47BD" w:rsidRPr="001D47BD">
      <w:rPr>
        <w:rFonts w:ascii="宋体" w:eastAsia="宋体" w:hAnsi="宋体"/>
        <w:noProof/>
        <w:sz w:val="28"/>
        <w:lang w:val="zh-CN"/>
      </w:rPr>
      <w:t>-</w:t>
    </w:r>
    <w:r w:rsidR="001D47BD">
      <w:rPr>
        <w:rFonts w:ascii="宋体" w:eastAsia="宋体" w:hAnsi="宋体"/>
        <w:noProof/>
        <w:sz w:val="28"/>
      </w:rPr>
      <w:t xml:space="preserve"> 2 -</w:t>
    </w:r>
    <w:r w:rsidRPr="00521C0A">
      <w:rPr>
        <w:rFonts w:ascii="宋体" w:eastAsia="宋体" w:hAnsi="宋体"/>
        <w:sz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C0A" w:rsidRPr="00521C0A" w:rsidRDefault="00521C0A">
    <w:pPr>
      <w:pStyle w:val="a4"/>
      <w:jc w:val="right"/>
      <w:rPr>
        <w:rFonts w:ascii="宋体" w:eastAsia="宋体" w:hAnsi="宋体"/>
        <w:sz w:val="28"/>
      </w:rPr>
    </w:pPr>
    <w:r w:rsidRPr="00521C0A">
      <w:rPr>
        <w:rFonts w:ascii="宋体" w:eastAsia="宋体" w:hAnsi="宋体"/>
        <w:sz w:val="28"/>
      </w:rPr>
      <w:fldChar w:fldCharType="begin"/>
    </w:r>
    <w:r w:rsidRPr="00521C0A">
      <w:rPr>
        <w:rFonts w:ascii="宋体" w:eastAsia="宋体" w:hAnsi="宋体"/>
        <w:sz w:val="28"/>
      </w:rPr>
      <w:instrText>PAGE   \* MERGEFORMAT</w:instrText>
    </w:r>
    <w:r w:rsidRPr="00521C0A">
      <w:rPr>
        <w:rFonts w:ascii="宋体" w:eastAsia="宋体" w:hAnsi="宋体"/>
        <w:sz w:val="28"/>
      </w:rPr>
      <w:fldChar w:fldCharType="separate"/>
    </w:r>
    <w:r w:rsidR="001D47BD" w:rsidRPr="001D47BD">
      <w:rPr>
        <w:rFonts w:ascii="宋体" w:eastAsia="宋体" w:hAnsi="宋体"/>
        <w:noProof/>
        <w:sz w:val="28"/>
        <w:lang w:val="zh-CN"/>
      </w:rPr>
      <w:t>-</w:t>
    </w:r>
    <w:r w:rsidR="001D47BD">
      <w:rPr>
        <w:rFonts w:ascii="宋体" w:eastAsia="宋体" w:hAnsi="宋体"/>
        <w:noProof/>
        <w:sz w:val="28"/>
      </w:rPr>
      <w:t xml:space="preserve"> 1 -</w:t>
    </w:r>
    <w:r w:rsidRPr="00521C0A">
      <w:rPr>
        <w:rFonts w:ascii="宋体" w:eastAsia="宋体" w:hAnsi="宋体"/>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032" w:rsidRDefault="000F5032" w:rsidP="006B6FE6">
      <w:r>
        <w:separator/>
      </w:r>
    </w:p>
  </w:footnote>
  <w:footnote w:type="continuationSeparator" w:id="0">
    <w:p w:rsidR="000F5032" w:rsidRDefault="000F5032" w:rsidP="006B6F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41A9F"/>
    <w:multiLevelType w:val="hybridMultilevel"/>
    <w:tmpl w:val="C5B68F7A"/>
    <w:lvl w:ilvl="0" w:tplc="66486D4E">
      <w:start w:val="1"/>
      <w:numFmt w:val="decimal"/>
      <w:lvlText w:val="%1."/>
      <w:lvlJc w:val="left"/>
      <w:pPr>
        <w:ind w:left="960" w:hanging="360"/>
      </w:pPr>
      <w:rPr>
        <w:rFonts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abstractNum w:abstractNumId="1" w15:restartNumberingAfterBreak="0">
    <w:nsid w:val="239836A1"/>
    <w:multiLevelType w:val="hybridMultilevel"/>
    <w:tmpl w:val="FB3CE0B6"/>
    <w:lvl w:ilvl="0" w:tplc="1D7EABA8">
      <w:start w:val="1"/>
      <w:numFmt w:val="japaneseCounting"/>
      <w:lvlText w:val="（%1）"/>
      <w:lvlJc w:val="left"/>
      <w:pPr>
        <w:ind w:left="1680" w:hanging="1080"/>
      </w:pPr>
      <w:rPr>
        <w:rFonts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abstractNum w:abstractNumId="2" w15:restartNumberingAfterBreak="0">
    <w:nsid w:val="51555E37"/>
    <w:multiLevelType w:val="hybridMultilevel"/>
    <w:tmpl w:val="DFA2C9BA"/>
    <w:lvl w:ilvl="0" w:tplc="E512A300">
      <w:start w:val="1"/>
      <w:numFmt w:val="decimal"/>
      <w:lvlText w:val="%1."/>
      <w:lvlJc w:val="left"/>
      <w:pPr>
        <w:ind w:left="960" w:hanging="360"/>
      </w:pPr>
      <w:rPr>
        <w:rFonts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abstractNum w:abstractNumId="3" w15:restartNumberingAfterBreak="0">
    <w:nsid w:val="725A47F4"/>
    <w:multiLevelType w:val="hybridMultilevel"/>
    <w:tmpl w:val="84A2AF5E"/>
    <w:lvl w:ilvl="0" w:tplc="04F231F8">
      <w:start w:val="1"/>
      <w:numFmt w:val="decimal"/>
      <w:lvlText w:val="%1."/>
      <w:lvlJc w:val="left"/>
      <w:pPr>
        <w:ind w:left="960" w:hanging="360"/>
      </w:pPr>
      <w:rPr>
        <w:rFonts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50"/>
  <w:drawingGridVerticalSpacing w:val="204"/>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16F5"/>
    <w:rsid w:val="00004CE3"/>
    <w:rsid w:val="00011852"/>
    <w:rsid w:val="00015867"/>
    <w:rsid w:val="00016D58"/>
    <w:rsid w:val="00017BDB"/>
    <w:rsid w:val="00021C77"/>
    <w:rsid w:val="0002383C"/>
    <w:rsid w:val="00023A69"/>
    <w:rsid w:val="00023CC5"/>
    <w:rsid w:val="00024457"/>
    <w:rsid w:val="000321F7"/>
    <w:rsid w:val="000367D2"/>
    <w:rsid w:val="00044117"/>
    <w:rsid w:val="00054EA4"/>
    <w:rsid w:val="0006473A"/>
    <w:rsid w:val="000849DE"/>
    <w:rsid w:val="000A0C3C"/>
    <w:rsid w:val="000A5223"/>
    <w:rsid w:val="000A786D"/>
    <w:rsid w:val="000B0895"/>
    <w:rsid w:val="000C195E"/>
    <w:rsid w:val="000C5465"/>
    <w:rsid w:val="000E4270"/>
    <w:rsid w:val="000F2220"/>
    <w:rsid w:val="000F5032"/>
    <w:rsid w:val="000F7248"/>
    <w:rsid w:val="001005FA"/>
    <w:rsid w:val="00105E79"/>
    <w:rsid w:val="00107EEB"/>
    <w:rsid w:val="00122564"/>
    <w:rsid w:val="00122CC3"/>
    <w:rsid w:val="00124053"/>
    <w:rsid w:val="0012528B"/>
    <w:rsid w:val="00130866"/>
    <w:rsid w:val="00131F58"/>
    <w:rsid w:val="00141E16"/>
    <w:rsid w:val="0014798F"/>
    <w:rsid w:val="00152862"/>
    <w:rsid w:val="00152C25"/>
    <w:rsid w:val="001549AE"/>
    <w:rsid w:val="00161CD3"/>
    <w:rsid w:val="0016232B"/>
    <w:rsid w:val="00163F40"/>
    <w:rsid w:val="00166444"/>
    <w:rsid w:val="001673FA"/>
    <w:rsid w:val="00174A8D"/>
    <w:rsid w:val="00176B70"/>
    <w:rsid w:val="00181967"/>
    <w:rsid w:val="00185D82"/>
    <w:rsid w:val="00192EE0"/>
    <w:rsid w:val="00193067"/>
    <w:rsid w:val="00193A7A"/>
    <w:rsid w:val="001A03A8"/>
    <w:rsid w:val="001A23E5"/>
    <w:rsid w:val="001B1502"/>
    <w:rsid w:val="001B5F76"/>
    <w:rsid w:val="001C6EF8"/>
    <w:rsid w:val="001D47BD"/>
    <w:rsid w:val="001D6D59"/>
    <w:rsid w:val="001D7810"/>
    <w:rsid w:val="001E4D92"/>
    <w:rsid w:val="001F33CA"/>
    <w:rsid w:val="0020612A"/>
    <w:rsid w:val="00211DC1"/>
    <w:rsid w:val="00214004"/>
    <w:rsid w:val="00222EC4"/>
    <w:rsid w:val="00224CB6"/>
    <w:rsid w:val="00227D6F"/>
    <w:rsid w:val="00231F6F"/>
    <w:rsid w:val="00233004"/>
    <w:rsid w:val="00234170"/>
    <w:rsid w:val="0023645A"/>
    <w:rsid w:val="002365E5"/>
    <w:rsid w:val="002453FC"/>
    <w:rsid w:val="0025036D"/>
    <w:rsid w:val="002541BF"/>
    <w:rsid w:val="0025514B"/>
    <w:rsid w:val="00255313"/>
    <w:rsid w:val="0025765D"/>
    <w:rsid w:val="00266036"/>
    <w:rsid w:val="0026758A"/>
    <w:rsid w:val="00275558"/>
    <w:rsid w:val="00291B2F"/>
    <w:rsid w:val="00292836"/>
    <w:rsid w:val="00295DF0"/>
    <w:rsid w:val="002A0E8A"/>
    <w:rsid w:val="002A6126"/>
    <w:rsid w:val="002B7EA0"/>
    <w:rsid w:val="002C5597"/>
    <w:rsid w:val="002D22F8"/>
    <w:rsid w:val="002E0F51"/>
    <w:rsid w:val="002F5FAB"/>
    <w:rsid w:val="002F7C3E"/>
    <w:rsid w:val="00301623"/>
    <w:rsid w:val="0030236A"/>
    <w:rsid w:val="00303E5A"/>
    <w:rsid w:val="00304BFF"/>
    <w:rsid w:val="0030591D"/>
    <w:rsid w:val="003116CC"/>
    <w:rsid w:val="00311AC8"/>
    <w:rsid w:val="0031264A"/>
    <w:rsid w:val="00315778"/>
    <w:rsid w:val="00332FCF"/>
    <w:rsid w:val="00333014"/>
    <w:rsid w:val="003340E2"/>
    <w:rsid w:val="00337111"/>
    <w:rsid w:val="003430E9"/>
    <w:rsid w:val="00343F50"/>
    <w:rsid w:val="00350E8F"/>
    <w:rsid w:val="0035148E"/>
    <w:rsid w:val="00362EA2"/>
    <w:rsid w:val="00383593"/>
    <w:rsid w:val="0038791D"/>
    <w:rsid w:val="00392A70"/>
    <w:rsid w:val="00395857"/>
    <w:rsid w:val="00395AA9"/>
    <w:rsid w:val="00397ED4"/>
    <w:rsid w:val="003A46B2"/>
    <w:rsid w:val="003B1DED"/>
    <w:rsid w:val="003B4B71"/>
    <w:rsid w:val="003B6206"/>
    <w:rsid w:val="003D1DED"/>
    <w:rsid w:val="003D2AF4"/>
    <w:rsid w:val="003D2BA1"/>
    <w:rsid w:val="003D4931"/>
    <w:rsid w:val="003F41DF"/>
    <w:rsid w:val="003F50B1"/>
    <w:rsid w:val="003F5955"/>
    <w:rsid w:val="003F61C6"/>
    <w:rsid w:val="00400816"/>
    <w:rsid w:val="00403B43"/>
    <w:rsid w:val="004054B5"/>
    <w:rsid w:val="00420CDE"/>
    <w:rsid w:val="004258C1"/>
    <w:rsid w:val="004270F3"/>
    <w:rsid w:val="004340F4"/>
    <w:rsid w:val="00435C86"/>
    <w:rsid w:val="0043644C"/>
    <w:rsid w:val="00440BDF"/>
    <w:rsid w:val="00443E6E"/>
    <w:rsid w:val="00444A59"/>
    <w:rsid w:val="00445324"/>
    <w:rsid w:val="00450E5A"/>
    <w:rsid w:val="0045343D"/>
    <w:rsid w:val="00456F70"/>
    <w:rsid w:val="0046181F"/>
    <w:rsid w:val="004652FE"/>
    <w:rsid w:val="00465330"/>
    <w:rsid w:val="00465A98"/>
    <w:rsid w:val="00474116"/>
    <w:rsid w:val="00486582"/>
    <w:rsid w:val="00491CF0"/>
    <w:rsid w:val="00492221"/>
    <w:rsid w:val="00492F7C"/>
    <w:rsid w:val="004A26B7"/>
    <w:rsid w:val="004A477A"/>
    <w:rsid w:val="004A47D8"/>
    <w:rsid w:val="004B7B85"/>
    <w:rsid w:val="004C5276"/>
    <w:rsid w:val="004D2B67"/>
    <w:rsid w:val="004E03F8"/>
    <w:rsid w:val="004F1B59"/>
    <w:rsid w:val="004F580F"/>
    <w:rsid w:val="005051FF"/>
    <w:rsid w:val="005146EA"/>
    <w:rsid w:val="005201F0"/>
    <w:rsid w:val="00521C0A"/>
    <w:rsid w:val="005221BB"/>
    <w:rsid w:val="00531A15"/>
    <w:rsid w:val="00532BC1"/>
    <w:rsid w:val="00535C20"/>
    <w:rsid w:val="00537743"/>
    <w:rsid w:val="00544B8C"/>
    <w:rsid w:val="00547223"/>
    <w:rsid w:val="00555E4B"/>
    <w:rsid w:val="00557CD2"/>
    <w:rsid w:val="0056207F"/>
    <w:rsid w:val="00565731"/>
    <w:rsid w:val="00566F09"/>
    <w:rsid w:val="00567A91"/>
    <w:rsid w:val="00571A23"/>
    <w:rsid w:val="005737E2"/>
    <w:rsid w:val="00573BC4"/>
    <w:rsid w:val="00577426"/>
    <w:rsid w:val="005775B4"/>
    <w:rsid w:val="00583EB9"/>
    <w:rsid w:val="005904A8"/>
    <w:rsid w:val="0059273D"/>
    <w:rsid w:val="005A4331"/>
    <w:rsid w:val="005C0A8B"/>
    <w:rsid w:val="005C2AA4"/>
    <w:rsid w:val="005C2CD4"/>
    <w:rsid w:val="005C4BF8"/>
    <w:rsid w:val="005D285E"/>
    <w:rsid w:val="005D7E0E"/>
    <w:rsid w:val="005E0170"/>
    <w:rsid w:val="005E1FD2"/>
    <w:rsid w:val="005E550A"/>
    <w:rsid w:val="005E72D2"/>
    <w:rsid w:val="005F6972"/>
    <w:rsid w:val="006047EF"/>
    <w:rsid w:val="006067DB"/>
    <w:rsid w:val="00607977"/>
    <w:rsid w:val="00610FFF"/>
    <w:rsid w:val="00614398"/>
    <w:rsid w:val="00620A8E"/>
    <w:rsid w:val="006210F9"/>
    <w:rsid w:val="00621AAF"/>
    <w:rsid w:val="00626C6A"/>
    <w:rsid w:val="006408E8"/>
    <w:rsid w:val="00643650"/>
    <w:rsid w:val="00650436"/>
    <w:rsid w:val="006525A9"/>
    <w:rsid w:val="006600FE"/>
    <w:rsid w:val="0066311D"/>
    <w:rsid w:val="006633C2"/>
    <w:rsid w:val="006708A3"/>
    <w:rsid w:val="00670F1F"/>
    <w:rsid w:val="00681C6E"/>
    <w:rsid w:val="00681E7F"/>
    <w:rsid w:val="00687179"/>
    <w:rsid w:val="00687356"/>
    <w:rsid w:val="006916F5"/>
    <w:rsid w:val="0069623F"/>
    <w:rsid w:val="006A2EEA"/>
    <w:rsid w:val="006A4166"/>
    <w:rsid w:val="006B11D5"/>
    <w:rsid w:val="006B3664"/>
    <w:rsid w:val="006B6FE6"/>
    <w:rsid w:val="006C021F"/>
    <w:rsid w:val="006C2A65"/>
    <w:rsid w:val="006C7807"/>
    <w:rsid w:val="006D4592"/>
    <w:rsid w:val="006D537F"/>
    <w:rsid w:val="006D7384"/>
    <w:rsid w:val="006E0873"/>
    <w:rsid w:val="006E2895"/>
    <w:rsid w:val="006E4465"/>
    <w:rsid w:val="006E64CE"/>
    <w:rsid w:val="006E7CFB"/>
    <w:rsid w:val="0070390D"/>
    <w:rsid w:val="007178C5"/>
    <w:rsid w:val="00721CA0"/>
    <w:rsid w:val="00723DD1"/>
    <w:rsid w:val="00723FE0"/>
    <w:rsid w:val="007264C2"/>
    <w:rsid w:val="00730B9E"/>
    <w:rsid w:val="00731550"/>
    <w:rsid w:val="00732429"/>
    <w:rsid w:val="0073429E"/>
    <w:rsid w:val="00740D94"/>
    <w:rsid w:val="00744B82"/>
    <w:rsid w:val="00757357"/>
    <w:rsid w:val="00763255"/>
    <w:rsid w:val="00764502"/>
    <w:rsid w:val="0076669B"/>
    <w:rsid w:val="00774C8A"/>
    <w:rsid w:val="00780A66"/>
    <w:rsid w:val="00781627"/>
    <w:rsid w:val="007817F9"/>
    <w:rsid w:val="00787E83"/>
    <w:rsid w:val="00791E05"/>
    <w:rsid w:val="0079279C"/>
    <w:rsid w:val="007A06CC"/>
    <w:rsid w:val="007A3CE3"/>
    <w:rsid w:val="007A4348"/>
    <w:rsid w:val="007A5DDC"/>
    <w:rsid w:val="007B2944"/>
    <w:rsid w:val="007B63F1"/>
    <w:rsid w:val="007C7994"/>
    <w:rsid w:val="007D2BCB"/>
    <w:rsid w:val="007F1448"/>
    <w:rsid w:val="007F1AA7"/>
    <w:rsid w:val="007F49FD"/>
    <w:rsid w:val="00800B85"/>
    <w:rsid w:val="0080235E"/>
    <w:rsid w:val="00804AC7"/>
    <w:rsid w:val="008061D6"/>
    <w:rsid w:val="00811BAD"/>
    <w:rsid w:val="0081316D"/>
    <w:rsid w:val="00814678"/>
    <w:rsid w:val="00815BA9"/>
    <w:rsid w:val="00817FA0"/>
    <w:rsid w:val="00831836"/>
    <w:rsid w:val="008319C3"/>
    <w:rsid w:val="008416FB"/>
    <w:rsid w:val="00851125"/>
    <w:rsid w:val="008607B3"/>
    <w:rsid w:val="00872D07"/>
    <w:rsid w:val="00873A1E"/>
    <w:rsid w:val="00874D7F"/>
    <w:rsid w:val="00875065"/>
    <w:rsid w:val="00885953"/>
    <w:rsid w:val="008868C4"/>
    <w:rsid w:val="00887E7D"/>
    <w:rsid w:val="008921F4"/>
    <w:rsid w:val="008950E2"/>
    <w:rsid w:val="0089591B"/>
    <w:rsid w:val="008A1EB9"/>
    <w:rsid w:val="008A2F64"/>
    <w:rsid w:val="008A3D9C"/>
    <w:rsid w:val="008A3E07"/>
    <w:rsid w:val="008B0603"/>
    <w:rsid w:val="008B53F7"/>
    <w:rsid w:val="008C12FE"/>
    <w:rsid w:val="008C2A89"/>
    <w:rsid w:val="008C444D"/>
    <w:rsid w:val="008C4B18"/>
    <w:rsid w:val="008D21B5"/>
    <w:rsid w:val="008D2CE4"/>
    <w:rsid w:val="008D45B0"/>
    <w:rsid w:val="008D6948"/>
    <w:rsid w:val="008D763B"/>
    <w:rsid w:val="008E0739"/>
    <w:rsid w:val="008E09D9"/>
    <w:rsid w:val="008E62F8"/>
    <w:rsid w:val="008E6397"/>
    <w:rsid w:val="008F0521"/>
    <w:rsid w:val="008F352C"/>
    <w:rsid w:val="008F496C"/>
    <w:rsid w:val="00902281"/>
    <w:rsid w:val="0090774E"/>
    <w:rsid w:val="00907F08"/>
    <w:rsid w:val="00912D70"/>
    <w:rsid w:val="009254B3"/>
    <w:rsid w:val="00925D73"/>
    <w:rsid w:val="009304AD"/>
    <w:rsid w:val="009365A2"/>
    <w:rsid w:val="00937AA3"/>
    <w:rsid w:val="00945500"/>
    <w:rsid w:val="00945FE8"/>
    <w:rsid w:val="00952A6A"/>
    <w:rsid w:val="00960B98"/>
    <w:rsid w:val="00960F27"/>
    <w:rsid w:val="009610DD"/>
    <w:rsid w:val="009618DD"/>
    <w:rsid w:val="0096594E"/>
    <w:rsid w:val="009676DB"/>
    <w:rsid w:val="00971F53"/>
    <w:rsid w:val="00973BFC"/>
    <w:rsid w:val="009745A1"/>
    <w:rsid w:val="0097589E"/>
    <w:rsid w:val="00983522"/>
    <w:rsid w:val="00984FD8"/>
    <w:rsid w:val="00986E6D"/>
    <w:rsid w:val="009A36E4"/>
    <w:rsid w:val="009B15A8"/>
    <w:rsid w:val="009B69A2"/>
    <w:rsid w:val="009B6AFE"/>
    <w:rsid w:val="009C2968"/>
    <w:rsid w:val="009D32FD"/>
    <w:rsid w:val="009E2ED4"/>
    <w:rsid w:val="009E4185"/>
    <w:rsid w:val="009E54CD"/>
    <w:rsid w:val="009F527B"/>
    <w:rsid w:val="009F7046"/>
    <w:rsid w:val="00A008DB"/>
    <w:rsid w:val="00A01A89"/>
    <w:rsid w:val="00A110ED"/>
    <w:rsid w:val="00A12C31"/>
    <w:rsid w:val="00A20E78"/>
    <w:rsid w:val="00A264D4"/>
    <w:rsid w:val="00A31817"/>
    <w:rsid w:val="00A3191C"/>
    <w:rsid w:val="00A32524"/>
    <w:rsid w:val="00A34EAA"/>
    <w:rsid w:val="00A43111"/>
    <w:rsid w:val="00A45F0B"/>
    <w:rsid w:val="00A52559"/>
    <w:rsid w:val="00A538EC"/>
    <w:rsid w:val="00A53AA2"/>
    <w:rsid w:val="00A55DE8"/>
    <w:rsid w:val="00A57974"/>
    <w:rsid w:val="00A65161"/>
    <w:rsid w:val="00A6615E"/>
    <w:rsid w:val="00A66B2E"/>
    <w:rsid w:val="00A67F9A"/>
    <w:rsid w:val="00A75E9D"/>
    <w:rsid w:val="00A844A3"/>
    <w:rsid w:val="00A86160"/>
    <w:rsid w:val="00A90148"/>
    <w:rsid w:val="00A93687"/>
    <w:rsid w:val="00A9400F"/>
    <w:rsid w:val="00A966F8"/>
    <w:rsid w:val="00AA1845"/>
    <w:rsid w:val="00AA409A"/>
    <w:rsid w:val="00AA736A"/>
    <w:rsid w:val="00AB54B7"/>
    <w:rsid w:val="00AC1877"/>
    <w:rsid w:val="00AC7C3D"/>
    <w:rsid w:val="00AD5408"/>
    <w:rsid w:val="00AD6D93"/>
    <w:rsid w:val="00AF0D4B"/>
    <w:rsid w:val="00B0388E"/>
    <w:rsid w:val="00B11009"/>
    <w:rsid w:val="00B16691"/>
    <w:rsid w:val="00B2178B"/>
    <w:rsid w:val="00B22DB8"/>
    <w:rsid w:val="00B2380A"/>
    <w:rsid w:val="00B3040C"/>
    <w:rsid w:val="00B312F7"/>
    <w:rsid w:val="00B40154"/>
    <w:rsid w:val="00B47503"/>
    <w:rsid w:val="00B523AE"/>
    <w:rsid w:val="00B7402A"/>
    <w:rsid w:val="00B74A83"/>
    <w:rsid w:val="00B76271"/>
    <w:rsid w:val="00B82F9A"/>
    <w:rsid w:val="00B83C0C"/>
    <w:rsid w:val="00B849BD"/>
    <w:rsid w:val="00B94C57"/>
    <w:rsid w:val="00B95223"/>
    <w:rsid w:val="00B95FA3"/>
    <w:rsid w:val="00BA101D"/>
    <w:rsid w:val="00BA4020"/>
    <w:rsid w:val="00BB7C02"/>
    <w:rsid w:val="00BC3D9F"/>
    <w:rsid w:val="00BD6288"/>
    <w:rsid w:val="00BE0693"/>
    <w:rsid w:val="00BE26DD"/>
    <w:rsid w:val="00BE2796"/>
    <w:rsid w:val="00BF337C"/>
    <w:rsid w:val="00BF51CF"/>
    <w:rsid w:val="00C00231"/>
    <w:rsid w:val="00C01136"/>
    <w:rsid w:val="00C1005B"/>
    <w:rsid w:val="00C10C0F"/>
    <w:rsid w:val="00C10D8D"/>
    <w:rsid w:val="00C1610D"/>
    <w:rsid w:val="00C23A3F"/>
    <w:rsid w:val="00C23B8C"/>
    <w:rsid w:val="00C31690"/>
    <w:rsid w:val="00C31B54"/>
    <w:rsid w:val="00C3218A"/>
    <w:rsid w:val="00C3380C"/>
    <w:rsid w:val="00C35DCA"/>
    <w:rsid w:val="00C35F4E"/>
    <w:rsid w:val="00C370AD"/>
    <w:rsid w:val="00C40421"/>
    <w:rsid w:val="00C449D8"/>
    <w:rsid w:val="00C478DB"/>
    <w:rsid w:val="00C52200"/>
    <w:rsid w:val="00C611AF"/>
    <w:rsid w:val="00C629FE"/>
    <w:rsid w:val="00C63D28"/>
    <w:rsid w:val="00C72794"/>
    <w:rsid w:val="00C7376A"/>
    <w:rsid w:val="00C759E9"/>
    <w:rsid w:val="00C837FA"/>
    <w:rsid w:val="00C8786F"/>
    <w:rsid w:val="00C90536"/>
    <w:rsid w:val="00C919A5"/>
    <w:rsid w:val="00C922BD"/>
    <w:rsid w:val="00CA0882"/>
    <w:rsid w:val="00CA625F"/>
    <w:rsid w:val="00CB09BC"/>
    <w:rsid w:val="00CB1835"/>
    <w:rsid w:val="00CB21CD"/>
    <w:rsid w:val="00CB29DA"/>
    <w:rsid w:val="00CB2E96"/>
    <w:rsid w:val="00CB526E"/>
    <w:rsid w:val="00CB7F02"/>
    <w:rsid w:val="00CC102D"/>
    <w:rsid w:val="00CC26BF"/>
    <w:rsid w:val="00CC28BE"/>
    <w:rsid w:val="00CC49D1"/>
    <w:rsid w:val="00CC5CC4"/>
    <w:rsid w:val="00CC6A81"/>
    <w:rsid w:val="00CC7181"/>
    <w:rsid w:val="00CC729F"/>
    <w:rsid w:val="00CD017E"/>
    <w:rsid w:val="00CD7008"/>
    <w:rsid w:val="00CD7393"/>
    <w:rsid w:val="00CD7B74"/>
    <w:rsid w:val="00CD7C6F"/>
    <w:rsid w:val="00CE0A39"/>
    <w:rsid w:val="00CE0AC0"/>
    <w:rsid w:val="00CE1417"/>
    <w:rsid w:val="00CE1CCE"/>
    <w:rsid w:val="00CF14E9"/>
    <w:rsid w:val="00CF4583"/>
    <w:rsid w:val="00CF7345"/>
    <w:rsid w:val="00D02687"/>
    <w:rsid w:val="00D03015"/>
    <w:rsid w:val="00D03383"/>
    <w:rsid w:val="00D11540"/>
    <w:rsid w:val="00D12C19"/>
    <w:rsid w:val="00D14D35"/>
    <w:rsid w:val="00D1564B"/>
    <w:rsid w:val="00D17ADA"/>
    <w:rsid w:val="00D21330"/>
    <w:rsid w:val="00D22ED4"/>
    <w:rsid w:val="00D24A96"/>
    <w:rsid w:val="00D27B56"/>
    <w:rsid w:val="00D302BF"/>
    <w:rsid w:val="00D346FD"/>
    <w:rsid w:val="00D358C1"/>
    <w:rsid w:val="00D440C8"/>
    <w:rsid w:val="00D44B33"/>
    <w:rsid w:val="00D44DCA"/>
    <w:rsid w:val="00D47173"/>
    <w:rsid w:val="00D4765D"/>
    <w:rsid w:val="00D47F38"/>
    <w:rsid w:val="00D47FF8"/>
    <w:rsid w:val="00D62E96"/>
    <w:rsid w:val="00D66DB5"/>
    <w:rsid w:val="00D76239"/>
    <w:rsid w:val="00D76FA6"/>
    <w:rsid w:val="00D87112"/>
    <w:rsid w:val="00D94B97"/>
    <w:rsid w:val="00DA24E6"/>
    <w:rsid w:val="00DA4C90"/>
    <w:rsid w:val="00DA56CA"/>
    <w:rsid w:val="00DA5D56"/>
    <w:rsid w:val="00DB0102"/>
    <w:rsid w:val="00DB2295"/>
    <w:rsid w:val="00DB4AD5"/>
    <w:rsid w:val="00DD29CE"/>
    <w:rsid w:val="00DD3382"/>
    <w:rsid w:val="00DE3274"/>
    <w:rsid w:val="00DE6FDE"/>
    <w:rsid w:val="00DE7345"/>
    <w:rsid w:val="00DF0CAC"/>
    <w:rsid w:val="00DF2916"/>
    <w:rsid w:val="00DF493C"/>
    <w:rsid w:val="00DF59F1"/>
    <w:rsid w:val="00DF5A91"/>
    <w:rsid w:val="00E10A7B"/>
    <w:rsid w:val="00E17E3A"/>
    <w:rsid w:val="00E248DF"/>
    <w:rsid w:val="00E25C89"/>
    <w:rsid w:val="00E31897"/>
    <w:rsid w:val="00E34958"/>
    <w:rsid w:val="00E4129D"/>
    <w:rsid w:val="00E438AF"/>
    <w:rsid w:val="00E44E77"/>
    <w:rsid w:val="00E51E3D"/>
    <w:rsid w:val="00E569B0"/>
    <w:rsid w:val="00E63061"/>
    <w:rsid w:val="00E71436"/>
    <w:rsid w:val="00E74985"/>
    <w:rsid w:val="00E76828"/>
    <w:rsid w:val="00E7753E"/>
    <w:rsid w:val="00E77B5C"/>
    <w:rsid w:val="00E809E2"/>
    <w:rsid w:val="00E83896"/>
    <w:rsid w:val="00E85801"/>
    <w:rsid w:val="00E9138F"/>
    <w:rsid w:val="00E9349C"/>
    <w:rsid w:val="00E945F3"/>
    <w:rsid w:val="00E94A8B"/>
    <w:rsid w:val="00E96459"/>
    <w:rsid w:val="00EA1015"/>
    <w:rsid w:val="00EA178A"/>
    <w:rsid w:val="00EA1EA1"/>
    <w:rsid w:val="00EA67B7"/>
    <w:rsid w:val="00EB74B3"/>
    <w:rsid w:val="00EB79BF"/>
    <w:rsid w:val="00EC1921"/>
    <w:rsid w:val="00EC5210"/>
    <w:rsid w:val="00EC5882"/>
    <w:rsid w:val="00EC77C2"/>
    <w:rsid w:val="00EE2AEB"/>
    <w:rsid w:val="00EE3829"/>
    <w:rsid w:val="00EE3F3A"/>
    <w:rsid w:val="00EE566B"/>
    <w:rsid w:val="00EF5204"/>
    <w:rsid w:val="00F03D57"/>
    <w:rsid w:val="00F112B4"/>
    <w:rsid w:val="00F160BB"/>
    <w:rsid w:val="00F169FB"/>
    <w:rsid w:val="00F23DC0"/>
    <w:rsid w:val="00F266C6"/>
    <w:rsid w:val="00F2710B"/>
    <w:rsid w:val="00F33F41"/>
    <w:rsid w:val="00F34C3F"/>
    <w:rsid w:val="00F34CFA"/>
    <w:rsid w:val="00F43586"/>
    <w:rsid w:val="00F43EBC"/>
    <w:rsid w:val="00F45CB5"/>
    <w:rsid w:val="00F46172"/>
    <w:rsid w:val="00F50B69"/>
    <w:rsid w:val="00F51288"/>
    <w:rsid w:val="00F5356D"/>
    <w:rsid w:val="00F561B0"/>
    <w:rsid w:val="00F56ED0"/>
    <w:rsid w:val="00F60A15"/>
    <w:rsid w:val="00F62F8F"/>
    <w:rsid w:val="00F63726"/>
    <w:rsid w:val="00F64BBB"/>
    <w:rsid w:val="00F64EAC"/>
    <w:rsid w:val="00F6609F"/>
    <w:rsid w:val="00F73654"/>
    <w:rsid w:val="00F81DB1"/>
    <w:rsid w:val="00F827C8"/>
    <w:rsid w:val="00F83CE3"/>
    <w:rsid w:val="00F96DDD"/>
    <w:rsid w:val="00FA1A12"/>
    <w:rsid w:val="00FA4F85"/>
    <w:rsid w:val="00FA5711"/>
    <w:rsid w:val="00FB0EDE"/>
    <w:rsid w:val="00FB641F"/>
    <w:rsid w:val="00FC14E4"/>
    <w:rsid w:val="00FD0655"/>
    <w:rsid w:val="00FD453C"/>
    <w:rsid w:val="00FD5EBD"/>
    <w:rsid w:val="00FE0BC7"/>
    <w:rsid w:val="00FE5973"/>
    <w:rsid w:val="00FE719F"/>
    <w:rsid w:val="00FF1105"/>
    <w:rsid w:val="00FF263A"/>
    <w:rsid w:val="00FF410D"/>
    <w:rsid w:val="00FF4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63ABD9F-3527-4597-84FD-27205493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方正仿宋简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locked="1" w:semiHidden="1" w:uiPriority="0"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61C6"/>
    <w:pPr>
      <w:widowControl w:val="0"/>
      <w:jc w:val="both"/>
    </w:pPr>
    <w:rPr>
      <w:kern w:val="2"/>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B6FE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6B6FE6"/>
    <w:rPr>
      <w:rFonts w:cs="Times New Roman"/>
      <w:sz w:val="18"/>
      <w:szCs w:val="18"/>
    </w:rPr>
  </w:style>
  <w:style w:type="paragraph" w:styleId="a4">
    <w:name w:val="footer"/>
    <w:basedOn w:val="a"/>
    <w:link w:val="Char0"/>
    <w:uiPriority w:val="99"/>
    <w:rsid w:val="006B6FE6"/>
    <w:pPr>
      <w:tabs>
        <w:tab w:val="center" w:pos="4153"/>
        <w:tab w:val="right" w:pos="8306"/>
      </w:tabs>
      <w:snapToGrid w:val="0"/>
      <w:jc w:val="left"/>
    </w:pPr>
    <w:rPr>
      <w:sz w:val="18"/>
      <w:szCs w:val="18"/>
    </w:rPr>
  </w:style>
  <w:style w:type="character" w:customStyle="1" w:styleId="Char0">
    <w:name w:val="页脚 Char"/>
    <w:link w:val="a4"/>
    <w:uiPriority w:val="99"/>
    <w:locked/>
    <w:rsid w:val="006B6FE6"/>
    <w:rPr>
      <w:rFonts w:cs="Times New Roman"/>
      <w:sz w:val="18"/>
      <w:szCs w:val="18"/>
    </w:rPr>
  </w:style>
  <w:style w:type="paragraph" w:styleId="a5">
    <w:name w:val="Balloon Text"/>
    <w:basedOn w:val="a"/>
    <w:link w:val="Char1"/>
    <w:uiPriority w:val="99"/>
    <w:semiHidden/>
    <w:rsid w:val="008A1EB9"/>
    <w:rPr>
      <w:sz w:val="18"/>
      <w:szCs w:val="18"/>
    </w:rPr>
  </w:style>
  <w:style w:type="character" w:customStyle="1" w:styleId="Char1">
    <w:name w:val="批注框文本 Char"/>
    <w:link w:val="a5"/>
    <w:uiPriority w:val="99"/>
    <w:semiHidden/>
    <w:locked/>
    <w:rsid w:val="008A1EB9"/>
    <w:rPr>
      <w:rFonts w:cs="Times New Roman"/>
      <w:sz w:val="18"/>
      <w:szCs w:val="18"/>
    </w:rPr>
  </w:style>
  <w:style w:type="paragraph" w:styleId="a6">
    <w:name w:val="List Paragraph"/>
    <w:basedOn w:val="a"/>
    <w:uiPriority w:val="99"/>
    <w:qFormat/>
    <w:rsid w:val="005C0A8B"/>
    <w:pPr>
      <w:ind w:firstLineChars="200" w:firstLine="420"/>
    </w:pPr>
  </w:style>
  <w:style w:type="character" w:styleId="a7">
    <w:name w:val="Emphasis"/>
    <w:uiPriority w:val="99"/>
    <w:qFormat/>
    <w:rsid w:val="005221BB"/>
    <w:rPr>
      <w:rFonts w:cs="Times New Roman"/>
      <w:i/>
      <w:iCs/>
    </w:rPr>
  </w:style>
  <w:style w:type="paragraph" w:styleId="a8">
    <w:name w:val="Normal Indent"/>
    <w:basedOn w:val="a"/>
    <w:uiPriority w:val="99"/>
    <w:rsid w:val="00521C0A"/>
    <w:pPr>
      <w:spacing w:line="360" w:lineRule="auto"/>
      <w:ind w:firstLineChars="200" w:firstLine="200"/>
    </w:pPr>
    <w:rPr>
      <w:rFonts w:ascii="宋体" w:eastAsia="微软雅黑" w:hAnsi="宋体"/>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33728">
      <w:bodyDiv w:val="1"/>
      <w:marLeft w:val="0"/>
      <w:marRight w:val="0"/>
      <w:marTop w:val="0"/>
      <w:marBottom w:val="0"/>
      <w:divBdr>
        <w:top w:val="none" w:sz="0" w:space="0" w:color="auto"/>
        <w:left w:val="none" w:sz="0" w:space="0" w:color="auto"/>
        <w:bottom w:val="none" w:sz="0" w:space="0" w:color="auto"/>
        <w:right w:val="none" w:sz="0" w:space="0" w:color="auto"/>
      </w:divBdr>
    </w:div>
    <w:div w:id="12307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4723-3FD3-4A97-BD88-3DF3CCA1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4332</TotalTime>
  <Pages>6</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陈建波cjb</cp:lastModifiedBy>
  <cp:revision>794</cp:revision>
  <cp:lastPrinted>2017-06-16T06:23:00Z</cp:lastPrinted>
  <dcterms:created xsi:type="dcterms:W3CDTF">2017-05-06T16:02:00Z</dcterms:created>
  <dcterms:modified xsi:type="dcterms:W3CDTF">2017-06-28T09:14:00Z</dcterms:modified>
</cp:coreProperties>
</file>