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FB6" w:rsidRPr="00BD50D4" w:rsidRDefault="00D42FB6" w:rsidP="00CE6762">
      <w:pPr>
        <w:spacing w:line="600" w:lineRule="exact"/>
        <w:jc w:val="center"/>
        <w:rPr>
          <w:rFonts w:ascii="Times New Roman" w:eastAsia="方正大标宋简体" w:hAnsi="Times New Roman" w:cs="Times New Roman"/>
          <w:sz w:val="32"/>
          <w:szCs w:val="32"/>
        </w:rPr>
      </w:pPr>
      <w:bookmarkStart w:id="0" w:name="_GoBack"/>
      <w:bookmarkEnd w:id="0"/>
    </w:p>
    <w:p w:rsidR="00B90669" w:rsidRPr="00BD50D4" w:rsidRDefault="00892AB2" w:rsidP="00CE6762">
      <w:pPr>
        <w:spacing w:line="600" w:lineRule="exact"/>
        <w:jc w:val="center"/>
        <w:rPr>
          <w:rFonts w:ascii="Times New Roman" w:eastAsia="方正大标宋简体" w:hAnsi="Times New Roman" w:cs="Times New Roman"/>
          <w:sz w:val="44"/>
          <w:szCs w:val="44"/>
        </w:rPr>
      </w:pPr>
      <w:r w:rsidRPr="00BD50D4">
        <w:rPr>
          <w:rFonts w:ascii="Times New Roman" w:eastAsia="方正大标宋简体" w:hAnsi="Times New Roman" w:cs="Times New Roman"/>
          <w:sz w:val="44"/>
          <w:szCs w:val="44"/>
        </w:rPr>
        <w:t>全国中小企业股份转让系统</w:t>
      </w:r>
    </w:p>
    <w:p w:rsidR="00D42FB6" w:rsidRPr="00BD50D4" w:rsidRDefault="00892AB2" w:rsidP="00CE6762">
      <w:pPr>
        <w:spacing w:line="600" w:lineRule="exact"/>
        <w:jc w:val="center"/>
        <w:rPr>
          <w:rFonts w:ascii="Times New Roman" w:eastAsia="方正大标宋简体" w:hAnsi="Times New Roman" w:cs="Times New Roman"/>
          <w:sz w:val="44"/>
          <w:szCs w:val="44"/>
        </w:rPr>
      </w:pPr>
      <w:r w:rsidRPr="00BD50D4">
        <w:rPr>
          <w:rFonts w:ascii="Times New Roman" w:eastAsia="方正大标宋简体" w:hAnsi="Times New Roman" w:cs="Times New Roman"/>
          <w:sz w:val="44"/>
          <w:szCs w:val="44"/>
        </w:rPr>
        <w:t>投资者适当性管理业务指南</w:t>
      </w:r>
    </w:p>
    <w:p w:rsidR="00D42FB6" w:rsidRPr="00BD50D4" w:rsidRDefault="00D42FB6" w:rsidP="00CE6762">
      <w:pPr>
        <w:spacing w:line="600" w:lineRule="exact"/>
        <w:jc w:val="center"/>
        <w:rPr>
          <w:rFonts w:ascii="Times New Roman" w:eastAsia="方正仿宋简体" w:hAnsi="Times New Roman" w:cs="Times New Roman"/>
          <w:sz w:val="32"/>
          <w:szCs w:val="32"/>
        </w:rPr>
      </w:pPr>
    </w:p>
    <w:p w:rsidR="00D42FB6" w:rsidRPr="00BD50D4" w:rsidRDefault="00892AB2" w:rsidP="00CE6762">
      <w:pPr>
        <w:spacing w:line="600" w:lineRule="exact"/>
        <w:ind w:firstLine="600"/>
        <w:rPr>
          <w:rFonts w:ascii="Times New Roman" w:eastAsia="方正仿宋简体" w:hAnsi="Times New Roman" w:cs="Times New Roman"/>
          <w:sz w:val="32"/>
          <w:szCs w:val="32"/>
        </w:rPr>
      </w:pPr>
      <w:r w:rsidRPr="00BD50D4">
        <w:rPr>
          <w:rFonts w:ascii="Times New Roman" w:eastAsia="方正仿宋简体" w:hAnsi="Times New Roman" w:cs="Times New Roman"/>
          <w:sz w:val="32"/>
          <w:szCs w:val="32"/>
        </w:rPr>
        <w:t>为</w:t>
      </w:r>
      <w:r w:rsidR="00652D3E">
        <w:rPr>
          <w:rFonts w:ascii="Times New Roman" w:eastAsia="方正仿宋简体" w:hAnsi="Times New Roman" w:cs="Times New Roman" w:hint="eastAsia"/>
          <w:sz w:val="32"/>
          <w:szCs w:val="32"/>
        </w:rPr>
        <w:t>了</w:t>
      </w:r>
      <w:r w:rsidRPr="00BD50D4">
        <w:rPr>
          <w:rFonts w:ascii="Times New Roman" w:eastAsia="方正仿宋简体" w:hAnsi="Times New Roman" w:cs="Times New Roman"/>
          <w:sz w:val="32"/>
          <w:szCs w:val="32"/>
        </w:rPr>
        <w:t>加强投资者适当性管理，规范</w:t>
      </w:r>
      <w:r w:rsidR="00CB6A01" w:rsidRPr="00BD50D4">
        <w:rPr>
          <w:rFonts w:ascii="Times New Roman" w:eastAsia="方正仿宋简体" w:hAnsi="Times New Roman" w:cs="Times New Roman"/>
          <w:sz w:val="32"/>
          <w:szCs w:val="32"/>
        </w:rPr>
        <w:t>投资者资产认定、合格投资者</w:t>
      </w:r>
      <w:r w:rsidRPr="00BD50D4">
        <w:rPr>
          <w:rFonts w:ascii="Times New Roman" w:eastAsia="方正仿宋简体" w:hAnsi="Times New Roman" w:cs="Times New Roman"/>
          <w:sz w:val="32"/>
          <w:szCs w:val="32"/>
        </w:rPr>
        <w:t>证券账户信息报送标准及流程，根据</w:t>
      </w:r>
      <w:r w:rsidR="00CB6A01" w:rsidRPr="00BD50D4">
        <w:rPr>
          <w:rFonts w:ascii="Times New Roman" w:eastAsia="方正仿宋简体" w:hAnsi="Times New Roman" w:cs="Times New Roman"/>
          <w:sz w:val="32"/>
          <w:szCs w:val="32"/>
        </w:rPr>
        <w:t>《全国中小企业股份转让系统投资者适当性管理办法》</w:t>
      </w:r>
      <w:r w:rsidR="00003E08" w:rsidRPr="00BD50D4">
        <w:rPr>
          <w:rFonts w:ascii="Times New Roman" w:eastAsia="方正仿宋简体" w:hAnsi="Times New Roman" w:cs="Times New Roman"/>
          <w:sz w:val="32"/>
          <w:szCs w:val="32"/>
        </w:rPr>
        <w:t>（以下简称《管理办法》）</w:t>
      </w:r>
      <w:r w:rsidRPr="00BD50D4">
        <w:rPr>
          <w:rFonts w:ascii="Times New Roman" w:eastAsia="方正仿宋简体" w:hAnsi="Times New Roman" w:cs="Times New Roman"/>
          <w:sz w:val="32"/>
          <w:szCs w:val="32"/>
        </w:rPr>
        <w:t>等有关规定，制定本指南。</w:t>
      </w:r>
    </w:p>
    <w:p w:rsidR="00003E08" w:rsidRPr="00BD50D4" w:rsidRDefault="00892AB2" w:rsidP="00CE6762">
      <w:pPr>
        <w:spacing w:line="600" w:lineRule="exact"/>
        <w:ind w:firstLineChars="200" w:firstLine="640"/>
        <w:rPr>
          <w:rFonts w:ascii="Times New Roman" w:eastAsia="黑体" w:hAnsi="Times New Roman" w:cs="Times New Roman"/>
          <w:sz w:val="32"/>
          <w:szCs w:val="32"/>
        </w:rPr>
      </w:pPr>
      <w:r w:rsidRPr="00BD50D4">
        <w:rPr>
          <w:rFonts w:ascii="Times New Roman" w:eastAsia="黑体" w:hAnsi="Times New Roman" w:cs="Times New Roman"/>
          <w:sz w:val="32"/>
          <w:szCs w:val="32"/>
        </w:rPr>
        <w:t>一、</w:t>
      </w:r>
      <w:r w:rsidR="00003E08" w:rsidRPr="00BD50D4">
        <w:rPr>
          <w:rFonts w:ascii="Times New Roman" w:eastAsia="黑体" w:hAnsi="Times New Roman" w:cs="Times New Roman"/>
          <w:sz w:val="32"/>
          <w:szCs w:val="32"/>
        </w:rPr>
        <w:t>投资者适当性</w:t>
      </w:r>
      <w:r w:rsidR="00FE3121">
        <w:rPr>
          <w:rFonts w:ascii="Times New Roman" w:eastAsia="黑体" w:hAnsi="Times New Roman" w:cs="Times New Roman" w:hint="eastAsia"/>
          <w:sz w:val="32"/>
          <w:szCs w:val="32"/>
        </w:rPr>
        <w:t>的</w:t>
      </w:r>
      <w:r w:rsidR="00FE3121">
        <w:rPr>
          <w:rFonts w:ascii="Times New Roman" w:eastAsia="黑体" w:hAnsi="Times New Roman" w:cs="Times New Roman"/>
          <w:sz w:val="32"/>
          <w:szCs w:val="32"/>
        </w:rPr>
        <w:t>认定</w:t>
      </w:r>
    </w:p>
    <w:p w:rsidR="00003E08" w:rsidRPr="00BD50D4" w:rsidRDefault="00003E08" w:rsidP="00CE6762">
      <w:pPr>
        <w:spacing w:line="600" w:lineRule="exact"/>
        <w:ind w:firstLineChars="200" w:firstLine="640"/>
        <w:rPr>
          <w:rFonts w:ascii="Times New Roman" w:eastAsia="方正仿宋简体" w:hAnsi="Times New Roman" w:cs="Times New Roman"/>
          <w:sz w:val="32"/>
          <w:szCs w:val="32"/>
        </w:rPr>
      </w:pPr>
      <w:r w:rsidRPr="00BD50D4">
        <w:rPr>
          <w:rFonts w:ascii="Times New Roman" w:eastAsia="方正仿宋简体" w:hAnsi="Times New Roman" w:cs="Times New Roman"/>
          <w:sz w:val="32"/>
          <w:szCs w:val="32"/>
        </w:rPr>
        <w:t>主办券商为投资者开通</w:t>
      </w:r>
      <w:r w:rsidR="001645C9" w:rsidRPr="00BD50D4">
        <w:rPr>
          <w:rFonts w:ascii="Times New Roman" w:eastAsia="方正仿宋简体" w:hAnsi="Times New Roman" w:cs="Times New Roman"/>
          <w:sz w:val="32"/>
          <w:szCs w:val="32"/>
        </w:rPr>
        <w:t>全国中小企业股份转让系统（以下简称</w:t>
      </w:r>
      <w:r w:rsidRPr="00BD50D4">
        <w:rPr>
          <w:rFonts w:ascii="Times New Roman" w:eastAsia="方正仿宋简体" w:hAnsi="Times New Roman" w:cs="Times New Roman"/>
          <w:sz w:val="32"/>
          <w:szCs w:val="32"/>
        </w:rPr>
        <w:t>全国股转系统</w:t>
      </w:r>
      <w:r w:rsidR="001645C9" w:rsidRPr="00BD50D4">
        <w:rPr>
          <w:rFonts w:ascii="Times New Roman" w:eastAsia="方正仿宋简体" w:hAnsi="Times New Roman" w:cs="Times New Roman"/>
          <w:sz w:val="32"/>
          <w:szCs w:val="32"/>
        </w:rPr>
        <w:t>）</w:t>
      </w:r>
      <w:r w:rsidRPr="00BD50D4">
        <w:rPr>
          <w:rFonts w:ascii="Times New Roman" w:eastAsia="方正仿宋简体" w:hAnsi="Times New Roman" w:cs="Times New Roman"/>
          <w:sz w:val="32"/>
          <w:szCs w:val="32"/>
        </w:rPr>
        <w:t>证券交易权限，应当严格按照《管理办法》的相关规定，对投资者是否符合投资者适当性条件进行核查，具体认定标准如下：</w:t>
      </w:r>
    </w:p>
    <w:p w:rsidR="00003E08" w:rsidRPr="00BD50D4" w:rsidRDefault="00003E08" w:rsidP="00CE6762">
      <w:pPr>
        <w:spacing w:line="600" w:lineRule="exact"/>
        <w:ind w:firstLineChars="200" w:firstLine="640"/>
        <w:rPr>
          <w:rFonts w:ascii="Times New Roman" w:eastAsia="楷体" w:hAnsi="Times New Roman" w:cs="Times New Roman"/>
          <w:sz w:val="32"/>
          <w:szCs w:val="32"/>
        </w:rPr>
      </w:pPr>
      <w:r w:rsidRPr="00BD50D4">
        <w:rPr>
          <w:rFonts w:ascii="Times New Roman" w:eastAsia="楷体" w:hAnsi="Times New Roman" w:cs="Times New Roman"/>
          <w:sz w:val="32"/>
          <w:szCs w:val="32"/>
        </w:rPr>
        <w:t>（一）自然人投资者证券账户和资金账户的认定</w:t>
      </w:r>
    </w:p>
    <w:p w:rsidR="00003E08" w:rsidRDefault="00003E08" w:rsidP="00CE6762">
      <w:pPr>
        <w:spacing w:line="600" w:lineRule="exact"/>
        <w:ind w:firstLineChars="200" w:firstLine="640"/>
        <w:rPr>
          <w:rFonts w:ascii="Times New Roman" w:eastAsia="方正仿宋简体" w:hAnsi="Times New Roman" w:cs="Times New Roman"/>
          <w:sz w:val="32"/>
          <w:szCs w:val="32"/>
        </w:rPr>
      </w:pPr>
      <w:r w:rsidRPr="00BD50D4">
        <w:rPr>
          <w:rFonts w:ascii="Times New Roman" w:eastAsia="方正仿宋简体" w:hAnsi="Times New Roman" w:cs="Times New Roman"/>
          <w:sz w:val="32"/>
          <w:szCs w:val="32"/>
        </w:rPr>
        <w:t>可用于计算自然人投资者资产的证券账户</w:t>
      </w:r>
      <w:r w:rsidR="009F23DC">
        <w:rPr>
          <w:rFonts w:ascii="Times New Roman" w:eastAsia="方正仿宋简体" w:hAnsi="Times New Roman" w:cs="Times New Roman" w:hint="eastAsia"/>
          <w:sz w:val="32"/>
          <w:szCs w:val="32"/>
        </w:rPr>
        <w:t>和</w:t>
      </w:r>
      <w:r w:rsidR="009F23DC">
        <w:rPr>
          <w:rFonts w:ascii="Times New Roman" w:eastAsia="方正仿宋简体" w:hAnsi="Times New Roman" w:cs="Times New Roman"/>
          <w:sz w:val="32"/>
          <w:szCs w:val="32"/>
        </w:rPr>
        <w:t>资金账户</w:t>
      </w:r>
      <w:r w:rsidRPr="00BD50D4">
        <w:rPr>
          <w:rFonts w:ascii="Times New Roman" w:eastAsia="方正仿宋简体" w:hAnsi="Times New Roman" w:cs="Times New Roman"/>
          <w:sz w:val="32"/>
          <w:szCs w:val="32"/>
        </w:rPr>
        <w:t>，</w:t>
      </w:r>
      <w:r w:rsidR="009F23DC">
        <w:rPr>
          <w:rFonts w:ascii="Times New Roman" w:eastAsia="方正仿宋简体" w:hAnsi="Times New Roman" w:cs="Times New Roman" w:hint="eastAsia"/>
          <w:sz w:val="32"/>
          <w:szCs w:val="32"/>
        </w:rPr>
        <w:t>包括</w:t>
      </w:r>
      <w:r w:rsidRPr="00BD50D4">
        <w:rPr>
          <w:rFonts w:ascii="Times New Roman" w:eastAsia="方正仿宋简体" w:hAnsi="Times New Roman" w:cs="Times New Roman"/>
          <w:sz w:val="32"/>
          <w:szCs w:val="32"/>
        </w:rPr>
        <w:t>中国证券</w:t>
      </w:r>
      <w:r w:rsidR="00B83425">
        <w:rPr>
          <w:rFonts w:ascii="Times New Roman" w:eastAsia="方正仿宋简体" w:hAnsi="Times New Roman" w:cs="Times New Roman" w:hint="eastAsia"/>
          <w:sz w:val="32"/>
          <w:szCs w:val="32"/>
        </w:rPr>
        <w:t>登记</w:t>
      </w:r>
      <w:r w:rsidRPr="00BD50D4">
        <w:rPr>
          <w:rFonts w:ascii="Times New Roman" w:eastAsia="方正仿宋简体" w:hAnsi="Times New Roman" w:cs="Times New Roman"/>
          <w:sz w:val="32"/>
          <w:szCs w:val="32"/>
        </w:rPr>
        <w:t>结算有限责任公司（以下简称中国结算）开立的证券账户</w:t>
      </w:r>
      <w:r w:rsidR="00BC6C39" w:rsidRPr="00BD50D4">
        <w:rPr>
          <w:rFonts w:ascii="Times New Roman" w:eastAsia="方正仿宋简体" w:hAnsi="Times New Roman" w:cs="Times New Roman"/>
          <w:sz w:val="32"/>
          <w:szCs w:val="32"/>
        </w:rPr>
        <w:t>、</w:t>
      </w:r>
      <w:r w:rsidRPr="00BD50D4">
        <w:rPr>
          <w:rFonts w:ascii="Times New Roman" w:eastAsia="方正仿宋简体" w:hAnsi="Times New Roman" w:cs="Times New Roman"/>
          <w:sz w:val="32"/>
          <w:szCs w:val="32"/>
        </w:rPr>
        <w:t>投资者在主办券商开立的账户</w:t>
      </w:r>
      <w:r w:rsidR="009F23DC">
        <w:rPr>
          <w:rFonts w:ascii="Times New Roman" w:eastAsia="方正仿宋简体" w:hAnsi="Times New Roman" w:cs="Times New Roman" w:hint="eastAsia"/>
          <w:sz w:val="32"/>
          <w:szCs w:val="32"/>
        </w:rPr>
        <w:t>、</w:t>
      </w:r>
      <w:r w:rsidR="009F23DC" w:rsidRPr="00BD50D4">
        <w:rPr>
          <w:rFonts w:ascii="Times New Roman" w:eastAsia="方正仿宋简体" w:hAnsi="Times New Roman" w:cs="Times New Roman"/>
          <w:sz w:val="32"/>
          <w:szCs w:val="32"/>
        </w:rPr>
        <w:t>投资者交易结算资金账户、股票期权保证金账户</w:t>
      </w:r>
      <w:r w:rsidR="00BC6C39" w:rsidRPr="00BD50D4">
        <w:rPr>
          <w:rFonts w:ascii="Times New Roman" w:eastAsia="方正仿宋简体" w:hAnsi="Times New Roman" w:cs="Times New Roman"/>
          <w:sz w:val="32"/>
          <w:szCs w:val="32"/>
        </w:rPr>
        <w:t>以及</w:t>
      </w:r>
      <w:r w:rsidR="00565C14" w:rsidRPr="00BD50D4">
        <w:rPr>
          <w:rFonts w:ascii="Times New Roman" w:eastAsia="方正仿宋简体" w:hAnsi="Times New Roman" w:cs="Times New Roman"/>
          <w:sz w:val="32"/>
          <w:szCs w:val="32"/>
        </w:rPr>
        <w:t>全国中小企业股份转让系统有限责任公司（以下简称全国股转公司）</w:t>
      </w:r>
      <w:r w:rsidR="00554A94">
        <w:rPr>
          <w:rFonts w:ascii="Times New Roman" w:eastAsia="方正仿宋简体" w:hAnsi="Times New Roman" w:cs="Times New Roman"/>
          <w:sz w:val="32"/>
          <w:szCs w:val="32"/>
        </w:rPr>
        <w:t>认</w:t>
      </w:r>
      <w:r w:rsidR="00554A94">
        <w:rPr>
          <w:rFonts w:ascii="Times New Roman" w:eastAsia="方正仿宋简体" w:hAnsi="Times New Roman" w:cs="Times New Roman" w:hint="eastAsia"/>
          <w:sz w:val="32"/>
          <w:szCs w:val="32"/>
        </w:rPr>
        <w:t>可</w:t>
      </w:r>
      <w:r w:rsidR="00BC6C39" w:rsidRPr="00BD50D4">
        <w:rPr>
          <w:rFonts w:ascii="Times New Roman" w:eastAsia="方正仿宋简体" w:hAnsi="Times New Roman" w:cs="Times New Roman"/>
          <w:sz w:val="32"/>
          <w:szCs w:val="32"/>
        </w:rPr>
        <w:t>的其他账户</w:t>
      </w:r>
      <w:r w:rsidRPr="00BD50D4">
        <w:rPr>
          <w:rFonts w:ascii="Times New Roman" w:eastAsia="方正仿宋简体" w:hAnsi="Times New Roman" w:cs="Times New Roman"/>
          <w:sz w:val="32"/>
          <w:szCs w:val="32"/>
        </w:rPr>
        <w:t>。</w:t>
      </w:r>
      <w:r w:rsidR="009F23DC">
        <w:rPr>
          <w:rFonts w:ascii="Times New Roman" w:eastAsia="方正仿宋简体" w:hAnsi="Times New Roman" w:cs="Times New Roman" w:hint="eastAsia"/>
          <w:sz w:val="32"/>
          <w:szCs w:val="32"/>
        </w:rPr>
        <w:t>其中</w:t>
      </w:r>
      <w:r w:rsidR="009F23DC">
        <w:rPr>
          <w:rFonts w:ascii="Times New Roman" w:eastAsia="方正仿宋简体" w:hAnsi="Times New Roman" w:cs="Times New Roman"/>
          <w:sz w:val="32"/>
          <w:szCs w:val="32"/>
        </w:rPr>
        <w:t>，</w:t>
      </w:r>
      <w:r w:rsidRPr="00BD50D4">
        <w:rPr>
          <w:rFonts w:ascii="Times New Roman" w:eastAsia="方正仿宋简体" w:hAnsi="Times New Roman" w:cs="Times New Roman"/>
          <w:sz w:val="32"/>
          <w:szCs w:val="32"/>
        </w:rPr>
        <w:t>中国结算开立的账户包括</w:t>
      </w:r>
      <w:r w:rsidRPr="00BD50D4">
        <w:rPr>
          <w:rFonts w:ascii="Times New Roman" w:eastAsia="方正仿宋简体" w:hAnsi="Times New Roman" w:cs="Times New Roman"/>
          <w:sz w:val="32"/>
          <w:szCs w:val="32"/>
        </w:rPr>
        <w:t>A</w:t>
      </w:r>
      <w:r w:rsidRPr="00BD50D4">
        <w:rPr>
          <w:rFonts w:ascii="Times New Roman" w:eastAsia="方正仿宋简体" w:hAnsi="Times New Roman" w:cs="Times New Roman"/>
          <w:sz w:val="32"/>
          <w:szCs w:val="32"/>
        </w:rPr>
        <w:t>股账户、</w:t>
      </w:r>
      <w:r w:rsidRPr="00BD50D4">
        <w:rPr>
          <w:rFonts w:ascii="Times New Roman" w:eastAsia="方正仿宋简体" w:hAnsi="Times New Roman" w:cs="Times New Roman"/>
          <w:sz w:val="32"/>
          <w:szCs w:val="32"/>
        </w:rPr>
        <w:t>B</w:t>
      </w:r>
      <w:r w:rsidRPr="00BD50D4">
        <w:rPr>
          <w:rFonts w:ascii="Times New Roman" w:eastAsia="方正仿宋简体" w:hAnsi="Times New Roman" w:cs="Times New Roman"/>
          <w:sz w:val="32"/>
          <w:szCs w:val="32"/>
        </w:rPr>
        <w:t>股账户、封闭式基金账户、开放式基金账户、衍生品合约账户及中国结算根据业务需要设立的其他证券账户。</w:t>
      </w:r>
    </w:p>
    <w:p w:rsidR="000F512E" w:rsidRPr="000F512E" w:rsidRDefault="000F512E" w:rsidP="00CE6762">
      <w:pPr>
        <w:spacing w:line="600" w:lineRule="exact"/>
        <w:ind w:firstLineChars="200" w:firstLine="640"/>
        <w:rPr>
          <w:rFonts w:ascii="Times New Roman" w:eastAsia="楷体" w:hAnsi="Times New Roman" w:cs="Times New Roman"/>
          <w:sz w:val="32"/>
          <w:szCs w:val="32"/>
        </w:rPr>
      </w:pPr>
      <w:r w:rsidRPr="000F512E">
        <w:rPr>
          <w:rFonts w:ascii="Times New Roman" w:eastAsia="楷体" w:hAnsi="Times New Roman" w:cs="Times New Roman" w:hint="eastAsia"/>
          <w:sz w:val="32"/>
          <w:szCs w:val="32"/>
        </w:rPr>
        <w:t>（二</w:t>
      </w:r>
      <w:r w:rsidRPr="000F512E">
        <w:rPr>
          <w:rFonts w:ascii="Times New Roman" w:eastAsia="楷体" w:hAnsi="Times New Roman" w:cs="Times New Roman"/>
          <w:sz w:val="32"/>
          <w:szCs w:val="32"/>
        </w:rPr>
        <w:t>）</w:t>
      </w:r>
      <w:r>
        <w:rPr>
          <w:rFonts w:ascii="Times New Roman" w:eastAsia="楷体" w:hAnsi="Times New Roman" w:cs="Times New Roman" w:hint="eastAsia"/>
          <w:sz w:val="32"/>
          <w:szCs w:val="32"/>
        </w:rPr>
        <w:t>可计入自然人投资者资产的</w:t>
      </w:r>
      <w:r w:rsidR="006F6137">
        <w:rPr>
          <w:rFonts w:ascii="Times New Roman" w:eastAsia="楷体" w:hAnsi="Times New Roman" w:cs="Times New Roman" w:hint="eastAsia"/>
          <w:sz w:val="32"/>
          <w:szCs w:val="32"/>
        </w:rPr>
        <w:t>资产</w:t>
      </w:r>
      <w:r w:rsidRPr="00BD50D4">
        <w:rPr>
          <w:rFonts w:ascii="Times New Roman" w:eastAsia="楷体" w:hAnsi="Times New Roman" w:cs="Times New Roman"/>
          <w:sz w:val="32"/>
          <w:szCs w:val="32"/>
        </w:rPr>
        <w:t>认定</w:t>
      </w:r>
    </w:p>
    <w:p w:rsidR="000F512E" w:rsidRPr="000F512E" w:rsidRDefault="000F512E"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lastRenderedPageBreak/>
        <w:t>可计入自然人投资者资产的资产</w:t>
      </w:r>
      <w:r w:rsidRPr="00C42AE0">
        <w:rPr>
          <w:rFonts w:ascii="Times New Roman" w:eastAsia="方正仿宋简体" w:hAnsi="Times New Roman" w:cs="Times New Roman" w:hint="eastAsia"/>
          <w:sz w:val="32"/>
          <w:szCs w:val="32"/>
        </w:rPr>
        <w:t>包括</w:t>
      </w:r>
      <w:r w:rsidRPr="00C42AE0">
        <w:rPr>
          <w:rFonts w:ascii="Times New Roman" w:eastAsia="方正仿宋简体" w:hAnsi="Times New Roman" w:cs="Times New Roman"/>
          <w:sz w:val="32"/>
          <w:szCs w:val="32"/>
        </w:rPr>
        <w:t>在中国结算开立的账户内的</w:t>
      </w:r>
      <w:r w:rsidRPr="00C42AE0">
        <w:rPr>
          <w:rFonts w:ascii="Times New Roman" w:eastAsia="方正仿宋简体" w:hAnsi="Times New Roman" w:cs="Times New Roman" w:hint="eastAsia"/>
          <w:sz w:val="32"/>
          <w:szCs w:val="32"/>
        </w:rPr>
        <w:t>证券</w:t>
      </w:r>
      <w:r w:rsidRPr="00C42AE0">
        <w:rPr>
          <w:rFonts w:ascii="Times New Roman" w:eastAsia="方正仿宋简体" w:hAnsi="Times New Roman" w:cs="Times New Roman"/>
          <w:sz w:val="32"/>
          <w:szCs w:val="32"/>
        </w:rPr>
        <w:t>资产、在主办券商开立的账户内</w:t>
      </w:r>
      <w:r w:rsidRPr="00C42AE0">
        <w:rPr>
          <w:rFonts w:ascii="Times New Roman" w:eastAsia="方正仿宋简体" w:hAnsi="Times New Roman" w:cs="Times New Roman" w:hint="eastAsia"/>
          <w:sz w:val="32"/>
          <w:szCs w:val="32"/>
        </w:rPr>
        <w:t>的资产</w:t>
      </w:r>
      <w:r w:rsidRPr="00C42AE0">
        <w:rPr>
          <w:rFonts w:ascii="Times New Roman" w:eastAsia="方正仿宋简体" w:hAnsi="Times New Roman" w:cs="Times New Roman"/>
          <w:sz w:val="32"/>
          <w:szCs w:val="32"/>
        </w:rPr>
        <w:t>、投资者资金账户</w:t>
      </w:r>
      <w:r w:rsidRPr="00C42AE0">
        <w:rPr>
          <w:rFonts w:ascii="Times New Roman" w:eastAsia="方正仿宋简体" w:hAnsi="Times New Roman" w:cs="Times New Roman" w:hint="eastAsia"/>
          <w:sz w:val="32"/>
          <w:szCs w:val="32"/>
        </w:rPr>
        <w:t>内</w:t>
      </w:r>
      <w:r w:rsidRPr="00C42AE0">
        <w:rPr>
          <w:rFonts w:ascii="Times New Roman" w:eastAsia="方正仿宋简体" w:hAnsi="Times New Roman" w:cs="Times New Roman"/>
          <w:sz w:val="32"/>
          <w:szCs w:val="32"/>
        </w:rPr>
        <w:t>的资金</w:t>
      </w:r>
      <w:r w:rsidR="00164C5B" w:rsidRPr="00C42AE0">
        <w:rPr>
          <w:rFonts w:ascii="Times New Roman" w:eastAsia="方正仿宋简体" w:hAnsi="Times New Roman" w:cs="Times New Roman" w:hint="eastAsia"/>
          <w:sz w:val="32"/>
          <w:szCs w:val="32"/>
        </w:rPr>
        <w:t>，</w:t>
      </w:r>
      <w:r w:rsidR="00164C5B" w:rsidRPr="00C42AE0">
        <w:rPr>
          <w:rFonts w:ascii="Times New Roman" w:eastAsia="方正仿宋简体" w:hAnsi="Times New Roman" w:cs="Times New Roman"/>
          <w:sz w:val="32"/>
          <w:szCs w:val="32"/>
        </w:rPr>
        <w:t>以</w:t>
      </w:r>
      <w:r w:rsidR="00AE4C9C">
        <w:rPr>
          <w:rFonts w:ascii="Times New Roman" w:eastAsia="方正仿宋简体" w:hAnsi="Times New Roman" w:cs="Times New Roman"/>
          <w:sz w:val="32"/>
          <w:szCs w:val="32"/>
        </w:rPr>
        <w:t>及全国股转公司</w:t>
      </w:r>
      <w:r w:rsidR="00AE4C9C">
        <w:rPr>
          <w:rFonts w:ascii="Times New Roman" w:eastAsia="方正仿宋简体" w:hAnsi="Times New Roman" w:cs="Times New Roman" w:hint="eastAsia"/>
          <w:sz w:val="32"/>
          <w:szCs w:val="32"/>
        </w:rPr>
        <w:t>认可</w:t>
      </w:r>
      <w:r w:rsidRPr="00C42AE0">
        <w:rPr>
          <w:rFonts w:ascii="Times New Roman" w:eastAsia="方正仿宋简体" w:hAnsi="Times New Roman" w:cs="Times New Roman"/>
          <w:sz w:val="32"/>
          <w:szCs w:val="32"/>
        </w:rPr>
        <w:t>的其他资产。</w:t>
      </w:r>
    </w:p>
    <w:p w:rsidR="001645C9" w:rsidRPr="00BD50D4" w:rsidRDefault="000F512E" w:rsidP="001C1775">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sz w:val="32"/>
          <w:szCs w:val="32"/>
        </w:rPr>
        <w:t>1</w:t>
      </w:r>
      <w:r w:rsidR="001645C9" w:rsidRPr="00BD50D4">
        <w:rPr>
          <w:rFonts w:ascii="Times New Roman" w:eastAsia="方正仿宋简体" w:hAnsi="Times New Roman" w:cs="Times New Roman"/>
          <w:sz w:val="32"/>
          <w:szCs w:val="32"/>
        </w:rPr>
        <w:t>.</w:t>
      </w:r>
      <w:r w:rsidR="001645C9" w:rsidRPr="00BD50D4">
        <w:rPr>
          <w:rFonts w:ascii="Times New Roman" w:eastAsia="方正仿宋简体" w:hAnsi="Times New Roman" w:cs="Times New Roman"/>
          <w:sz w:val="32"/>
          <w:szCs w:val="32"/>
        </w:rPr>
        <w:t>中国结算开立的证券账户内，可计入自然人投资者资产的资产包括：股票（包括</w:t>
      </w:r>
      <w:r w:rsidR="001C1775" w:rsidRPr="00BD50D4">
        <w:rPr>
          <w:rFonts w:ascii="Times New Roman" w:eastAsia="方正仿宋简体" w:hAnsi="Times New Roman" w:cs="Times New Roman"/>
          <w:sz w:val="32"/>
          <w:szCs w:val="32"/>
        </w:rPr>
        <w:t>全国股</w:t>
      </w:r>
      <w:proofErr w:type="gramStart"/>
      <w:r w:rsidR="001C1775" w:rsidRPr="00BD50D4">
        <w:rPr>
          <w:rFonts w:ascii="Times New Roman" w:eastAsia="方正仿宋简体" w:hAnsi="Times New Roman" w:cs="Times New Roman"/>
          <w:sz w:val="32"/>
          <w:szCs w:val="32"/>
        </w:rPr>
        <w:t>转系统</w:t>
      </w:r>
      <w:proofErr w:type="gramEnd"/>
      <w:r w:rsidR="001C1775" w:rsidRPr="00BD50D4">
        <w:rPr>
          <w:rFonts w:ascii="Times New Roman" w:eastAsia="方正仿宋简体" w:hAnsi="Times New Roman" w:cs="Times New Roman"/>
          <w:sz w:val="32"/>
          <w:szCs w:val="32"/>
        </w:rPr>
        <w:t>挂牌股票</w:t>
      </w:r>
      <w:r w:rsidR="001C1775">
        <w:rPr>
          <w:rFonts w:ascii="Times New Roman" w:eastAsia="方正仿宋简体" w:hAnsi="Times New Roman" w:cs="Times New Roman" w:hint="eastAsia"/>
          <w:sz w:val="32"/>
          <w:szCs w:val="32"/>
        </w:rPr>
        <w:t>、</w:t>
      </w:r>
      <w:r w:rsidR="001645C9" w:rsidRPr="00BD50D4">
        <w:rPr>
          <w:rFonts w:ascii="Times New Roman" w:eastAsia="方正仿宋简体" w:hAnsi="Times New Roman" w:cs="Times New Roman"/>
          <w:sz w:val="32"/>
          <w:szCs w:val="32"/>
        </w:rPr>
        <w:t>A</w:t>
      </w:r>
      <w:r w:rsidR="001645C9" w:rsidRPr="00BD50D4">
        <w:rPr>
          <w:rFonts w:ascii="Times New Roman" w:eastAsia="方正仿宋简体" w:hAnsi="Times New Roman" w:cs="Times New Roman"/>
          <w:sz w:val="32"/>
          <w:szCs w:val="32"/>
        </w:rPr>
        <w:t>股、</w:t>
      </w:r>
      <w:r w:rsidR="001645C9" w:rsidRPr="00BD50D4">
        <w:rPr>
          <w:rFonts w:ascii="Times New Roman" w:eastAsia="方正仿宋简体" w:hAnsi="Times New Roman" w:cs="Times New Roman"/>
          <w:sz w:val="32"/>
          <w:szCs w:val="32"/>
        </w:rPr>
        <w:t>B</w:t>
      </w:r>
      <w:r w:rsidR="00BD2A80">
        <w:rPr>
          <w:rFonts w:ascii="Times New Roman" w:eastAsia="方正仿宋简体" w:hAnsi="Times New Roman" w:cs="Times New Roman"/>
          <w:sz w:val="32"/>
          <w:szCs w:val="32"/>
        </w:rPr>
        <w:t>股、优先股</w:t>
      </w:r>
      <w:r w:rsidR="00BD2A80">
        <w:rPr>
          <w:rFonts w:ascii="Times New Roman" w:eastAsia="方正仿宋简体" w:hAnsi="Times New Roman" w:cs="Times New Roman" w:hint="eastAsia"/>
          <w:sz w:val="32"/>
          <w:szCs w:val="32"/>
        </w:rPr>
        <w:t>和</w:t>
      </w:r>
      <w:r w:rsidR="001C1775">
        <w:rPr>
          <w:rFonts w:ascii="Times New Roman" w:eastAsia="方正仿宋简体" w:hAnsi="Times New Roman" w:cs="Times New Roman"/>
          <w:sz w:val="32"/>
          <w:szCs w:val="32"/>
        </w:rPr>
        <w:t>通过港股通买入的港股</w:t>
      </w:r>
      <w:r w:rsidR="001645C9" w:rsidRPr="00BD50D4">
        <w:rPr>
          <w:rFonts w:ascii="Times New Roman" w:eastAsia="方正仿宋简体" w:hAnsi="Times New Roman" w:cs="Times New Roman"/>
          <w:sz w:val="32"/>
          <w:szCs w:val="32"/>
        </w:rPr>
        <w:t>）、公</w:t>
      </w:r>
      <w:proofErr w:type="gramStart"/>
      <w:r w:rsidR="001645C9" w:rsidRPr="00BD50D4">
        <w:rPr>
          <w:rFonts w:ascii="Times New Roman" w:eastAsia="方正仿宋简体" w:hAnsi="Times New Roman" w:cs="Times New Roman"/>
          <w:sz w:val="32"/>
          <w:szCs w:val="32"/>
        </w:rPr>
        <w:t>募基金</w:t>
      </w:r>
      <w:proofErr w:type="gramEnd"/>
      <w:r w:rsidR="001645C9" w:rsidRPr="00BD50D4">
        <w:rPr>
          <w:rFonts w:ascii="Times New Roman" w:eastAsia="方正仿宋简体" w:hAnsi="Times New Roman" w:cs="Times New Roman"/>
          <w:sz w:val="32"/>
          <w:szCs w:val="32"/>
        </w:rPr>
        <w:t>份额、债券、资产支持证券、资产管理计划份额、股票期权合约（其中权利仓合约按照结算价计增资产，义务仓合约按照结算</w:t>
      </w:r>
      <w:proofErr w:type="gramStart"/>
      <w:r w:rsidR="001645C9" w:rsidRPr="00BD50D4">
        <w:rPr>
          <w:rFonts w:ascii="Times New Roman" w:eastAsia="方正仿宋简体" w:hAnsi="Times New Roman" w:cs="Times New Roman"/>
          <w:sz w:val="32"/>
          <w:szCs w:val="32"/>
        </w:rPr>
        <w:t>价计减资产</w:t>
      </w:r>
      <w:proofErr w:type="gramEnd"/>
      <w:r w:rsidR="001645C9" w:rsidRPr="00BD50D4">
        <w:rPr>
          <w:rFonts w:ascii="Times New Roman" w:eastAsia="方正仿宋简体" w:hAnsi="Times New Roman" w:cs="Times New Roman"/>
          <w:sz w:val="32"/>
          <w:szCs w:val="32"/>
        </w:rPr>
        <w:t>）、全国股转公司认</w:t>
      </w:r>
      <w:r w:rsidR="00554A94">
        <w:rPr>
          <w:rFonts w:ascii="Times New Roman" w:eastAsia="方正仿宋简体" w:hAnsi="Times New Roman" w:cs="Times New Roman" w:hint="eastAsia"/>
          <w:sz w:val="32"/>
          <w:szCs w:val="32"/>
        </w:rPr>
        <w:t>可</w:t>
      </w:r>
      <w:r w:rsidR="001645C9" w:rsidRPr="00BD50D4">
        <w:rPr>
          <w:rFonts w:ascii="Times New Roman" w:eastAsia="方正仿宋简体" w:hAnsi="Times New Roman" w:cs="Times New Roman"/>
          <w:sz w:val="32"/>
          <w:szCs w:val="32"/>
        </w:rPr>
        <w:t>的其他证券资产。</w:t>
      </w:r>
    </w:p>
    <w:p w:rsidR="001645C9" w:rsidRPr="00BD50D4" w:rsidRDefault="000F512E" w:rsidP="00CE6762">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sz w:val="32"/>
          <w:szCs w:val="32"/>
        </w:rPr>
        <w:t>2</w:t>
      </w:r>
      <w:r w:rsidR="001645C9" w:rsidRPr="00BD50D4">
        <w:rPr>
          <w:rFonts w:ascii="Times New Roman" w:eastAsia="方正仿宋简体" w:hAnsi="Times New Roman" w:cs="Times New Roman"/>
          <w:sz w:val="32"/>
          <w:szCs w:val="32"/>
        </w:rPr>
        <w:t>.</w:t>
      </w:r>
      <w:r w:rsidR="001645C9" w:rsidRPr="00BD50D4">
        <w:rPr>
          <w:rFonts w:ascii="Times New Roman" w:eastAsia="方正仿宋简体" w:hAnsi="Times New Roman" w:cs="Times New Roman"/>
          <w:sz w:val="32"/>
          <w:szCs w:val="32"/>
        </w:rPr>
        <w:t>在主</w:t>
      </w:r>
      <w:r w:rsidR="00B34741" w:rsidRPr="00BD50D4">
        <w:rPr>
          <w:rFonts w:ascii="Times New Roman" w:eastAsia="方正仿宋简体" w:hAnsi="Times New Roman" w:cs="Times New Roman"/>
          <w:sz w:val="32"/>
          <w:szCs w:val="32"/>
        </w:rPr>
        <w:t>办</w:t>
      </w:r>
      <w:r w:rsidR="001645C9" w:rsidRPr="00BD50D4">
        <w:rPr>
          <w:rFonts w:ascii="Times New Roman" w:eastAsia="方正仿宋简体" w:hAnsi="Times New Roman" w:cs="Times New Roman"/>
          <w:sz w:val="32"/>
          <w:szCs w:val="32"/>
        </w:rPr>
        <w:t>券商开立的账户内，可计入自然人投资者资产的资产包括：公</w:t>
      </w:r>
      <w:proofErr w:type="gramStart"/>
      <w:r w:rsidR="001645C9" w:rsidRPr="00BD50D4">
        <w:rPr>
          <w:rFonts w:ascii="Times New Roman" w:eastAsia="方正仿宋简体" w:hAnsi="Times New Roman" w:cs="Times New Roman"/>
          <w:sz w:val="32"/>
          <w:szCs w:val="32"/>
        </w:rPr>
        <w:t>募基金</w:t>
      </w:r>
      <w:proofErr w:type="gramEnd"/>
      <w:r w:rsidR="001645C9" w:rsidRPr="00BD50D4">
        <w:rPr>
          <w:rFonts w:ascii="Times New Roman" w:eastAsia="方正仿宋简体" w:hAnsi="Times New Roman" w:cs="Times New Roman"/>
          <w:sz w:val="32"/>
          <w:szCs w:val="32"/>
        </w:rPr>
        <w:t>份额、私募基金份额、银行理财产品、贵金属资产等。</w:t>
      </w:r>
    </w:p>
    <w:p w:rsidR="001645C9" w:rsidRPr="00BD50D4" w:rsidRDefault="000F512E" w:rsidP="00CE6762">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sz w:val="32"/>
          <w:szCs w:val="32"/>
        </w:rPr>
        <w:t>3</w:t>
      </w:r>
      <w:r w:rsidR="001645C9" w:rsidRPr="00BD50D4">
        <w:rPr>
          <w:rFonts w:ascii="Times New Roman" w:eastAsia="方正仿宋简体" w:hAnsi="Times New Roman" w:cs="Times New Roman"/>
          <w:sz w:val="32"/>
          <w:szCs w:val="32"/>
        </w:rPr>
        <w:t>.</w:t>
      </w:r>
      <w:r w:rsidR="001645C9" w:rsidRPr="00BD50D4">
        <w:rPr>
          <w:rFonts w:ascii="Times New Roman" w:eastAsia="方正仿宋简体" w:hAnsi="Times New Roman" w:cs="Times New Roman"/>
          <w:sz w:val="32"/>
          <w:szCs w:val="32"/>
        </w:rPr>
        <w:t>资金账户内，可计入自然人投资者资产的资产包括：投资者交易结算资金账户内的交易结算资金、股票期权保证金账户内的交易结算资金（包括义务仓对应的保证金）、全国股转公司认</w:t>
      </w:r>
      <w:r w:rsidR="008F0D4A">
        <w:rPr>
          <w:rFonts w:ascii="Times New Roman" w:eastAsia="方正仿宋简体" w:hAnsi="Times New Roman" w:cs="Times New Roman" w:hint="eastAsia"/>
          <w:sz w:val="32"/>
          <w:szCs w:val="32"/>
        </w:rPr>
        <w:t>可</w:t>
      </w:r>
      <w:r w:rsidR="001645C9" w:rsidRPr="00BD50D4">
        <w:rPr>
          <w:rFonts w:ascii="Times New Roman" w:eastAsia="方正仿宋简体" w:hAnsi="Times New Roman" w:cs="Times New Roman"/>
          <w:sz w:val="32"/>
          <w:szCs w:val="32"/>
        </w:rPr>
        <w:t>的其他资金资产。</w:t>
      </w:r>
    </w:p>
    <w:p w:rsidR="001645C9" w:rsidRPr="00C42AE0" w:rsidRDefault="00164C5B" w:rsidP="00CE6762">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sz w:val="32"/>
          <w:szCs w:val="32"/>
        </w:rPr>
        <w:t>4</w:t>
      </w:r>
      <w:r w:rsidR="001645C9" w:rsidRPr="00BD50D4">
        <w:rPr>
          <w:rFonts w:ascii="Times New Roman" w:eastAsia="方正仿宋简体" w:hAnsi="Times New Roman" w:cs="Times New Roman"/>
          <w:sz w:val="32"/>
          <w:szCs w:val="32"/>
        </w:rPr>
        <w:t>.</w:t>
      </w:r>
      <w:r w:rsidR="001645C9" w:rsidRPr="00BD50D4">
        <w:rPr>
          <w:rFonts w:ascii="Times New Roman" w:eastAsia="方正仿宋简体" w:hAnsi="Times New Roman" w:cs="Times New Roman"/>
          <w:sz w:val="32"/>
          <w:szCs w:val="32"/>
        </w:rPr>
        <w:t>计算自然人投资者各类融资类业务相关资产时，应按照净资产计算，不包括融入的证券和资金。投资者应当遵守证券账户实名制要求，不得出借自己的证券账户，不得借用</w:t>
      </w:r>
      <w:r w:rsidR="001645C9" w:rsidRPr="00C42AE0">
        <w:rPr>
          <w:rFonts w:ascii="Times New Roman" w:eastAsia="方正仿宋简体" w:hAnsi="Times New Roman" w:cs="Times New Roman"/>
          <w:sz w:val="32"/>
          <w:szCs w:val="32"/>
        </w:rPr>
        <w:t>他人的证券账户。</w:t>
      </w:r>
    </w:p>
    <w:p w:rsidR="008F0D4A" w:rsidRPr="00C42AE0" w:rsidRDefault="00164C5B" w:rsidP="00954AAF">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hint="eastAsia"/>
          <w:sz w:val="32"/>
          <w:szCs w:val="32"/>
        </w:rPr>
        <w:t>5</w:t>
      </w:r>
      <w:r w:rsidR="00D42F22" w:rsidRPr="00C42AE0">
        <w:rPr>
          <w:rFonts w:ascii="Times New Roman" w:eastAsia="方正仿宋简体" w:hAnsi="Times New Roman" w:cs="Times New Roman" w:hint="eastAsia"/>
          <w:sz w:val="32"/>
          <w:szCs w:val="32"/>
        </w:rPr>
        <w:t>.</w:t>
      </w:r>
      <w:r w:rsidR="00D42F22" w:rsidRPr="00C42AE0">
        <w:rPr>
          <w:rFonts w:ascii="Times New Roman" w:eastAsia="方正仿宋简体" w:hAnsi="Times New Roman" w:cs="Times New Roman" w:hint="eastAsia"/>
          <w:sz w:val="32"/>
          <w:szCs w:val="32"/>
        </w:rPr>
        <w:t>核查投资者是否满足相关资产标准时，对于投资者在中国结算开立但托管在其他券商处的证券账户内的资产，可</w:t>
      </w:r>
      <w:r w:rsidR="00CA1D43" w:rsidRPr="00C42AE0">
        <w:rPr>
          <w:rFonts w:ascii="Times New Roman" w:eastAsia="方正仿宋简体" w:hAnsi="Times New Roman" w:cs="Times New Roman" w:hint="eastAsia"/>
          <w:sz w:val="32"/>
          <w:szCs w:val="32"/>
        </w:rPr>
        <w:t>以</w:t>
      </w:r>
      <w:r w:rsidR="00D42F22" w:rsidRPr="00C42AE0">
        <w:rPr>
          <w:rFonts w:ascii="Times New Roman" w:eastAsia="方正仿宋简体" w:hAnsi="Times New Roman" w:cs="Times New Roman" w:hint="eastAsia"/>
          <w:sz w:val="32"/>
          <w:szCs w:val="32"/>
        </w:rPr>
        <w:t>使用中国结算出具的投资者证券持有情况电子凭证并通</w:t>
      </w:r>
      <w:r w:rsidR="00D42F22" w:rsidRPr="00C42AE0">
        <w:rPr>
          <w:rFonts w:ascii="Times New Roman" w:eastAsia="方正仿宋简体" w:hAnsi="Times New Roman" w:cs="Times New Roman" w:hint="eastAsia"/>
          <w:sz w:val="32"/>
          <w:szCs w:val="32"/>
        </w:rPr>
        <w:lastRenderedPageBreak/>
        <w:t>过中国结算电子凭证校验平台进行确认。</w:t>
      </w:r>
    </w:p>
    <w:p w:rsidR="001645C9" w:rsidRPr="00C42AE0" w:rsidRDefault="001645C9" w:rsidP="001645C9">
      <w:pPr>
        <w:spacing w:line="600" w:lineRule="exact"/>
        <w:ind w:firstLineChars="200" w:firstLine="640"/>
        <w:rPr>
          <w:rFonts w:ascii="Times New Roman" w:eastAsia="楷体" w:hAnsi="Times New Roman" w:cs="Times New Roman"/>
          <w:sz w:val="32"/>
          <w:szCs w:val="32"/>
        </w:rPr>
      </w:pPr>
      <w:r w:rsidRPr="00C42AE0">
        <w:rPr>
          <w:rFonts w:ascii="Times New Roman" w:eastAsia="楷体" w:hAnsi="Times New Roman" w:cs="Times New Roman"/>
          <w:sz w:val="32"/>
          <w:szCs w:val="32"/>
        </w:rPr>
        <w:t>（</w:t>
      </w:r>
      <w:r w:rsidR="003B2000" w:rsidRPr="00C42AE0">
        <w:rPr>
          <w:rFonts w:ascii="Times New Roman" w:eastAsia="楷体" w:hAnsi="Times New Roman" w:cs="Times New Roman" w:hint="eastAsia"/>
          <w:sz w:val="32"/>
          <w:szCs w:val="32"/>
        </w:rPr>
        <w:t>三</w:t>
      </w:r>
      <w:r w:rsidRPr="00C42AE0">
        <w:rPr>
          <w:rFonts w:ascii="Times New Roman" w:eastAsia="楷体" w:hAnsi="Times New Roman" w:cs="Times New Roman"/>
          <w:sz w:val="32"/>
          <w:szCs w:val="32"/>
        </w:rPr>
        <w:t>）参与证券交易经验的认定</w:t>
      </w:r>
    </w:p>
    <w:p w:rsidR="001645C9" w:rsidRPr="00C42AE0" w:rsidRDefault="001645C9" w:rsidP="00DE568C">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自然人投资者参与</w:t>
      </w:r>
      <w:r w:rsidR="00E36DD4" w:rsidRPr="00C42AE0">
        <w:rPr>
          <w:rFonts w:ascii="Times New Roman" w:eastAsia="方正仿宋简体" w:hAnsi="Times New Roman" w:cs="Times New Roman"/>
          <w:sz w:val="32"/>
          <w:szCs w:val="32"/>
        </w:rPr>
        <w:t>全国股</w:t>
      </w:r>
      <w:proofErr w:type="gramStart"/>
      <w:r w:rsidR="00E36DD4" w:rsidRPr="00C42AE0">
        <w:rPr>
          <w:rFonts w:ascii="Times New Roman" w:eastAsia="方正仿宋简体" w:hAnsi="Times New Roman" w:cs="Times New Roman"/>
          <w:sz w:val="32"/>
          <w:szCs w:val="32"/>
        </w:rPr>
        <w:t>转系统</w:t>
      </w:r>
      <w:proofErr w:type="gramEnd"/>
      <w:r w:rsidR="00E36DD4" w:rsidRPr="00C42AE0">
        <w:rPr>
          <w:rFonts w:ascii="Times New Roman" w:eastAsia="方正仿宋简体" w:hAnsi="Times New Roman" w:cs="Times New Roman"/>
          <w:sz w:val="32"/>
          <w:szCs w:val="32"/>
        </w:rPr>
        <w:t>挂牌股票</w:t>
      </w:r>
      <w:r w:rsidR="00E36DD4">
        <w:rPr>
          <w:rFonts w:ascii="Times New Roman" w:eastAsia="方正仿宋简体" w:hAnsi="Times New Roman" w:cs="Times New Roman" w:hint="eastAsia"/>
          <w:sz w:val="32"/>
          <w:szCs w:val="32"/>
        </w:rPr>
        <w:t>、</w:t>
      </w:r>
      <w:r w:rsidRPr="00C42AE0">
        <w:rPr>
          <w:rFonts w:ascii="Times New Roman" w:eastAsia="方正仿宋简体" w:hAnsi="Times New Roman" w:cs="Times New Roman"/>
          <w:sz w:val="32"/>
          <w:szCs w:val="32"/>
        </w:rPr>
        <w:t>A</w:t>
      </w:r>
      <w:r w:rsidRPr="00C42AE0">
        <w:rPr>
          <w:rFonts w:ascii="Times New Roman" w:eastAsia="方正仿宋简体" w:hAnsi="Times New Roman" w:cs="Times New Roman"/>
          <w:sz w:val="32"/>
          <w:szCs w:val="32"/>
        </w:rPr>
        <w:t>股、</w:t>
      </w:r>
      <w:r w:rsidRPr="00C42AE0">
        <w:rPr>
          <w:rFonts w:ascii="Times New Roman" w:eastAsia="方正仿宋简体" w:hAnsi="Times New Roman" w:cs="Times New Roman"/>
          <w:sz w:val="32"/>
          <w:szCs w:val="32"/>
        </w:rPr>
        <w:t>B</w:t>
      </w:r>
      <w:r w:rsidR="00E36DD4">
        <w:rPr>
          <w:rFonts w:ascii="Times New Roman" w:eastAsia="方正仿宋简体" w:hAnsi="Times New Roman" w:cs="Times New Roman"/>
          <w:sz w:val="32"/>
          <w:szCs w:val="32"/>
        </w:rPr>
        <w:t>股</w:t>
      </w:r>
      <w:r w:rsidRPr="00C42AE0">
        <w:rPr>
          <w:rFonts w:ascii="Times New Roman" w:eastAsia="方正仿宋简体" w:hAnsi="Times New Roman" w:cs="Times New Roman"/>
          <w:sz w:val="32"/>
          <w:szCs w:val="32"/>
        </w:rPr>
        <w:t>交易的，均可计入其参与证券交易的时间。相关交易经历自自然人投资者本人一码通账户下任</w:t>
      </w:r>
      <w:proofErr w:type="gramStart"/>
      <w:r w:rsidRPr="00C42AE0">
        <w:rPr>
          <w:rFonts w:ascii="Times New Roman" w:eastAsia="方正仿宋简体" w:hAnsi="Times New Roman" w:cs="Times New Roman"/>
          <w:sz w:val="32"/>
          <w:szCs w:val="32"/>
        </w:rPr>
        <w:t>一</w:t>
      </w:r>
      <w:proofErr w:type="gramEnd"/>
      <w:r w:rsidRPr="00C42AE0">
        <w:rPr>
          <w:rFonts w:ascii="Times New Roman" w:eastAsia="方正仿宋简体" w:hAnsi="Times New Roman" w:cs="Times New Roman"/>
          <w:sz w:val="32"/>
          <w:szCs w:val="32"/>
        </w:rPr>
        <w:t>证券账户在上海证券交易所、深圳证券交易所及全国股转系统发生首次交易起算。首次交易日期可通过主办券商向中国结算查询。</w:t>
      </w:r>
    </w:p>
    <w:p w:rsidR="00A93D08" w:rsidRPr="00C42AE0" w:rsidRDefault="00A93D08" w:rsidP="00DE568C">
      <w:pPr>
        <w:spacing w:line="600" w:lineRule="exact"/>
        <w:ind w:firstLineChars="200" w:firstLine="640"/>
        <w:rPr>
          <w:rFonts w:ascii="Times New Roman" w:eastAsia="楷体" w:hAnsi="Times New Roman" w:cs="Times New Roman"/>
          <w:sz w:val="32"/>
          <w:szCs w:val="32"/>
        </w:rPr>
      </w:pPr>
      <w:r w:rsidRPr="00C42AE0">
        <w:rPr>
          <w:rFonts w:ascii="Times New Roman" w:eastAsia="楷体" w:hAnsi="Times New Roman" w:cs="Times New Roman" w:hint="eastAsia"/>
          <w:sz w:val="32"/>
          <w:szCs w:val="32"/>
        </w:rPr>
        <w:t>（</w:t>
      </w:r>
      <w:r w:rsidR="003B2000" w:rsidRPr="00C42AE0">
        <w:rPr>
          <w:rFonts w:ascii="Times New Roman" w:eastAsia="楷体" w:hAnsi="Times New Roman" w:cs="Times New Roman" w:hint="eastAsia"/>
          <w:sz w:val="32"/>
          <w:szCs w:val="32"/>
        </w:rPr>
        <w:t>四</w:t>
      </w:r>
      <w:r w:rsidRPr="00C42AE0">
        <w:rPr>
          <w:rFonts w:ascii="Times New Roman" w:eastAsia="楷体" w:hAnsi="Times New Roman" w:cs="Times New Roman"/>
          <w:sz w:val="32"/>
          <w:szCs w:val="32"/>
        </w:rPr>
        <w:t>）</w:t>
      </w:r>
      <w:r w:rsidR="00814AFD" w:rsidRPr="00C42AE0">
        <w:rPr>
          <w:rFonts w:ascii="Times New Roman" w:eastAsia="楷体" w:hAnsi="Times New Roman" w:cs="Times New Roman" w:hint="eastAsia"/>
          <w:sz w:val="32"/>
          <w:szCs w:val="32"/>
        </w:rPr>
        <w:t>适当性</w:t>
      </w:r>
      <w:r w:rsidR="00102266" w:rsidRPr="00C42AE0">
        <w:rPr>
          <w:rFonts w:ascii="Times New Roman" w:eastAsia="楷体" w:hAnsi="Times New Roman" w:cs="Times New Roman"/>
          <w:sz w:val="32"/>
          <w:szCs w:val="32"/>
        </w:rPr>
        <w:t>评估</w:t>
      </w:r>
      <w:r w:rsidRPr="00C42AE0">
        <w:rPr>
          <w:rFonts w:ascii="Times New Roman" w:eastAsia="楷体" w:hAnsi="Times New Roman" w:cs="Times New Roman" w:hint="eastAsia"/>
          <w:sz w:val="32"/>
          <w:szCs w:val="32"/>
        </w:rPr>
        <w:t>及</w:t>
      </w:r>
      <w:r w:rsidR="00CA1D43" w:rsidRPr="00C42AE0">
        <w:rPr>
          <w:rFonts w:ascii="Times New Roman" w:eastAsia="楷体" w:hAnsi="Times New Roman" w:cs="Times New Roman" w:hint="eastAsia"/>
          <w:sz w:val="32"/>
          <w:szCs w:val="32"/>
        </w:rPr>
        <w:t>风险</w:t>
      </w:r>
      <w:r w:rsidR="00CA1D43" w:rsidRPr="00C42AE0">
        <w:rPr>
          <w:rFonts w:ascii="Times New Roman" w:eastAsia="楷体" w:hAnsi="Times New Roman" w:cs="Times New Roman"/>
          <w:sz w:val="32"/>
          <w:szCs w:val="32"/>
        </w:rPr>
        <w:t>揭示</w:t>
      </w:r>
    </w:p>
    <w:p w:rsidR="00A93D08" w:rsidRPr="00C42AE0" w:rsidRDefault="00A93D08" w:rsidP="003008F9">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主办券商</w:t>
      </w:r>
      <w:r w:rsidR="003008F9" w:rsidRPr="00C42AE0">
        <w:rPr>
          <w:rFonts w:ascii="Times New Roman" w:eastAsia="方正仿宋简体" w:hAnsi="Times New Roman" w:cs="Times New Roman" w:hint="eastAsia"/>
          <w:sz w:val="32"/>
          <w:szCs w:val="32"/>
        </w:rPr>
        <w:t>应</w:t>
      </w:r>
      <w:r w:rsidR="003008F9" w:rsidRPr="00C42AE0">
        <w:rPr>
          <w:rFonts w:ascii="Times New Roman" w:eastAsia="方正仿宋简体" w:hAnsi="Times New Roman" w:cs="Times New Roman"/>
          <w:sz w:val="32"/>
          <w:szCs w:val="32"/>
        </w:rPr>
        <w:t>当做好投资者适当性综合评估和</w:t>
      </w:r>
      <w:r w:rsidR="003008F9" w:rsidRPr="00C42AE0">
        <w:rPr>
          <w:rFonts w:ascii="Times New Roman" w:eastAsia="方正仿宋简体" w:hAnsi="Times New Roman" w:cs="Times New Roman" w:hint="eastAsia"/>
          <w:sz w:val="32"/>
          <w:szCs w:val="32"/>
        </w:rPr>
        <w:t>风险揭示</w:t>
      </w:r>
      <w:r w:rsidR="003008F9" w:rsidRPr="00C42AE0">
        <w:rPr>
          <w:rFonts w:ascii="Times New Roman" w:eastAsia="方正仿宋简体" w:hAnsi="Times New Roman" w:cs="Times New Roman"/>
          <w:sz w:val="32"/>
          <w:szCs w:val="32"/>
        </w:rPr>
        <w:t>，</w:t>
      </w:r>
      <w:r w:rsidR="00814AFD" w:rsidRPr="00C42AE0">
        <w:rPr>
          <w:rFonts w:ascii="Times New Roman" w:eastAsia="方正仿宋简体" w:hAnsi="Times New Roman" w:cs="Times New Roman" w:hint="eastAsia"/>
          <w:sz w:val="32"/>
          <w:szCs w:val="32"/>
        </w:rPr>
        <w:t>在评估自然人</w:t>
      </w:r>
      <w:r w:rsidR="003008F9" w:rsidRPr="00C42AE0">
        <w:rPr>
          <w:rFonts w:ascii="Times New Roman" w:eastAsia="方正仿宋简体" w:hAnsi="Times New Roman" w:cs="Times New Roman"/>
          <w:sz w:val="32"/>
          <w:szCs w:val="32"/>
        </w:rPr>
        <w:t>投资者</w:t>
      </w:r>
      <w:r w:rsidR="003008F9" w:rsidRPr="00C42AE0">
        <w:rPr>
          <w:rFonts w:ascii="Times New Roman" w:eastAsia="方正仿宋简体" w:hAnsi="Times New Roman" w:cs="Times New Roman" w:hint="eastAsia"/>
          <w:sz w:val="32"/>
          <w:szCs w:val="32"/>
        </w:rPr>
        <w:t>对新三板股票</w:t>
      </w:r>
      <w:r w:rsidR="003008F9" w:rsidRPr="00C42AE0">
        <w:rPr>
          <w:rFonts w:ascii="Times New Roman" w:eastAsia="方正仿宋简体" w:hAnsi="Times New Roman" w:cs="Times New Roman"/>
          <w:sz w:val="32"/>
          <w:szCs w:val="32"/>
        </w:rPr>
        <w:t>交易</w:t>
      </w:r>
      <w:r w:rsidR="003008F9" w:rsidRPr="00C42AE0">
        <w:rPr>
          <w:rFonts w:ascii="Times New Roman" w:eastAsia="方正仿宋简体" w:hAnsi="Times New Roman" w:cs="Times New Roman" w:hint="eastAsia"/>
          <w:sz w:val="32"/>
          <w:szCs w:val="32"/>
        </w:rPr>
        <w:t>规则</w:t>
      </w:r>
      <w:r w:rsidR="003008F9" w:rsidRPr="00C42AE0">
        <w:rPr>
          <w:rFonts w:ascii="Times New Roman" w:eastAsia="方正仿宋简体" w:hAnsi="Times New Roman" w:cs="Times New Roman"/>
          <w:sz w:val="32"/>
          <w:szCs w:val="32"/>
        </w:rPr>
        <w:t>及风险</w:t>
      </w:r>
      <w:r w:rsidR="003008F9" w:rsidRPr="00C42AE0">
        <w:rPr>
          <w:rFonts w:ascii="Times New Roman" w:eastAsia="方正仿宋简体" w:hAnsi="Times New Roman" w:cs="Times New Roman" w:hint="eastAsia"/>
          <w:sz w:val="32"/>
          <w:szCs w:val="32"/>
        </w:rPr>
        <w:t>的</w:t>
      </w:r>
      <w:r w:rsidR="003008F9" w:rsidRPr="00C42AE0">
        <w:rPr>
          <w:rFonts w:ascii="Times New Roman" w:eastAsia="方正仿宋简体" w:hAnsi="Times New Roman" w:cs="Times New Roman"/>
          <w:sz w:val="32"/>
          <w:szCs w:val="32"/>
        </w:rPr>
        <w:t>了解</w:t>
      </w:r>
      <w:r w:rsidR="003008F9" w:rsidRPr="00C42AE0">
        <w:rPr>
          <w:rFonts w:ascii="Times New Roman" w:eastAsia="方正仿宋简体" w:hAnsi="Times New Roman" w:cs="Times New Roman" w:hint="eastAsia"/>
          <w:sz w:val="32"/>
          <w:szCs w:val="32"/>
        </w:rPr>
        <w:t>情况时</w:t>
      </w:r>
      <w:r w:rsidR="003008F9" w:rsidRPr="00C42AE0">
        <w:rPr>
          <w:rFonts w:ascii="Times New Roman" w:eastAsia="方正仿宋简体" w:hAnsi="Times New Roman" w:cs="Times New Roman"/>
          <w:sz w:val="32"/>
          <w:szCs w:val="32"/>
        </w:rPr>
        <w:t>，可以</w:t>
      </w:r>
      <w:r w:rsidR="003008F9" w:rsidRPr="00C42AE0">
        <w:rPr>
          <w:rFonts w:ascii="Times New Roman" w:eastAsia="方正仿宋简体" w:hAnsi="Times New Roman" w:cs="Times New Roman" w:hint="eastAsia"/>
          <w:sz w:val="32"/>
          <w:szCs w:val="32"/>
        </w:rPr>
        <w:t>通过</w:t>
      </w:r>
      <w:r w:rsidR="003008F9" w:rsidRPr="00C42AE0">
        <w:rPr>
          <w:rFonts w:ascii="Times New Roman" w:eastAsia="方正仿宋简体" w:hAnsi="Times New Roman" w:cs="Times New Roman"/>
          <w:sz w:val="32"/>
          <w:szCs w:val="32"/>
        </w:rPr>
        <w:t>知识</w:t>
      </w:r>
      <w:r w:rsidR="003008F9" w:rsidRPr="00C42AE0">
        <w:rPr>
          <w:rFonts w:ascii="Times New Roman" w:eastAsia="方正仿宋简体" w:hAnsi="Times New Roman" w:cs="Times New Roman" w:hint="eastAsia"/>
          <w:sz w:val="32"/>
          <w:szCs w:val="32"/>
        </w:rPr>
        <w:t>测评</w:t>
      </w:r>
      <w:r w:rsidR="003008F9" w:rsidRPr="00C42AE0">
        <w:rPr>
          <w:rFonts w:ascii="Times New Roman" w:eastAsia="方正仿宋简体" w:hAnsi="Times New Roman" w:cs="Times New Roman"/>
          <w:sz w:val="32"/>
          <w:szCs w:val="32"/>
        </w:rPr>
        <w:t>等</w:t>
      </w:r>
      <w:r w:rsidR="003008F9" w:rsidRPr="00C42AE0">
        <w:rPr>
          <w:rFonts w:ascii="Times New Roman" w:eastAsia="方正仿宋简体" w:hAnsi="Times New Roman" w:cs="Times New Roman" w:hint="eastAsia"/>
          <w:sz w:val="32"/>
          <w:szCs w:val="32"/>
        </w:rPr>
        <w:t>形式进行。</w:t>
      </w:r>
      <w:r w:rsidRPr="00C42AE0">
        <w:rPr>
          <w:rFonts w:ascii="Times New Roman" w:eastAsia="方正仿宋简体" w:hAnsi="Times New Roman" w:cs="Times New Roman" w:hint="eastAsia"/>
          <w:sz w:val="32"/>
          <w:szCs w:val="32"/>
        </w:rPr>
        <w:t>通过</w:t>
      </w:r>
      <w:r w:rsidRPr="00C42AE0">
        <w:rPr>
          <w:rFonts w:ascii="Times New Roman" w:eastAsia="方正仿宋简体" w:hAnsi="Times New Roman" w:cs="Times New Roman"/>
          <w:sz w:val="32"/>
          <w:szCs w:val="32"/>
        </w:rPr>
        <w:t>网上方式为投资者开通交易权限</w:t>
      </w:r>
      <w:r w:rsidRPr="00C42AE0">
        <w:rPr>
          <w:rFonts w:ascii="Times New Roman" w:eastAsia="方正仿宋简体" w:hAnsi="Times New Roman" w:cs="Times New Roman" w:hint="eastAsia"/>
          <w:sz w:val="32"/>
          <w:szCs w:val="32"/>
        </w:rPr>
        <w:t>的</w:t>
      </w:r>
      <w:r w:rsidRPr="00C42AE0">
        <w:rPr>
          <w:rFonts w:ascii="Times New Roman" w:eastAsia="方正仿宋简体" w:hAnsi="Times New Roman" w:cs="Times New Roman"/>
          <w:sz w:val="32"/>
          <w:szCs w:val="32"/>
        </w:rPr>
        <w:t>，应</w:t>
      </w:r>
      <w:r w:rsidRPr="00C42AE0">
        <w:rPr>
          <w:rFonts w:ascii="Times New Roman" w:eastAsia="方正仿宋简体" w:hAnsi="Times New Roman" w:cs="Times New Roman" w:hint="eastAsia"/>
          <w:sz w:val="32"/>
          <w:szCs w:val="32"/>
        </w:rPr>
        <w:t>当</w:t>
      </w:r>
      <w:r w:rsidRPr="00C42AE0">
        <w:rPr>
          <w:rFonts w:ascii="Times New Roman" w:eastAsia="方正仿宋简体" w:hAnsi="Times New Roman" w:cs="Times New Roman"/>
          <w:sz w:val="32"/>
          <w:szCs w:val="32"/>
        </w:rPr>
        <w:t>核实投资者身份</w:t>
      </w:r>
      <w:r w:rsidRPr="00C42AE0">
        <w:rPr>
          <w:rFonts w:ascii="Times New Roman" w:eastAsia="方正仿宋简体" w:hAnsi="Times New Roman" w:cs="Times New Roman" w:hint="eastAsia"/>
          <w:sz w:val="32"/>
          <w:szCs w:val="32"/>
        </w:rPr>
        <w:t>，确认</w:t>
      </w:r>
      <w:r w:rsidRPr="00C42AE0">
        <w:rPr>
          <w:rFonts w:ascii="Times New Roman" w:eastAsia="方正仿宋简体" w:hAnsi="Times New Roman" w:cs="Times New Roman"/>
          <w:sz w:val="32"/>
          <w:szCs w:val="32"/>
        </w:rPr>
        <w:t>投资者</w:t>
      </w:r>
      <w:r w:rsidR="00601F8B" w:rsidRPr="00C42AE0">
        <w:rPr>
          <w:rFonts w:ascii="Times New Roman" w:eastAsia="方正仿宋简体" w:hAnsi="Times New Roman" w:cs="Times New Roman" w:hint="eastAsia"/>
          <w:sz w:val="32"/>
          <w:szCs w:val="32"/>
        </w:rPr>
        <w:t>已经</w:t>
      </w:r>
      <w:r w:rsidR="00814AFD" w:rsidRPr="00C42AE0">
        <w:rPr>
          <w:rFonts w:ascii="Times New Roman" w:eastAsia="方正仿宋简体" w:hAnsi="Times New Roman" w:cs="Times New Roman" w:hint="eastAsia"/>
          <w:sz w:val="32"/>
          <w:szCs w:val="32"/>
        </w:rPr>
        <w:t>以</w:t>
      </w:r>
      <w:r w:rsidRPr="00C42AE0">
        <w:rPr>
          <w:rFonts w:ascii="Times New Roman" w:eastAsia="方正仿宋简体" w:hAnsi="Times New Roman" w:cs="Times New Roman"/>
          <w:sz w:val="32"/>
          <w:szCs w:val="32"/>
        </w:rPr>
        <w:t>电子</w:t>
      </w:r>
      <w:r w:rsidR="00814AFD" w:rsidRPr="00C42AE0">
        <w:rPr>
          <w:rFonts w:ascii="Times New Roman" w:eastAsia="方正仿宋简体" w:hAnsi="Times New Roman" w:cs="Times New Roman" w:hint="eastAsia"/>
          <w:sz w:val="32"/>
          <w:szCs w:val="32"/>
        </w:rPr>
        <w:t>形式</w:t>
      </w:r>
      <w:r w:rsidRPr="00C42AE0">
        <w:rPr>
          <w:rFonts w:ascii="Times New Roman" w:eastAsia="方正仿宋简体" w:hAnsi="Times New Roman" w:cs="Times New Roman"/>
          <w:sz w:val="32"/>
          <w:szCs w:val="32"/>
        </w:rPr>
        <w:t>签署风险揭示书</w:t>
      </w:r>
      <w:r w:rsidRPr="00C42AE0">
        <w:rPr>
          <w:rFonts w:ascii="Times New Roman" w:eastAsia="方正仿宋简体" w:hAnsi="Times New Roman" w:cs="Times New Roman" w:hint="eastAsia"/>
          <w:sz w:val="32"/>
          <w:szCs w:val="32"/>
        </w:rPr>
        <w:t>，并以</w:t>
      </w:r>
      <w:r w:rsidRPr="00C42AE0">
        <w:rPr>
          <w:rFonts w:ascii="Times New Roman" w:eastAsia="方正仿宋简体" w:hAnsi="Times New Roman" w:cs="Times New Roman"/>
          <w:sz w:val="32"/>
          <w:szCs w:val="32"/>
        </w:rPr>
        <w:t>适当方式</w:t>
      </w:r>
      <w:r w:rsidRPr="00C42AE0">
        <w:rPr>
          <w:rFonts w:ascii="Times New Roman" w:eastAsia="方正仿宋简体" w:hAnsi="Times New Roman" w:cs="Times New Roman" w:hint="eastAsia"/>
          <w:sz w:val="32"/>
          <w:szCs w:val="32"/>
        </w:rPr>
        <w:t>向</w:t>
      </w:r>
      <w:r w:rsidRPr="00C42AE0">
        <w:rPr>
          <w:rFonts w:ascii="Times New Roman" w:eastAsia="方正仿宋简体" w:hAnsi="Times New Roman" w:cs="Times New Roman"/>
          <w:sz w:val="32"/>
          <w:szCs w:val="32"/>
        </w:rPr>
        <w:t>投资者</w:t>
      </w:r>
      <w:r w:rsidR="003008F9" w:rsidRPr="00C42AE0">
        <w:rPr>
          <w:rFonts w:ascii="Times New Roman" w:eastAsia="方正仿宋简体" w:hAnsi="Times New Roman" w:cs="Times New Roman" w:hint="eastAsia"/>
          <w:sz w:val="32"/>
          <w:szCs w:val="32"/>
        </w:rPr>
        <w:t>明确</w:t>
      </w:r>
      <w:r w:rsidRPr="00C42AE0">
        <w:rPr>
          <w:rFonts w:ascii="Times New Roman" w:eastAsia="方正仿宋简体" w:hAnsi="Times New Roman" w:cs="Times New Roman"/>
          <w:sz w:val="32"/>
          <w:szCs w:val="32"/>
        </w:rPr>
        <w:t>反馈</w:t>
      </w:r>
      <w:r w:rsidRPr="00C42AE0">
        <w:rPr>
          <w:rFonts w:ascii="Times New Roman" w:eastAsia="方正仿宋简体" w:hAnsi="Times New Roman" w:cs="Times New Roman" w:hint="eastAsia"/>
          <w:sz w:val="32"/>
          <w:szCs w:val="32"/>
        </w:rPr>
        <w:t>交易权限</w:t>
      </w:r>
      <w:r w:rsidRPr="00C42AE0">
        <w:rPr>
          <w:rFonts w:ascii="Times New Roman" w:eastAsia="方正仿宋简体" w:hAnsi="Times New Roman" w:cs="Times New Roman"/>
          <w:sz w:val="32"/>
          <w:szCs w:val="32"/>
        </w:rPr>
        <w:t>开通</w:t>
      </w:r>
      <w:r w:rsidRPr="00C42AE0">
        <w:rPr>
          <w:rFonts w:ascii="Times New Roman" w:eastAsia="方正仿宋简体" w:hAnsi="Times New Roman" w:cs="Times New Roman" w:hint="eastAsia"/>
          <w:sz w:val="32"/>
          <w:szCs w:val="32"/>
        </w:rPr>
        <w:t>结果。</w:t>
      </w:r>
    </w:p>
    <w:p w:rsidR="0010233A" w:rsidRPr="00C42AE0" w:rsidRDefault="00003E08" w:rsidP="00CE6762">
      <w:pPr>
        <w:spacing w:line="600" w:lineRule="exact"/>
        <w:ind w:firstLineChars="200" w:firstLine="640"/>
        <w:rPr>
          <w:rFonts w:ascii="Times New Roman" w:eastAsia="黑体" w:hAnsi="Times New Roman" w:cs="Times New Roman"/>
          <w:sz w:val="32"/>
          <w:szCs w:val="32"/>
        </w:rPr>
      </w:pPr>
      <w:r w:rsidRPr="00C42AE0">
        <w:rPr>
          <w:rFonts w:ascii="Times New Roman" w:eastAsia="黑体" w:hAnsi="Times New Roman" w:cs="Times New Roman"/>
          <w:sz w:val="32"/>
          <w:szCs w:val="32"/>
        </w:rPr>
        <w:t>二、</w:t>
      </w:r>
      <w:r w:rsidR="0010233A" w:rsidRPr="00C42AE0">
        <w:rPr>
          <w:rFonts w:ascii="Times New Roman" w:eastAsia="黑体" w:hAnsi="Times New Roman" w:cs="Times New Roman"/>
          <w:sz w:val="32"/>
          <w:szCs w:val="32"/>
        </w:rPr>
        <w:t>合格投资者证券账户信息报送</w:t>
      </w:r>
      <w:r w:rsidR="00D2464F" w:rsidRPr="00C42AE0">
        <w:rPr>
          <w:rFonts w:ascii="Times New Roman" w:eastAsia="黑体" w:hAnsi="Times New Roman" w:cs="Times New Roman" w:hint="eastAsia"/>
          <w:sz w:val="32"/>
          <w:szCs w:val="32"/>
        </w:rPr>
        <w:t>及</w:t>
      </w:r>
      <w:r w:rsidR="00D2464F" w:rsidRPr="00C42AE0">
        <w:rPr>
          <w:rFonts w:ascii="Times New Roman" w:eastAsia="黑体" w:hAnsi="Times New Roman" w:cs="Times New Roman"/>
          <w:sz w:val="32"/>
          <w:szCs w:val="32"/>
        </w:rPr>
        <w:t>交易权限管理</w:t>
      </w:r>
      <w:r w:rsidR="006920F0" w:rsidRPr="00C42AE0">
        <w:rPr>
          <w:rFonts w:ascii="Times New Roman" w:eastAsia="黑体" w:hAnsi="Times New Roman" w:cs="Times New Roman"/>
          <w:sz w:val="32"/>
          <w:szCs w:val="32"/>
        </w:rPr>
        <w:t>要求</w:t>
      </w:r>
    </w:p>
    <w:p w:rsidR="0010233A" w:rsidRPr="00C42AE0" w:rsidRDefault="006920F0" w:rsidP="00CE6762">
      <w:pPr>
        <w:spacing w:line="600" w:lineRule="exact"/>
        <w:ind w:firstLineChars="200" w:firstLine="640"/>
        <w:rPr>
          <w:rFonts w:ascii="Times New Roman" w:eastAsia="楷体" w:hAnsi="Times New Roman" w:cs="Times New Roman"/>
          <w:sz w:val="32"/>
          <w:szCs w:val="32"/>
        </w:rPr>
      </w:pPr>
      <w:r w:rsidRPr="00C42AE0">
        <w:rPr>
          <w:rFonts w:ascii="Times New Roman" w:eastAsia="楷体" w:hAnsi="Times New Roman" w:cs="Times New Roman"/>
          <w:sz w:val="32"/>
          <w:szCs w:val="32"/>
        </w:rPr>
        <w:t>（一）</w:t>
      </w:r>
      <w:r w:rsidR="002E6F31" w:rsidRPr="00C42AE0">
        <w:rPr>
          <w:rFonts w:ascii="Times New Roman" w:eastAsia="楷体" w:hAnsi="Times New Roman" w:cs="Times New Roman"/>
          <w:sz w:val="32"/>
          <w:szCs w:val="32"/>
        </w:rPr>
        <w:t>合格投资者报送范围</w:t>
      </w:r>
    </w:p>
    <w:p w:rsidR="002E6F31" w:rsidRPr="00C42AE0" w:rsidRDefault="002E6F31"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主办券商核查后认定投资者符合《管理办法》中适当性条件的，应当在为投资者开通证券交易权限</w:t>
      </w:r>
      <w:r w:rsidR="006F6137">
        <w:rPr>
          <w:rFonts w:ascii="Times New Roman" w:eastAsia="方正仿宋简体" w:hAnsi="Times New Roman" w:cs="Times New Roman" w:hint="eastAsia"/>
          <w:sz w:val="32"/>
          <w:szCs w:val="32"/>
        </w:rPr>
        <w:t>时</w:t>
      </w:r>
      <w:r w:rsidRPr="00C42AE0">
        <w:rPr>
          <w:rFonts w:ascii="Times New Roman" w:eastAsia="方正仿宋简体" w:hAnsi="Times New Roman" w:cs="Times New Roman"/>
          <w:sz w:val="32"/>
          <w:szCs w:val="32"/>
        </w:rPr>
        <w:t>，</w:t>
      </w:r>
      <w:r w:rsidR="005208B2">
        <w:rPr>
          <w:rFonts w:ascii="Times New Roman" w:eastAsia="方正仿宋简体" w:hAnsi="Times New Roman" w:cs="Times New Roman" w:hint="eastAsia"/>
          <w:sz w:val="32"/>
          <w:szCs w:val="32"/>
        </w:rPr>
        <w:t>向</w:t>
      </w:r>
      <w:r w:rsidR="005208B2">
        <w:rPr>
          <w:rFonts w:ascii="Times New Roman" w:eastAsia="方正仿宋简体" w:hAnsi="Times New Roman" w:cs="Times New Roman"/>
          <w:sz w:val="32"/>
          <w:szCs w:val="32"/>
        </w:rPr>
        <w:t>全国股转公司</w:t>
      </w:r>
      <w:r w:rsidR="00FA3A13" w:rsidRPr="00C42AE0">
        <w:rPr>
          <w:rFonts w:ascii="Times New Roman" w:eastAsia="方正仿宋简体" w:hAnsi="Times New Roman" w:cs="Times New Roman"/>
          <w:sz w:val="32"/>
          <w:szCs w:val="32"/>
        </w:rPr>
        <w:t>报送</w:t>
      </w:r>
      <w:r w:rsidRPr="00C42AE0">
        <w:rPr>
          <w:rFonts w:ascii="Times New Roman" w:eastAsia="方正仿宋简体" w:hAnsi="Times New Roman" w:cs="Times New Roman"/>
          <w:sz w:val="32"/>
          <w:szCs w:val="32"/>
        </w:rPr>
        <w:t>合格投资者证券账户信息，挂牌公司回购专用账户无需报送。</w:t>
      </w:r>
      <w:r w:rsidRPr="00C42AE0">
        <w:rPr>
          <w:rFonts w:ascii="Times New Roman" w:eastAsia="方正仿宋简体" w:hAnsi="Times New Roman" w:cs="Times New Roman"/>
          <w:sz w:val="32"/>
          <w:szCs w:val="32"/>
        </w:rPr>
        <w:t xml:space="preserve">  </w:t>
      </w:r>
    </w:p>
    <w:p w:rsidR="002E6F31" w:rsidRPr="00C42AE0" w:rsidRDefault="002E6F31"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主办券商应当对本公司开展自营、</w:t>
      </w:r>
      <w:proofErr w:type="gramStart"/>
      <w:r w:rsidRPr="00C42AE0">
        <w:rPr>
          <w:rFonts w:ascii="Times New Roman" w:eastAsia="方正仿宋简体" w:hAnsi="Times New Roman" w:cs="Times New Roman"/>
          <w:sz w:val="32"/>
          <w:szCs w:val="32"/>
        </w:rPr>
        <w:t>资管业务</w:t>
      </w:r>
      <w:proofErr w:type="gramEnd"/>
      <w:r w:rsidRPr="00C42AE0">
        <w:rPr>
          <w:rFonts w:ascii="Times New Roman" w:eastAsia="方正仿宋简体" w:hAnsi="Times New Roman" w:cs="Times New Roman"/>
          <w:sz w:val="32"/>
          <w:szCs w:val="32"/>
        </w:rPr>
        <w:t>使用的证券账户</w:t>
      </w:r>
      <w:r w:rsidR="00634952">
        <w:rPr>
          <w:rFonts w:ascii="Times New Roman" w:eastAsia="方正仿宋简体" w:hAnsi="Times New Roman" w:cs="Times New Roman" w:hint="eastAsia"/>
          <w:sz w:val="32"/>
          <w:szCs w:val="32"/>
        </w:rPr>
        <w:t>，</w:t>
      </w:r>
      <w:r w:rsidR="00B958A0">
        <w:rPr>
          <w:rFonts w:ascii="Times New Roman" w:eastAsia="方正仿宋简体" w:hAnsi="Times New Roman" w:cs="Times New Roman" w:hint="eastAsia"/>
          <w:sz w:val="32"/>
          <w:szCs w:val="32"/>
        </w:rPr>
        <w:t>向</w:t>
      </w:r>
      <w:r w:rsidR="00B958A0">
        <w:rPr>
          <w:rFonts w:ascii="Times New Roman" w:eastAsia="方正仿宋简体" w:hAnsi="Times New Roman" w:cs="Times New Roman"/>
          <w:sz w:val="32"/>
          <w:szCs w:val="32"/>
        </w:rPr>
        <w:t>全国股转公司</w:t>
      </w:r>
      <w:r w:rsidRPr="00C42AE0">
        <w:rPr>
          <w:rFonts w:ascii="Times New Roman" w:eastAsia="方正仿宋简体" w:hAnsi="Times New Roman" w:cs="Times New Roman"/>
          <w:sz w:val="32"/>
          <w:szCs w:val="32"/>
        </w:rPr>
        <w:t>报送合格投资者账户信息。</w:t>
      </w:r>
    </w:p>
    <w:p w:rsidR="002E6F31" w:rsidRPr="00C42AE0" w:rsidRDefault="002E6F31" w:rsidP="00CE6762">
      <w:pPr>
        <w:spacing w:line="600" w:lineRule="exact"/>
        <w:ind w:firstLineChars="200" w:firstLine="640"/>
        <w:rPr>
          <w:rFonts w:ascii="Times New Roman" w:eastAsia="楷体" w:hAnsi="Times New Roman" w:cs="Times New Roman"/>
          <w:sz w:val="32"/>
          <w:szCs w:val="32"/>
        </w:rPr>
      </w:pPr>
      <w:r w:rsidRPr="00C42AE0">
        <w:rPr>
          <w:rFonts w:ascii="Times New Roman" w:eastAsia="楷体" w:hAnsi="Times New Roman" w:cs="Times New Roman"/>
          <w:sz w:val="32"/>
          <w:szCs w:val="32"/>
        </w:rPr>
        <w:t>（二）合格投资者报送方式</w:t>
      </w:r>
    </w:p>
    <w:p w:rsidR="008700A0" w:rsidRPr="00C42AE0" w:rsidRDefault="00892AB2"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lastRenderedPageBreak/>
        <w:t>主办券商应于每个</w:t>
      </w:r>
      <w:r w:rsidR="005051B2" w:rsidRPr="00C42AE0">
        <w:rPr>
          <w:rFonts w:ascii="Times New Roman" w:eastAsia="方正仿宋简体" w:hAnsi="Times New Roman" w:cs="Times New Roman"/>
          <w:sz w:val="32"/>
          <w:szCs w:val="32"/>
        </w:rPr>
        <w:t>交易</w:t>
      </w:r>
      <w:r w:rsidRPr="00C42AE0">
        <w:rPr>
          <w:rFonts w:ascii="Times New Roman" w:eastAsia="方正仿宋简体" w:hAnsi="Times New Roman" w:cs="Times New Roman"/>
          <w:sz w:val="32"/>
          <w:szCs w:val="32"/>
        </w:rPr>
        <w:t>日</w:t>
      </w:r>
      <w:r w:rsidR="005051B2" w:rsidRPr="00C42AE0">
        <w:rPr>
          <w:rFonts w:ascii="Times New Roman" w:eastAsia="方正仿宋简体" w:hAnsi="Times New Roman" w:cs="Times New Roman"/>
          <w:sz w:val="32"/>
          <w:szCs w:val="32"/>
        </w:rPr>
        <w:t>9:00-16:15</w:t>
      </w:r>
      <w:r w:rsidRPr="00C42AE0">
        <w:rPr>
          <w:rFonts w:ascii="Times New Roman" w:eastAsia="方正仿宋简体" w:hAnsi="Times New Roman" w:cs="Times New Roman"/>
          <w:sz w:val="32"/>
          <w:szCs w:val="32"/>
        </w:rPr>
        <w:t>期间，按照《</w:t>
      </w:r>
      <w:r w:rsidR="0048388B" w:rsidRPr="00C42AE0">
        <w:rPr>
          <w:rFonts w:ascii="Times New Roman" w:eastAsia="方正仿宋简体" w:hAnsi="Times New Roman" w:cs="Times New Roman"/>
          <w:sz w:val="32"/>
          <w:szCs w:val="32"/>
        </w:rPr>
        <w:t>全国中小企业股份转让系统交易支持平台数据接口规范</w:t>
      </w:r>
      <w:r w:rsidRPr="00C42AE0">
        <w:rPr>
          <w:rFonts w:ascii="Times New Roman" w:eastAsia="方正仿宋简体" w:hAnsi="Times New Roman" w:cs="Times New Roman"/>
          <w:sz w:val="32"/>
          <w:szCs w:val="32"/>
        </w:rPr>
        <w:t>》有关要求，通过</w:t>
      </w:r>
      <w:r w:rsidRPr="00C42AE0">
        <w:rPr>
          <w:rFonts w:ascii="Times New Roman" w:eastAsia="方正仿宋简体" w:hAnsi="Times New Roman" w:cs="Times New Roman"/>
          <w:kern w:val="0"/>
          <w:sz w:val="32"/>
          <w:szCs w:val="32"/>
        </w:rPr>
        <w:t>深圳证券通信有限公司</w:t>
      </w:r>
      <w:r w:rsidRPr="00C42AE0">
        <w:rPr>
          <w:rFonts w:ascii="Times New Roman" w:eastAsia="方正仿宋简体" w:hAnsi="Times New Roman" w:cs="Times New Roman"/>
          <w:sz w:val="32"/>
          <w:szCs w:val="32"/>
        </w:rPr>
        <w:t>金融数据交换平台</w:t>
      </w:r>
      <w:r w:rsidR="006F6137">
        <w:rPr>
          <w:rFonts w:ascii="Times New Roman" w:eastAsia="方正仿宋简体" w:hAnsi="Times New Roman" w:cs="Times New Roman" w:hint="eastAsia"/>
          <w:sz w:val="32"/>
          <w:szCs w:val="32"/>
        </w:rPr>
        <w:t>（</w:t>
      </w:r>
      <w:r w:rsidR="00DF01C2" w:rsidRPr="00C42AE0">
        <w:rPr>
          <w:rFonts w:ascii="Times New Roman" w:eastAsia="方正仿宋简体" w:hAnsi="Times New Roman" w:cs="Times New Roman"/>
          <w:sz w:val="32"/>
          <w:szCs w:val="32"/>
        </w:rPr>
        <w:t>以下简称</w:t>
      </w:r>
      <w:r w:rsidRPr="00C42AE0">
        <w:rPr>
          <w:rFonts w:ascii="Times New Roman" w:eastAsia="方正仿宋简体" w:hAnsi="Times New Roman" w:cs="Times New Roman"/>
          <w:sz w:val="32"/>
          <w:szCs w:val="32"/>
        </w:rPr>
        <w:t>FDEP</w:t>
      </w:r>
      <w:r w:rsidR="006F6137">
        <w:rPr>
          <w:rFonts w:ascii="Times New Roman" w:eastAsia="方正仿宋简体" w:hAnsi="Times New Roman" w:cs="Times New Roman" w:hint="eastAsia"/>
          <w:sz w:val="32"/>
          <w:szCs w:val="32"/>
        </w:rPr>
        <w:t>）</w:t>
      </w:r>
      <w:r w:rsidRPr="00C42AE0">
        <w:rPr>
          <w:rFonts w:ascii="Times New Roman" w:eastAsia="方正仿宋简体" w:hAnsi="Times New Roman" w:cs="Times New Roman"/>
          <w:sz w:val="32"/>
          <w:szCs w:val="32"/>
        </w:rPr>
        <w:t>，向全国股转</w:t>
      </w:r>
      <w:r w:rsidR="004460F8" w:rsidRPr="00C42AE0">
        <w:rPr>
          <w:rFonts w:ascii="Times New Roman" w:eastAsia="方正仿宋简体" w:hAnsi="Times New Roman" w:cs="Times New Roman"/>
          <w:sz w:val="32"/>
          <w:szCs w:val="32"/>
        </w:rPr>
        <w:t>公司</w:t>
      </w:r>
      <w:r w:rsidRPr="00C42AE0">
        <w:rPr>
          <w:rFonts w:ascii="Times New Roman" w:eastAsia="方正仿宋简体" w:hAnsi="Times New Roman" w:cs="Times New Roman"/>
          <w:sz w:val="32"/>
          <w:szCs w:val="32"/>
        </w:rPr>
        <w:t>报送当日新增合格投资者证券账户信息。</w:t>
      </w:r>
      <w:r w:rsidR="00462C93" w:rsidRPr="00C42AE0">
        <w:rPr>
          <w:rFonts w:ascii="Times New Roman" w:eastAsia="方正仿宋简体" w:hAnsi="Times New Roman" w:cs="Times New Roman"/>
          <w:sz w:val="32"/>
          <w:szCs w:val="32"/>
        </w:rPr>
        <w:t>报送的内容应当包括：</w:t>
      </w:r>
      <w:r w:rsidR="00462C93" w:rsidRPr="00C42AE0" w:rsidDel="00462C93">
        <w:rPr>
          <w:rFonts w:ascii="Times New Roman" w:eastAsia="方正仿宋简体" w:hAnsi="Times New Roman" w:cs="Times New Roman"/>
          <w:sz w:val="32"/>
          <w:szCs w:val="32"/>
        </w:rPr>
        <w:t xml:space="preserve"> </w:t>
      </w:r>
      <w:r w:rsidRPr="00C42AE0">
        <w:rPr>
          <w:rFonts w:ascii="Times New Roman" w:eastAsia="方正仿宋简体" w:hAnsi="Times New Roman" w:cs="Times New Roman"/>
          <w:sz w:val="32"/>
          <w:szCs w:val="32"/>
        </w:rPr>
        <w:t>合格投资者业务开通流水号</w:t>
      </w:r>
      <w:r w:rsidR="00462C93"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证券账户</w:t>
      </w:r>
      <w:r w:rsidR="00462C93"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账户名称</w:t>
      </w:r>
      <w:r w:rsidR="00462C93"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签署日期</w:t>
      </w:r>
      <w:r w:rsidR="0010233A"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申请日期</w:t>
      </w:r>
      <w:r w:rsidR="0010233A"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类别标识</w:t>
      </w:r>
      <w:r w:rsidR="0010233A"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营业部编码</w:t>
      </w:r>
      <w:r w:rsidR="0010233A" w:rsidRPr="00C42AE0">
        <w:rPr>
          <w:rFonts w:ascii="Times New Roman" w:eastAsia="方正仿宋简体" w:hAnsi="Times New Roman" w:cs="Times New Roman"/>
          <w:sz w:val="32"/>
          <w:szCs w:val="32"/>
        </w:rPr>
        <w:t>等。</w:t>
      </w:r>
    </w:p>
    <w:p w:rsidR="002E6F31" w:rsidRPr="00C42AE0" w:rsidRDefault="00A5180F"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类别标识字段所涉</w:t>
      </w:r>
      <w:r w:rsidR="00933837" w:rsidRPr="00C42AE0">
        <w:rPr>
          <w:rFonts w:ascii="Times New Roman" w:eastAsia="方正仿宋简体" w:hAnsi="Times New Roman" w:cs="Times New Roman"/>
          <w:sz w:val="32"/>
          <w:szCs w:val="32"/>
        </w:rPr>
        <w:t>全国股</w:t>
      </w:r>
      <w:proofErr w:type="gramStart"/>
      <w:r w:rsidR="00933837" w:rsidRPr="00C42AE0">
        <w:rPr>
          <w:rFonts w:ascii="Times New Roman" w:eastAsia="方正仿宋简体" w:hAnsi="Times New Roman" w:cs="Times New Roman"/>
          <w:sz w:val="32"/>
          <w:szCs w:val="32"/>
        </w:rPr>
        <w:t>转系统</w:t>
      </w:r>
      <w:proofErr w:type="gramEnd"/>
      <w:r w:rsidR="00933837" w:rsidRPr="00C42AE0">
        <w:rPr>
          <w:rFonts w:ascii="Times New Roman" w:eastAsia="方正仿宋简体" w:hAnsi="Times New Roman" w:cs="Times New Roman"/>
          <w:sz w:val="32"/>
          <w:szCs w:val="32"/>
        </w:rPr>
        <w:t>交易权限</w:t>
      </w:r>
      <w:r w:rsidRPr="00C42AE0">
        <w:rPr>
          <w:rFonts w:ascii="Times New Roman" w:eastAsia="方正仿宋简体" w:hAnsi="Times New Roman" w:cs="Times New Roman"/>
          <w:sz w:val="32"/>
          <w:szCs w:val="32"/>
        </w:rPr>
        <w:t>共</w:t>
      </w:r>
      <w:r w:rsidR="00933837" w:rsidRPr="00C42AE0">
        <w:rPr>
          <w:rFonts w:ascii="Times New Roman" w:eastAsia="方正仿宋简体" w:hAnsi="Times New Roman" w:cs="Times New Roman"/>
          <w:sz w:val="32"/>
          <w:szCs w:val="32"/>
        </w:rPr>
        <w:t>四类：一类交易权限可以参与精选层</w:t>
      </w:r>
      <w:r w:rsidR="00C700A4" w:rsidRPr="00C42AE0">
        <w:rPr>
          <w:rFonts w:ascii="Times New Roman" w:eastAsia="方正仿宋简体" w:hAnsi="Times New Roman" w:cs="Times New Roman"/>
          <w:sz w:val="32"/>
          <w:szCs w:val="32"/>
        </w:rPr>
        <w:t>、创新层、基础</w:t>
      </w:r>
      <w:proofErr w:type="gramStart"/>
      <w:r w:rsidR="00C700A4" w:rsidRPr="00C42AE0">
        <w:rPr>
          <w:rFonts w:ascii="Times New Roman" w:eastAsia="方正仿宋简体" w:hAnsi="Times New Roman" w:cs="Times New Roman"/>
          <w:sz w:val="32"/>
          <w:szCs w:val="32"/>
        </w:rPr>
        <w:t>层</w:t>
      </w:r>
      <w:r w:rsidR="00933837" w:rsidRPr="00C42AE0">
        <w:rPr>
          <w:rFonts w:ascii="Times New Roman" w:eastAsia="方正仿宋简体" w:hAnsi="Times New Roman" w:cs="Times New Roman"/>
          <w:sz w:val="32"/>
          <w:szCs w:val="32"/>
        </w:rPr>
        <w:t>股票</w:t>
      </w:r>
      <w:proofErr w:type="gramEnd"/>
      <w:r w:rsidR="00933837" w:rsidRPr="00C42AE0">
        <w:rPr>
          <w:rFonts w:ascii="Times New Roman" w:eastAsia="方正仿宋简体" w:hAnsi="Times New Roman" w:cs="Times New Roman"/>
          <w:sz w:val="32"/>
          <w:szCs w:val="32"/>
        </w:rPr>
        <w:t>的发行与交易；二类</w:t>
      </w:r>
      <w:r w:rsidR="002E6F31" w:rsidRPr="00C42AE0">
        <w:rPr>
          <w:rFonts w:ascii="Times New Roman" w:eastAsia="方正仿宋简体" w:hAnsi="Times New Roman" w:cs="Times New Roman"/>
          <w:sz w:val="32"/>
          <w:szCs w:val="32"/>
        </w:rPr>
        <w:t>交易权限</w:t>
      </w:r>
      <w:r w:rsidR="00933837" w:rsidRPr="00C42AE0">
        <w:rPr>
          <w:rFonts w:ascii="Times New Roman" w:eastAsia="方正仿宋简体" w:hAnsi="Times New Roman" w:cs="Times New Roman"/>
          <w:sz w:val="32"/>
          <w:szCs w:val="32"/>
        </w:rPr>
        <w:t>可以参与精选层、创新</w:t>
      </w:r>
      <w:proofErr w:type="gramStart"/>
      <w:r w:rsidR="00933837" w:rsidRPr="00C42AE0">
        <w:rPr>
          <w:rFonts w:ascii="Times New Roman" w:eastAsia="方正仿宋简体" w:hAnsi="Times New Roman" w:cs="Times New Roman"/>
          <w:sz w:val="32"/>
          <w:szCs w:val="32"/>
        </w:rPr>
        <w:t>层</w:t>
      </w:r>
      <w:r w:rsidR="002E6F31" w:rsidRPr="00C42AE0">
        <w:rPr>
          <w:rFonts w:ascii="Times New Roman" w:eastAsia="方正仿宋简体" w:hAnsi="Times New Roman" w:cs="Times New Roman"/>
          <w:sz w:val="32"/>
          <w:szCs w:val="32"/>
        </w:rPr>
        <w:t>股票</w:t>
      </w:r>
      <w:proofErr w:type="gramEnd"/>
      <w:r w:rsidR="002E6F31" w:rsidRPr="00C42AE0">
        <w:rPr>
          <w:rFonts w:ascii="Times New Roman" w:eastAsia="方正仿宋简体" w:hAnsi="Times New Roman" w:cs="Times New Roman"/>
          <w:sz w:val="32"/>
          <w:szCs w:val="32"/>
        </w:rPr>
        <w:t>的</w:t>
      </w:r>
      <w:r w:rsidR="00933837" w:rsidRPr="00C42AE0">
        <w:rPr>
          <w:rFonts w:ascii="Times New Roman" w:eastAsia="方正仿宋简体" w:hAnsi="Times New Roman" w:cs="Times New Roman"/>
          <w:sz w:val="32"/>
          <w:szCs w:val="32"/>
        </w:rPr>
        <w:t>发行与交易；三类</w:t>
      </w:r>
      <w:r w:rsidR="002E6F31" w:rsidRPr="00C42AE0">
        <w:rPr>
          <w:rFonts w:ascii="Times New Roman" w:eastAsia="方正仿宋简体" w:hAnsi="Times New Roman" w:cs="Times New Roman"/>
          <w:sz w:val="32"/>
          <w:szCs w:val="32"/>
        </w:rPr>
        <w:t>交易权限</w:t>
      </w:r>
      <w:r w:rsidR="00933837" w:rsidRPr="00C42AE0">
        <w:rPr>
          <w:rFonts w:ascii="Times New Roman" w:eastAsia="方正仿宋简体" w:hAnsi="Times New Roman" w:cs="Times New Roman"/>
          <w:sz w:val="32"/>
          <w:szCs w:val="32"/>
        </w:rPr>
        <w:t>可以参与</w:t>
      </w:r>
      <w:r w:rsidR="002E6F31" w:rsidRPr="00C42AE0">
        <w:rPr>
          <w:rFonts w:ascii="Times New Roman" w:eastAsia="方正仿宋简体" w:hAnsi="Times New Roman" w:cs="Times New Roman"/>
          <w:sz w:val="32"/>
          <w:szCs w:val="32"/>
        </w:rPr>
        <w:t>精选</w:t>
      </w:r>
      <w:proofErr w:type="gramStart"/>
      <w:r w:rsidR="002E6F31" w:rsidRPr="00C42AE0">
        <w:rPr>
          <w:rFonts w:ascii="Times New Roman" w:eastAsia="方正仿宋简体" w:hAnsi="Times New Roman" w:cs="Times New Roman"/>
          <w:sz w:val="32"/>
          <w:szCs w:val="32"/>
        </w:rPr>
        <w:t>层股票</w:t>
      </w:r>
      <w:proofErr w:type="gramEnd"/>
      <w:r w:rsidR="002E6F31" w:rsidRPr="00C42AE0">
        <w:rPr>
          <w:rFonts w:ascii="Times New Roman" w:eastAsia="方正仿宋简体" w:hAnsi="Times New Roman" w:cs="Times New Roman"/>
          <w:sz w:val="32"/>
          <w:szCs w:val="32"/>
        </w:rPr>
        <w:t>的</w:t>
      </w:r>
      <w:r w:rsidR="00933837" w:rsidRPr="00C42AE0">
        <w:rPr>
          <w:rFonts w:ascii="Times New Roman" w:eastAsia="方正仿宋简体" w:hAnsi="Times New Roman" w:cs="Times New Roman"/>
          <w:sz w:val="32"/>
          <w:szCs w:val="32"/>
        </w:rPr>
        <w:t>发行与交易</w:t>
      </w:r>
      <w:r w:rsidR="002E6F31" w:rsidRPr="00C42AE0">
        <w:rPr>
          <w:rFonts w:ascii="Times New Roman" w:eastAsia="方正仿宋简体" w:hAnsi="Times New Roman" w:cs="Times New Roman"/>
          <w:sz w:val="32"/>
          <w:szCs w:val="32"/>
        </w:rPr>
        <w:t>；</w:t>
      </w:r>
      <w:r w:rsidR="00933837" w:rsidRPr="00C42AE0">
        <w:rPr>
          <w:rFonts w:ascii="Times New Roman" w:eastAsia="方正仿宋简体" w:hAnsi="Times New Roman" w:cs="Times New Roman"/>
          <w:sz w:val="32"/>
          <w:szCs w:val="32"/>
        </w:rPr>
        <w:t>四类交易权限可以参与</w:t>
      </w:r>
      <w:r w:rsidR="002E6F31" w:rsidRPr="00C42AE0">
        <w:rPr>
          <w:rFonts w:ascii="Times New Roman" w:eastAsia="方正仿宋简体" w:hAnsi="Times New Roman" w:cs="Times New Roman"/>
          <w:sz w:val="32"/>
          <w:szCs w:val="32"/>
        </w:rPr>
        <w:t>优先股的</w:t>
      </w:r>
      <w:r w:rsidR="00933837" w:rsidRPr="00C42AE0">
        <w:rPr>
          <w:rFonts w:ascii="Times New Roman" w:eastAsia="方正仿宋简体" w:hAnsi="Times New Roman" w:cs="Times New Roman"/>
          <w:sz w:val="32"/>
          <w:szCs w:val="32"/>
        </w:rPr>
        <w:t>发行与交易</w:t>
      </w:r>
      <w:r w:rsidR="002E6F31" w:rsidRPr="00C42AE0">
        <w:rPr>
          <w:rFonts w:ascii="Times New Roman" w:eastAsia="方正仿宋简体" w:hAnsi="Times New Roman" w:cs="Times New Roman"/>
          <w:sz w:val="32"/>
          <w:szCs w:val="32"/>
        </w:rPr>
        <w:t>。</w:t>
      </w:r>
    </w:p>
    <w:p w:rsidR="00D42FB6" w:rsidRPr="00C42AE0" w:rsidRDefault="00892AB2"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主办</w:t>
      </w:r>
      <w:proofErr w:type="gramStart"/>
      <w:r w:rsidRPr="00C42AE0">
        <w:rPr>
          <w:rFonts w:ascii="Times New Roman" w:eastAsia="方正仿宋简体" w:hAnsi="Times New Roman" w:cs="Times New Roman"/>
          <w:sz w:val="32"/>
          <w:szCs w:val="32"/>
        </w:rPr>
        <w:t>券商未</w:t>
      </w:r>
      <w:proofErr w:type="gramEnd"/>
      <w:r w:rsidRPr="00C42AE0">
        <w:rPr>
          <w:rFonts w:ascii="Times New Roman" w:eastAsia="方正仿宋简体" w:hAnsi="Times New Roman" w:cs="Times New Roman"/>
          <w:sz w:val="32"/>
          <w:szCs w:val="32"/>
        </w:rPr>
        <w:t>按时</w:t>
      </w:r>
      <w:r w:rsidR="00814AFD" w:rsidRPr="00C42AE0">
        <w:rPr>
          <w:rFonts w:ascii="Times New Roman" w:eastAsia="方正仿宋简体" w:hAnsi="Times New Roman" w:cs="Times New Roman" w:hint="eastAsia"/>
          <w:sz w:val="32"/>
          <w:szCs w:val="32"/>
        </w:rPr>
        <w:t>报送</w:t>
      </w:r>
      <w:r w:rsidRPr="00C42AE0">
        <w:rPr>
          <w:rFonts w:ascii="Times New Roman" w:eastAsia="方正仿宋简体" w:hAnsi="Times New Roman" w:cs="Times New Roman"/>
          <w:sz w:val="32"/>
          <w:szCs w:val="32"/>
        </w:rPr>
        <w:t>的，全国股转</w:t>
      </w:r>
      <w:r w:rsidR="004460F8" w:rsidRPr="00C42AE0">
        <w:rPr>
          <w:rFonts w:ascii="Times New Roman" w:eastAsia="方正仿宋简体" w:hAnsi="Times New Roman" w:cs="Times New Roman"/>
          <w:sz w:val="32"/>
          <w:szCs w:val="32"/>
        </w:rPr>
        <w:t>公司</w:t>
      </w:r>
      <w:r w:rsidRPr="00C42AE0">
        <w:rPr>
          <w:rFonts w:ascii="Times New Roman" w:eastAsia="方正仿宋简体" w:hAnsi="Times New Roman" w:cs="Times New Roman"/>
          <w:sz w:val="32"/>
          <w:szCs w:val="32"/>
        </w:rPr>
        <w:t>按其当日无新增合格投资者进行处理；当日多次报送的，全国股转</w:t>
      </w:r>
      <w:r w:rsidR="004460F8" w:rsidRPr="00C42AE0">
        <w:rPr>
          <w:rFonts w:ascii="Times New Roman" w:eastAsia="方正仿宋简体" w:hAnsi="Times New Roman" w:cs="Times New Roman"/>
          <w:sz w:val="32"/>
          <w:szCs w:val="32"/>
        </w:rPr>
        <w:t>公司</w:t>
      </w:r>
      <w:r w:rsidRPr="00C42AE0">
        <w:rPr>
          <w:rFonts w:ascii="Times New Roman" w:eastAsia="方正仿宋简体" w:hAnsi="Times New Roman" w:cs="Times New Roman"/>
          <w:sz w:val="32"/>
          <w:szCs w:val="32"/>
        </w:rPr>
        <w:t>以其最后一次报送的证券账户信息为准；若同一报送文件中存在同一证券账户重复报送的情形，则以流水号最小的证券账户信息为准。当日无新增合格投资者的，</w:t>
      </w:r>
      <w:r w:rsidR="006C4D4C">
        <w:rPr>
          <w:rFonts w:ascii="Times New Roman" w:eastAsia="方正仿宋简体" w:hAnsi="Times New Roman" w:cs="Times New Roman" w:hint="eastAsia"/>
          <w:sz w:val="32"/>
          <w:szCs w:val="32"/>
        </w:rPr>
        <w:t>主办券商</w:t>
      </w:r>
      <w:r w:rsidRPr="00C42AE0">
        <w:rPr>
          <w:rFonts w:ascii="Times New Roman" w:eastAsia="方正仿宋简体" w:hAnsi="Times New Roman" w:cs="Times New Roman"/>
          <w:sz w:val="32"/>
          <w:szCs w:val="32"/>
        </w:rPr>
        <w:t>应</w:t>
      </w:r>
      <w:r w:rsidR="006C4D4C">
        <w:rPr>
          <w:rFonts w:ascii="Times New Roman" w:eastAsia="方正仿宋简体" w:hAnsi="Times New Roman" w:cs="Times New Roman" w:hint="eastAsia"/>
          <w:sz w:val="32"/>
          <w:szCs w:val="32"/>
        </w:rPr>
        <w:t>当</w:t>
      </w:r>
      <w:r w:rsidRPr="00C42AE0">
        <w:rPr>
          <w:rFonts w:ascii="Times New Roman" w:eastAsia="方正仿宋简体" w:hAnsi="Times New Roman" w:cs="Times New Roman"/>
          <w:sz w:val="32"/>
          <w:szCs w:val="32"/>
        </w:rPr>
        <w:t>报送空表。</w:t>
      </w:r>
    </w:p>
    <w:p w:rsidR="00D42F22" w:rsidRPr="00C42AE0" w:rsidRDefault="00D42F22" w:rsidP="00CE6762">
      <w:pPr>
        <w:spacing w:line="600" w:lineRule="exact"/>
        <w:ind w:firstLineChars="200" w:firstLine="640"/>
        <w:rPr>
          <w:rFonts w:ascii="Times New Roman" w:eastAsia="楷体" w:hAnsi="Times New Roman" w:cs="Times New Roman"/>
          <w:sz w:val="32"/>
          <w:szCs w:val="32"/>
        </w:rPr>
      </w:pPr>
      <w:r w:rsidRPr="00C42AE0">
        <w:rPr>
          <w:rFonts w:ascii="Times New Roman" w:eastAsia="楷体" w:hAnsi="Times New Roman" w:cs="Times New Roman" w:hint="eastAsia"/>
          <w:sz w:val="32"/>
          <w:szCs w:val="32"/>
        </w:rPr>
        <w:t>（三</w:t>
      </w:r>
      <w:r w:rsidRPr="00C42AE0">
        <w:rPr>
          <w:rFonts w:ascii="Times New Roman" w:eastAsia="楷体" w:hAnsi="Times New Roman" w:cs="Times New Roman"/>
          <w:sz w:val="32"/>
          <w:szCs w:val="32"/>
        </w:rPr>
        <w:t>）投资者交易</w:t>
      </w:r>
      <w:r w:rsidRPr="00C42AE0">
        <w:rPr>
          <w:rFonts w:ascii="Times New Roman" w:eastAsia="楷体" w:hAnsi="Times New Roman" w:cs="Times New Roman" w:hint="eastAsia"/>
          <w:sz w:val="32"/>
          <w:szCs w:val="32"/>
        </w:rPr>
        <w:t>权限管理</w:t>
      </w:r>
    </w:p>
    <w:p w:rsidR="00D42F22" w:rsidRPr="00C42AE0" w:rsidRDefault="00285F4C" w:rsidP="00CE6762">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1.</w:t>
      </w:r>
      <w:r w:rsidR="0095795B">
        <w:rPr>
          <w:rFonts w:ascii="Times New Roman" w:eastAsia="方正仿宋简体" w:hAnsi="Times New Roman" w:cs="Times New Roman" w:hint="eastAsia"/>
          <w:sz w:val="32"/>
          <w:szCs w:val="32"/>
        </w:rPr>
        <w:t>主办券商向全国</w:t>
      </w:r>
      <w:r w:rsidR="0095795B">
        <w:rPr>
          <w:rFonts w:ascii="Times New Roman" w:eastAsia="方正仿宋简体" w:hAnsi="Times New Roman" w:cs="Times New Roman"/>
          <w:sz w:val="32"/>
          <w:szCs w:val="32"/>
        </w:rPr>
        <w:t>股转公司</w:t>
      </w:r>
      <w:r w:rsidR="00D42F22" w:rsidRPr="00C42AE0">
        <w:rPr>
          <w:rFonts w:ascii="Times New Roman" w:eastAsia="方正仿宋简体" w:hAnsi="Times New Roman" w:cs="Times New Roman" w:hint="eastAsia"/>
          <w:sz w:val="32"/>
          <w:szCs w:val="32"/>
        </w:rPr>
        <w:t>报送合格投资者账户信息当日，</w:t>
      </w:r>
      <w:r w:rsidR="00DE471F" w:rsidRPr="00C42AE0">
        <w:rPr>
          <w:rFonts w:ascii="Times New Roman" w:eastAsia="方正仿宋简体" w:hAnsi="Times New Roman" w:cs="Times New Roman" w:hint="eastAsia"/>
          <w:sz w:val="32"/>
          <w:szCs w:val="32"/>
        </w:rPr>
        <w:t>即</w:t>
      </w:r>
      <w:r w:rsidR="00D42F22" w:rsidRPr="00C42AE0">
        <w:rPr>
          <w:rFonts w:ascii="Times New Roman" w:eastAsia="方正仿宋简体" w:hAnsi="Times New Roman" w:cs="Times New Roman" w:hint="eastAsia"/>
          <w:sz w:val="32"/>
          <w:szCs w:val="32"/>
        </w:rPr>
        <w:t>可以</w:t>
      </w:r>
      <w:r w:rsidR="00DE471F" w:rsidRPr="00C42AE0">
        <w:rPr>
          <w:rFonts w:ascii="Times New Roman" w:eastAsia="方正仿宋简体" w:hAnsi="Times New Roman" w:cs="Times New Roman" w:hint="eastAsia"/>
          <w:sz w:val="32"/>
          <w:szCs w:val="32"/>
        </w:rPr>
        <w:t>为</w:t>
      </w:r>
      <w:r w:rsidR="00D42F22" w:rsidRPr="00C42AE0">
        <w:rPr>
          <w:rFonts w:ascii="Times New Roman" w:eastAsia="方正仿宋简体" w:hAnsi="Times New Roman" w:cs="Times New Roman" w:hint="eastAsia"/>
          <w:sz w:val="32"/>
          <w:szCs w:val="32"/>
        </w:rPr>
        <w:t>该投资者</w:t>
      </w:r>
      <w:r w:rsidR="00DE471F" w:rsidRPr="00C42AE0">
        <w:rPr>
          <w:rFonts w:ascii="Times New Roman" w:eastAsia="方正仿宋简体" w:hAnsi="Times New Roman" w:cs="Times New Roman" w:hint="eastAsia"/>
          <w:sz w:val="32"/>
          <w:szCs w:val="32"/>
        </w:rPr>
        <w:t>开通</w:t>
      </w:r>
      <w:r w:rsidR="00DE471F" w:rsidRPr="00C42AE0">
        <w:rPr>
          <w:rFonts w:ascii="Times New Roman" w:eastAsia="方正仿宋简体" w:hAnsi="Times New Roman" w:cs="Times New Roman"/>
          <w:sz w:val="32"/>
          <w:szCs w:val="32"/>
        </w:rPr>
        <w:t>交易权限，</w:t>
      </w:r>
      <w:r w:rsidR="00DE471F" w:rsidRPr="00C42AE0">
        <w:rPr>
          <w:rFonts w:ascii="Times New Roman" w:eastAsia="方正仿宋简体" w:hAnsi="Times New Roman" w:cs="Times New Roman" w:hint="eastAsia"/>
          <w:sz w:val="32"/>
          <w:szCs w:val="32"/>
        </w:rPr>
        <w:t>允许</w:t>
      </w:r>
      <w:r w:rsidR="00DE471F" w:rsidRPr="00C42AE0">
        <w:rPr>
          <w:rFonts w:ascii="Times New Roman" w:eastAsia="方正仿宋简体" w:hAnsi="Times New Roman" w:cs="Times New Roman"/>
          <w:sz w:val="32"/>
          <w:szCs w:val="32"/>
        </w:rPr>
        <w:t>其</w:t>
      </w:r>
      <w:r w:rsidR="00D42F22" w:rsidRPr="00C42AE0">
        <w:rPr>
          <w:rFonts w:ascii="Times New Roman" w:eastAsia="方正仿宋简体" w:hAnsi="Times New Roman" w:cs="Times New Roman" w:hint="eastAsia"/>
          <w:sz w:val="32"/>
          <w:szCs w:val="32"/>
        </w:rPr>
        <w:t>交易权限范围内的挂牌公司股票。</w:t>
      </w:r>
    </w:p>
    <w:p w:rsidR="00D42F22" w:rsidRPr="00C42AE0" w:rsidRDefault="00C90B12" w:rsidP="00CE6762">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2.</w:t>
      </w:r>
      <w:r w:rsidR="00D42F22" w:rsidRPr="00C42AE0">
        <w:rPr>
          <w:rFonts w:ascii="Times New Roman" w:eastAsia="方正仿宋简体" w:hAnsi="Times New Roman" w:cs="Times New Roman" w:hint="eastAsia"/>
          <w:sz w:val="32"/>
          <w:szCs w:val="32"/>
        </w:rPr>
        <w:t>符合</w:t>
      </w:r>
      <w:r w:rsidR="00D42F22" w:rsidRPr="00C42AE0">
        <w:rPr>
          <w:rFonts w:ascii="Times New Roman" w:eastAsia="方正仿宋简体" w:hAnsi="Times New Roman" w:cs="Times New Roman"/>
          <w:sz w:val="32"/>
          <w:szCs w:val="32"/>
        </w:rPr>
        <w:t>《</w:t>
      </w:r>
      <w:r w:rsidR="00D42F22" w:rsidRPr="00C42AE0">
        <w:rPr>
          <w:rFonts w:ascii="Times New Roman" w:eastAsia="方正仿宋简体" w:hAnsi="Times New Roman" w:cs="Times New Roman" w:hint="eastAsia"/>
          <w:sz w:val="32"/>
          <w:szCs w:val="32"/>
        </w:rPr>
        <w:t>管理</w:t>
      </w:r>
      <w:r w:rsidR="00D42F22" w:rsidRPr="00C42AE0">
        <w:rPr>
          <w:rFonts w:ascii="Times New Roman" w:eastAsia="方正仿宋简体" w:hAnsi="Times New Roman" w:cs="Times New Roman"/>
          <w:sz w:val="32"/>
          <w:szCs w:val="32"/>
        </w:rPr>
        <w:t>办法》</w:t>
      </w:r>
      <w:r w:rsidR="00D42F22" w:rsidRPr="00C42AE0">
        <w:rPr>
          <w:rFonts w:ascii="Times New Roman" w:eastAsia="方正仿宋简体" w:hAnsi="Times New Roman" w:cs="Times New Roman" w:hint="eastAsia"/>
          <w:sz w:val="32"/>
          <w:szCs w:val="32"/>
        </w:rPr>
        <w:t>第</w:t>
      </w:r>
      <w:r w:rsidR="00D42F22" w:rsidRPr="00C42AE0">
        <w:rPr>
          <w:rFonts w:ascii="Times New Roman" w:eastAsia="方正仿宋简体" w:hAnsi="Times New Roman" w:cs="Times New Roman"/>
          <w:sz w:val="32"/>
          <w:szCs w:val="32"/>
        </w:rPr>
        <w:t>九条</w:t>
      </w:r>
      <w:r w:rsidR="00D42F22" w:rsidRPr="00C42AE0">
        <w:rPr>
          <w:rFonts w:ascii="Times New Roman" w:eastAsia="方正仿宋简体" w:hAnsi="Times New Roman" w:cs="Times New Roman" w:hint="eastAsia"/>
          <w:sz w:val="32"/>
          <w:szCs w:val="32"/>
        </w:rPr>
        <w:t>规定</w:t>
      </w:r>
      <w:r w:rsidR="00D42F22" w:rsidRPr="00C42AE0">
        <w:rPr>
          <w:rFonts w:ascii="Times New Roman" w:eastAsia="方正仿宋简体" w:hAnsi="Times New Roman" w:cs="Times New Roman"/>
          <w:sz w:val="32"/>
          <w:szCs w:val="32"/>
        </w:rPr>
        <w:t>情形的投资者，</w:t>
      </w:r>
      <w:r w:rsidR="00D42F22" w:rsidRPr="00C42AE0">
        <w:rPr>
          <w:rFonts w:ascii="Times New Roman" w:eastAsia="方正仿宋简体" w:hAnsi="Times New Roman" w:cs="Times New Roman" w:hint="eastAsia"/>
          <w:sz w:val="32"/>
          <w:szCs w:val="32"/>
        </w:rPr>
        <w:t>主办券商</w:t>
      </w:r>
      <w:r w:rsidR="00D42F22" w:rsidRPr="00C42AE0">
        <w:rPr>
          <w:rFonts w:ascii="Times New Roman" w:eastAsia="方正仿宋简体" w:hAnsi="Times New Roman" w:cs="Times New Roman" w:hint="eastAsia"/>
          <w:sz w:val="32"/>
          <w:szCs w:val="32"/>
        </w:rPr>
        <w:lastRenderedPageBreak/>
        <w:t>可以依据</w:t>
      </w:r>
      <w:r w:rsidR="005E3974" w:rsidRPr="00C42AE0">
        <w:rPr>
          <w:rFonts w:ascii="Times New Roman" w:eastAsia="方正仿宋简体" w:hAnsi="Times New Roman" w:cs="Times New Roman" w:hint="eastAsia"/>
          <w:sz w:val="32"/>
          <w:szCs w:val="32"/>
        </w:rPr>
        <w:t>全国股转</w:t>
      </w:r>
      <w:r w:rsidR="005E3974" w:rsidRPr="00C42AE0">
        <w:rPr>
          <w:rFonts w:ascii="Times New Roman" w:eastAsia="方正仿宋简体" w:hAnsi="Times New Roman" w:cs="Times New Roman"/>
          <w:sz w:val="32"/>
          <w:szCs w:val="32"/>
        </w:rPr>
        <w:t>公司</w:t>
      </w:r>
      <w:r w:rsidR="00D42F22" w:rsidRPr="00C42AE0">
        <w:rPr>
          <w:rFonts w:ascii="Times New Roman" w:eastAsia="方正仿宋简体" w:hAnsi="Times New Roman" w:cs="Times New Roman" w:hint="eastAsia"/>
          <w:sz w:val="32"/>
          <w:szCs w:val="32"/>
        </w:rPr>
        <w:t>受限投资者可交易证券信息库或查询到的投资者（曾）持股记录，为投资者提供买卖相应股</w:t>
      </w:r>
      <w:r w:rsidR="00DE471F" w:rsidRPr="00C42AE0">
        <w:rPr>
          <w:rFonts w:ascii="Times New Roman" w:eastAsia="方正仿宋简体" w:hAnsi="Times New Roman" w:cs="Times New Roman" w:hint="eastAsia"/>
          <w:sz w:val="32"/>
          <w:szCs w:val="32"/>
        </w:rPr>
        <w:t>票的交易权限。投资者拒绝</w:t>
      </w:r>
      <w:r w:rsidR="00D42F22" w:rsidRPr="00C42AE0">
        <w:rPr>
          <w:rFonts w:ascii="Times New Roman" w:eastAsia="方正仿宋简体" w:hAnsi="Times New Roman" w:cs="Times New Roman" w:hint="eastAsia"/>
          <w:sz w:val="32"/>
          <w:szCs w:val="32"/>
        </w:rPr>
        <w:t>签署风险揭示书的，主办券商应当</w:t>
      </w:r>
      <w:r w:rsidR="00DE471F" w:rsidRPr="00C42AE0">
        <w:rPr>
          <w:rFonts w:ascii="Times New Roman" w:eastAsia="方正仿宋简体" w:hAnsi="Times New Roman" w:cs="Times New Roman" w:hint="eastAsia"/>
          <w:sz w:val="32"/>
          <w:szCs w:val="32"/>
        </w:rPr>
        <w:t>仅</w:t>
      </w:r>
      <w:r w:rsidR="00D42F22" w:rsidRPr="00C42AE0">
        <w:rPr>
          <w:rFonts w:ascii="Times New Roman" w:eastAsia="方正仿宋简体" w:hAnsi="Times New Roman" w:cs="Times New Roman" w:hint="eastAsia"/>
          <w:sz w:val="32"/>
          <w:szCs w:val="32"/>
        </w:rPr>
        <w:t>为投资者提供卖出所持股票的交易权限，不得接受其买入或申购委托。</w:t>
      </w:r>
    </w:p>
    <w:p w:rsidR="00D42F22" w:rsidRPr="00C42AE0" w:rsidRDefault="00C90B12" w:rsidP="00D42F22">
      <w:pPr>
        <w:spacing w:line="600" w:lineRule="exact"/>
        <w:ind w:firstLineChars="200" w:firstLine="640"/>
        <w:rPr>
          <w:rFonts w:ascii="Times New Roman" w:eastAsia="方正仿宋简体" w:hAnsi="Times New Roman" w:cs="Times New Roman"/>
          <w:sz w:val="32"/>
          <w:szCs w:val="32"/>
        </w:rPr>
      </w:pPr>
      <w:r>
        <w:rPr>
          <w:rFonts w:ascii="Times New Roman" w:eastAsia="方正仿宋简体" w:hAnsi="Times New Roman" w:cs="Times New Roman" w:hint="eastAsia"/>
          <w:sz w:val="32"/>
          <w:szCs w:val="32"/>
        </w:rPr>
        <w:t>3.</w:t>
      </w:r>
      <w:r w:rsidR="00D42F22" w:rsidRPr="00C42AE0">
        <w:rPr>
          <w:rFonts w:ascii="Times New Roman" w:eastAsia="方正仿宋简体" w:hAnsi="Times New Roman" w:cs="Times New Roman"/>
          <w:sz w:val="32"/>
          <w:szCs w:val="32"/>
        </w:rPr>
        <w:t>主办券商</w:t>
      </w:r>
      <w:r w:rsidR="00D42F22" w:rsidRPr="00C42AE0">
        <w:rPr>
          <w:rFonts w:ascii="Times New Roman" w:eastAsia="方正仿宋简体" w:hAnsi="Times New Roman" w:cs="Times New Roman" w:hint="eastAsia"/>
          <w:sz w:val="32"/>
          <w:szCs w:val="32"/>
        </w:rPr>
        <w:t>将</w:t>
      </w:r>
      <w:r w:rsidR="00D42F22" w:rsidRPr="00C42AE0">
        <w:rPr>
          <w:rFonts w:ascii="Times New Roman" w:eastAsia="方正仿宋简体" w:hAnsi="Times New Roman" w:cs="Times New Roman"/>
          <w:sz w:val="32"/>
          <w:szCs w:val="32"/>
        </w:rPr>
        <w:t>其名下交易单元租用给投资基金</w:t>
      </w:r>
      <w:r w:rsidR="00D42F22" w:rsidRPr="00C42AE0">
        <w:rPr>
          <w:rFonts w:ascii="Times New Roman" w:eastAsia="方正仿宋简体" w:hAnsi="Times New Roman" w:cs="Times New Roman" w:hint="eastAsia"/>
          <w:sz w:val="32"/>
          <w:szCs w:val="32"/>
        </w:rPr>
        <w:t>等</w:t>
      </w:r>
      <w:r w:rsidR="00D42F22" w:rsidRPr="00C42AE0">
        <w:rPr>
          <w:rFonts w:ascii="Times New Roman" w:eastAsia="方正仿宋简体" w:hAnsi="Times New Roman" w:cs="Times New Roman"/>
          <w:sz w:val="32"/>
          <w:szCs w:val="32"/>
        </w:rPr>
        <w:t>机构</w:t>
      </w:r>
      <w:r w:rsidR="00D42F22" w:rsidRPr="00C42AE0">
        <w:rPr>
          <w:rFonts w:ascii="Times New Roman" w:eastAsia="方正仿宋简体" w:hAnsi="Times New Roman" w:cs="Times New Roman" w:hint="eastAsia"/>
          <w:sz w:val="32"/>
          <w:szCs w:val="32"/>
        </w:rPr>
        <w:t>使用的</w:t>
      </w:r>
      <w:r w:rsidR="00D42F22" w:rsidRPr="00C42AE0">
        <w:rPr>
          <w:rFonts w:ascii="Times New Roman" w:eastAsia="方正仿宋简体" w:hAnsi="Times New Roman" w:cs="Times New Roman"/>
          <w:sz w:val="32"/>
          <w:szCs w:val="32"/>
        </w:rPr>
        <w:t>，应当</w:t>
      </w:r>
      <w:r w:rsidR="00D42F22" w:rsidRPr="00C42AE0">
        <w:rPr>
          <w:rFonts w:ascii="Times New Roman" w:eastAsia="方正仿宋简体" w:hAnsi="Times New Roman" w:cs="Times New Roman" w:hint="eastAsia"/>
          <w:sz w:val="32"/>
          <w:szCs w:val="32"/>
        </w:rPr>
        <w:t>与</w:t>
      </w:r>
      <w:r w:rsidR="00D42F22" w:rsidRPr="00C42AE0">
        <w:rPr>
          <w:rFonts w:ascii="Times New Roman" w:eastAsia="方正仿宋简体" w:hAnsi="Times New Roman" w:cs="Times New Roman"/>
          <w:sz w:val="32"/>
          <w:szCs w:val="32"/>
        </w:rPr>
        <w:t>承租机构</w:t>
      </w:r>
      <w:r w:rsidR="00D42F22" w:rsidRPr="00C42AE0">
        <w:rPr>
          <w:rFonts w:ascii="Times New Roman" w:eastAsia="方正仿宋简体" w:hAnsi="Times New Roman" w:cs="Times New Roman" w:hint="eastAsia"/>
          <w:sz w:val="32"/>
          <w:szCs w:val="32"/>
        </w:rPr>
        <w:t>就</w:t>
      </w:r>
      <w:r w:rsidR="00D42F22" w:rsidRPr="00C42AE0">
        <w:rPr>
          <w:rFonts w:ascii="Times New Roman" w:eastAsia="方正仿宋简体" w:hAnsi="Times New Roman" w:cs="Times New Roman"/>
          <w:sz w:val="32"/>
          <w:szCs w:val="32"/>
        </w:rPr>
        <w:t>其合</w:t>
      </w:r>
      <w:proofErr w:type="gramStart"/>
      <w:r w:rsidR="00D42F22" w:rsidRPr="00C42AE0">
        <w:rPr>
          <w:rFonts w:ascii="Times New Roman" w:eastAsia="方正仿宋简体" w:hAnsi="Times New Roman" w:cs="Times New Roman"/>
          <w:sz w:val="32"/>
          <w:szCs w:val="32"/>
        </w:rPr>
        <w:t>规</w:t>
      </w:r>
      <w:proofErr w:type="gramEnd"/>
      <w:r w:rsidR="00D42F22" w:rsidRPr="00C42AE0">
        <w:rPr>
          <w:rFonts w:ascii="Times New Roman" w:eastAsia="方正仿宋简体" w:hAnsi="Times New Roman" w:cs="Times New Roman" w:hint="eastAsia"/>
          <w:sz w:val="32"/>
          <w:szCs w:val="32"/>
        </w:rPr>
        <w:t>使用</w:t>
      </w:r>
      <w:r w:rsidR="00D42F22" w:rsidRPr="00C42AE0">
        <w:rPr>
          <w:rFonts w:ascii="Times New Roman" w:eastAsia="方正仿宋简体" w:hAnsi="Times New Roman" w:cs="Times New Roman"/>
          <w:sz w:val="32"/>
          <w:szCs w:val="32"/>
        </w:rPr>
        <w:t>交易单元进行约定</w:t>
      </w:r>
      <w:r w:rsidR="00D42F22" w:rsidRPr="00C42AE0">
        <w:rPr>
          <w:rFonts w:ascii="Times New Roman" w:eastAsia="方正仿宋简体" w:hAnsi="Times New Roman" w:cs="Times New Roman" w:hint="eastAsia"/>
          <w:sz w:val="32"/>
          <w:szCs w:val="32"/>
        </w:rPr>
        <w:t>，</w:t>
      </w:r>
      <w:r w:rsidR="00D42F22" w:rsidRPr="00C42AE0">
        <w:rPr>
          <w:rFonts w:ascii="Times New Roman" w:eastAsia="方正仿宋简体" w:hAnsi="Times New Roman" w:cs="Times New Roman"/>
          <w:sz w:val="32"/>
          <w:szCs w:val="32"/>
        </w:rPr>
        <w:t>明确承租机构</w:t>
      </w:r>
      <w:r w:rsidR="00D42F22" w:rsidRPr="00C42AE0">
        <w:rPr>
          <w:rFonts w:ascii="Times New Roman" w:eastAsia="方正仿宋简体" w:hAnsi="Times New Roman" w:cs="Times New Roman" w:hint="eastAsia"/>
          <w:sz w:val="32"/>
          <w:szCs w:val="32"/>
        </w:rPr>
        <w:t>不得</w:t>
      </w:r>
      <w:r w:rsidR="00D42F22" w:rsidRPr="00C42AE0">
        <w:rPr>
          <w:rFonts w:ascii="Times New Roman" w:eastAsia="方正仿宋简体" w:hAnsi="Times New Roman" w:cs="Times New Roman"/>
          <w:sz w:val="32"/>
          <w:szCs w:val="32"/>
        </w:rPr>
        <w:t>违规将交易单元提供给不符合投资</w:t>
      </w:r>
      <w:r w:rsidR="00D42F22" w:rsidRPr="00C42AE0">
        <w:rPr>
          <w:rFonts w:ascii="Times New Roman" w:eastAsia="方正仿宋简体" w:hAnsi="Times New Roman" w:cs="Times New Roman" w:hint="eastAsia"/>
          <w:sz w:val="32"/>
          <w:szCs w:val="32"/>
        </w:rPr>
        <w:t>者适当性</w:t>
      </w:r>
      <w:r w:rsidR="00D42F22" w:rsidRPr="00C42AE0">
        <w:rPr>
          <w:rFonts w:ascii="Times New Roman" w:eastAsia="方正仿宋简体" w:hAnsi="Times New Roman" w:cs="Times New Roman"/>
          <w:sz w:val="32"/>
          <w:szCs w:val="32"/>
        </w:rPr>
        <w:t>要求的第三方使用。</w:t>
      </w:r>
    </w:p>
    <w:p w:rsidR="00D42FB6" w:rsidRPr="00C42AE0" w:rsidRDefault="00307FE9" w:rsidP="00CE6762">
      <w:pPr>
        <w:spacing w:line="600" w:lineRule="exact"/>
        <w:ind w:firstLineChars="200" w:firstLine="640"/>
        <w:rPr>
          <w:rFonts w:ascii="Times New Roman" w:eastAsia="黑体" w:hAnsi="Times New Roman" w:cs="Times New Roman"/>
          <w:sz w:val="32"/>
          <w:szCs w:val="32"/>
        </w:rPr>
      </w:pPr>
      <w:r w:rsidRPr="00C42AE0">
        <w:rPr>
          <w:rFonts w:ascii="Times New Roman" w:eastAsia="黑体" w:hAnsi="Times New Roman" w:cs="Times New Roman"/>
          <w:sz w:val="32"/>
          <w:szCs w:val="32"/>
        </w:rPr>
        <w:t>三</w:t>
      </w:r>
      <w:r w:rsidR="00892AB2" w:rsidRPr="00C42AE0">
        <w:rPr>
          <w:rFonts w:ascii="Times New Roman" w:eastAsia="黑体" w:hAnsi="Times New Roman" w:cs="Times New Roman"/>
          <w:sz w:val="32"/>
          <w:szCs w:val="32"/>
        </w:rPr>
        <w:t>、</w:t>
      </w:r>
      <w:r w:rsidR="00EF4410" w:rsidRPr="00C42AE0">
        <w:rPr>
          <w:rFonts w:ascii="Times New Roman" w:eastAsia="黑体" w:hAnsi="Times New Roman" w:cs="Times New Roman"/>
          <w:sz w:val="32"/>
          <w:szCs w:val="32"/>
        </w:rPr>
        <w:t>合格投资者</w:t>
      </w:r>
      <w:r w:rsidR="00892AB2" w:rsidRPr="00C42AE0">
        <w:rPr>
          <w:rFonts w:ascii="Times New Roman" w:eastAsia="黑体" w:hAnsi="Times New Roman" w:cs="Times New Roman"/>
          <w:sz w:val="32"/>
          <w:szCs w:val="32"/>
        </w:rPr>
        <w:t>证券账户信息的处理流程</w:t>
      </w:r>
    </w:p>
    <w:p w:rsidR="00D42FB6" w:rsidRPr="00C42AE0" w:rsidRDefault="00EF4410" w:rsidP="00CE6762">
      <w:pPr>
        <w:spacing w:line="600" w:lineRule="exact"/>
        <w:ind w:firstLineChars="200" w:firstLine="640"/>
        <w:rPr>
          <w:rFonts w:ascii="Times New Roman" w:eastAsia="楷体" w:hAnsi="Times New Roman" w:cs="Times New Roman"/>
          <w:sz w:val="32"/>
          <w:szCs w:val="32"/>
        </w:rPr>
      </w:pPr>
      <w:r w:rsidRPr="00C42AE0">
        <w:rPr>
          <w:rFonts w:ascii="Times New Roman" w:eastAsia="楷体" w:hAnsi="Times New Roman" w:cs="Times New Roman"/>
          <w:sz w:val="32"/>
          <w:szCs w:val="32"/>
        </w:rPr>
        <w:t>（一）</w:t>
      </w:r>
      <w:r w:rsidR="00892AB2" w:rsidRPr="00C42AE0">
        <w:rPr>
          <w:rFonts w:ascii="Times New Roman" w:eastAsia="楷体" w:hAnsi="Times New Roman" w:cs="Times New Roman"/>
          <w:sz w:val="32"/>
          <w:szCs w:val="32"/>
        </w:rPr>
        <w:t>证券账户信息接收</w:t>
      </w:r>
    </w:p>
    <w:p w:rsidR="00D42FB6" w:rsidRPr="00C42AE0" w:rsidRDefault="00892AB2"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每个</w:t>
      </w:r>
      <w:r w:rsidR="00F345F0" w:rsidRPr="00C42AE0">
        <w:rPr>
          <w:rFonts w:ascii="Times New Roman" w:eastAsia="方正仿宋简体" w:hAnsi="Times New Roman" w:cs="Times New Roman"/>
          <w:sz w:val="32"/>
          <w:szCs w:val="32"/>
        </w:rPr>
        <w:t>交易</w:t>
      </w:r>
      <w:r w:rsidRPr="00C42AE0">
        <w:rPr>
          <w:rFonts w:ascii="Times New Roman" w:eastAsia="方正仿宋简体" w:hAnsi="Times New Roman" w:cs="Times New Roman"/>
          <w:sz w:val="32"/>
          <w:szCs w:val="32"/>
        </w:rPr>
        <w:t>日</w:t>
      </w:r>
      <w:r w:rsidR="00A572DE" w:rsidRPr="00C42AE0">
        <w:rPr>
          <w:rFonts w:ascii="Times New Roman" w:eastAsia="方正仿宋简体" w:hAnsi="Times New Roman" w:cs="Times New Roman"/>
          <w:sz w:val="32"/>
          <w:szCs w:val="32"/>
        </w:rPr>
        <w:t>16:15</w:t>
      </w:r>
      <w:r w:rsidR="009A5C12" w:rsidRPr="00C42AE0">
        <w:rPr>
          <w:rFonts w:ascii="Times New Roman" w:eastAsia="方正仿宋简体" w:hAnsi="Times New Roman" w:cs="Times New Roman"/>
          <w:sz w:val="32"/>
          <w:szCs w:val="32"/>
        </w:rPr>
        <w:t>后</w:t>
      </w:r>
      <w:r w:rsidRPr="00C42AE0">
        <w:rPr>
          <w:rFonts w:ascii="Times New Roman" w:eastAsia="方正仿宋简体" w:hAnsi="Times New Roman" w:cs="Times New Roman"/>
          <w:sz w:val="32"/>
          <w:szCs w:val="32"/>
        </w:rPr>
        <w:t>，全国股转</w:t>
      </w:r>
      <w:r w:rsidR="004460F8" w:rsidRPr="00C42AE0">
        <w:rPr>
          <w:rFonts w:ascii="Times New Roman" w:eastAsia="方正仿宋简体" w:hAnsi="Times New Roman" w:cs="Times New Roman"/>
          <w:sz w:val="32"/>
          <w:szCs w:val="32"/>
        </w:rPr>
        <w:t>公司接收</w:t>
      </w:r>
      <w:r w:rsidR="00DF01C2" w:rsidRPr="00C42AE0">
        <w:rPr>
          <w:rFonts w:ascii="Times New Roman" w:eastAsia="方正仿宋简体" w:hAnsi="Times New Roman" w:cs="Times New Roman"/>
          <w:sz w:val="32"/>
          <w:szCs w:val="32"/>
        </w:rPr>
        <w:t>中国结算北京分公司</w:t>
      </w:r>
      <w:r w:rsidRPr="00C42AE0">
        <w:rPr>
          <w:rFonts w:ascii="Times New Roman" w:eastAsia="方正仿宋简体" w:hAnsi="Times New Roman" w:cs="Times New Roman"/>
          <w:sz w:val="32"/>
          <w:szCs w:val="32"/>
        </w:rPr>
        <w:t>发送的</w:t>
      </w:r>
      <w:r w:rsidR="00725D8F" w:rsidRPr="00C42AE0">
        <w:rPr>
          <w:rFonts w:ascii="Times New Roman" w:eastAsia="方正仿宋简体" w:hAnsi="Times New Roman" w:cs="Times New Roman"/>
          <w:sz w:val="32"/>
          <w:szCs w:val="32"/>
        </w:rPr>
        <w:t>增量</w:t>
      </w:r>
      <w:r w:rsidRPr="00C42AE0">
        <w:rPr>
          <w:rFonts w:ascii="Times New Roman" w:eastAsia="方正仿宋简体" w:hAnsi="Times New Roman" w:cs="Times New Roman"/>
          <w:sz w:val="32"/>
          <w:szCs w:val="32"/>
        </w:rPr>
        <w:t>证券账户信息。</w:t>
      </w:r>
    </w:p>
    <w:p w:rsidR="00D42FB6" w:rsidRPr="00C42AE0" w:rsidRDefault="00EF4410" w:rsidP="00CE6762">
      <w:pPr>
        <w:spacing w:line="600" w:lineRule="exact"/>
        <w:ind w:firstLineChars="200" w:firstLine="640"/>
        <w:rPr>
          <w:rFonts w:ascii="Times New Roman" w:eastAsia="楷体" w:hAnsi="Times New Roman" w:cs="Times New Roman"/>
          <w:sz w:val="32"/>
          <w:szCs w:val="32"/>
        </w:rPr>
      </w:pPr>
      <w:r w:rsidRPr="00C42AE0">
        <w:rPr>
          <w:rFonts w:ascii="Times New Roman" w:eastAsia="楷体" w:hAnsi="Times New Roman" w:cs="Times New Roman"/>
          <w:sz w:val="32"/>
          <w:szCs w:val="32"/>
        </w:rPr>
        <w:t>（二）</w:t>
      </w:r>
      <w:r w:rsidR="00725D8F" w:rsidRPr="00C42AE0">
        <w:rPr>
          <w:rFonts w:ascii="Times New Roman" w:eastAsia="楷体" w:hAnsi="Times New Roman" w:cs="Times New Roman"/>
          <w:sz w:val="32"/>
          <w:szCs w:val="32"/>
        </w:rPr>
        <w:t>投资者适当性管理</w:t>
      </w:r>
      <w:r w:rsidR="00892AB2" w:rsidRPr="00C42AE0">
        <w:rPr>
          <w:rFonts w:ascii="Times New Roman" w:eastAsia="楷体" w:hAnsi="Times New Roman" w:cs="Times New Roman"/>
          <w:sz w:val="32"/>
          <w:szCs w:val="32"/>
        </w:rPr>
        <w:t>证券账户信息生成</w:t>
      </w:r>
    </w:p>
    <w:p w:rsidR="00D42FB6" w:rsidRPr="00BD50D4" w:rsidRDefault="00892AB2" w:rsidP="00CE6762">
      <w:pPr>
        <w:spacing w:line="600" w:lineRule="exact"/>
        <w:ind w:firstLineChars="200" w:firstLine="640"/>
        <w:rPr>
          <w:rFonts w:ascii="Times New Roman" w:eastAsia="方正仿宋简体" w:hAnsi="Times New Roman" w:cs="Times New Roman"/>
          <w:sz w:val="32"/>
          <w:szCs w:val="32"/>
        </w:rPr>
      </w:pPr>
      <w:r w:rsidRPr="00C42AE0">
        <w:rPr>
          <w:rFonts w:ascii="Times New Roman" w:eastAsia="方正仿宋简体" w:hAnsi="Times New Roman" w:cs="Times New Roman"/>
          <w:sz w:val="32"/>
          <w:szCs w:val="32"/>
        </w:rPr>
        <w:t>每个</w:t>
      </w:r>
      <w:r w:rsidR="00F345F0" w:rsidRPr="00C42AE0">
        <w:rPr>
          <w:rFonts w:ascii="Times New Roman" w:eastAsia="方正仿宋简体" w:hAnsi="Times New Roman" w:cs="Times New Roman"/>
          <w:sz w:val="32"/>
          <w:szCs w:val="32"/>
        </w:rPr>
        <w:t>交易</w:t>
      </w:r>
      <w:r w:rsidRPr="00C42AE0">
        <w:rPr>
          <w:rFonts w:ascii="Times New Roman" w:eastAsia="方正仿宋简体" w:hAnsi="Times New Roman" w:cs="Times New Roman"/>
          <w:sz w:val="32"/>
          <w:szCs w:val="32"/>
        </w:rPr>
        <w:t>日</w:t>
      </w:r>
      <w:r w:rsidRPr="00C42AE0">
        <w:rPr>
          <w:rFonts w:ascii="Times New Roman" w:eastAsia="方正仿宋简体" w:hAnsi="Times New Roman" w:cs="Times New Roman"/>
          <w:sz w:val="32"/>
          <w:szCs w:val="32"/>
        </w:rPr>
        <w:t>19</w:t>
      </w:r>
      <w:r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30</w:t>
      </w:r>
      <w:r w:rsidRPr="00C42AE0">
        <w:rPr>
          <w:rFonts w:ascii="Times New Roman" w:eastAsia="方正仿宋简体" w:hAnsi="Times New Roman" w:cs="Times New Roman"/>
          <w:sz w:val="32"/>
          <w:szCs w:val="32"/>
        </w:rPr>
        <w:t>后，全国股转</w:t>
      </w:r>
      <w:r w:rsidR="004460F8" w:rsidRPr="00C42AE0">
        <w:rPr>
          <w:rFonts w:ascii="Times New Roman" w:eastAsia="方正仿宋简体" w:hAnsi="Times New Roman" w:cs="Times New Roman"/>
          <w:sz w:val="32"/>
          <w:szCs w:val="32"/>
        </w:rPr>
        <w:t>公司</w:t>
      </w:r>
      <w:r w:rsidRPr="00C42AE0">
        <w:rPr>
          <w:rFonts w:ascii="Times New Roman" w:eastAsia="方正仿宋简体" w:hAnsi="Times New Roman" w:cs="Times New Roman"/>
          <w:sz w:val="32"/>
          <w:szCs w:val="32"/>
        </w:rPr>
        <w:t>对各主办券商上报的</w:t>
      </w:r>
      <w:r w:rsidR="009025D0" w:rsidRPr="00C42AE0">
        <w:rPr>
          <w:rFonts w:ascii="Times New Roman" w:eastAsia="方正仿宋简体" w:hAnsi="Times New Roman" w:cs="Times New Roman"/>
          <w:sz w:val="32"/>
          <w:szCs w:val="32"/>
        </w:rPr>
        <w:t>合格投资者</w:t>
      </w:r>
      <w:r w:rsidRPr="00C42AE0">
        <w:rPr>
          <w:rFonts w:ascii="Times New Roman" w:eastAsia="方正仿宋简体" w:hAnsi="Times New Roman" w:cs="Times New Roman"/>
          <w:sz w:val="32"/>
          <w:szCs w:val="32"/>
        </w:rPr>
        <w:t>证券账户信息进行汇总，生成《当日新增合格投资者汇总信息库》。</w:t>
      </w:r>
      <w:r w:rsidR="00227748" w:rsidRPr="00C42AE0">
        <w:rPr>
          <w:rFonts w:ascii="Times New Roman" w:eastAsia="方正仿宋简体" w:hAnsi="Times New Roman" w:cs="Times New Roman"/>
          <w:sz w:val="32"/>
          <w:szCs w:val="32"/>
        </w:rPr>
        <w:t>上述事项完成后</w:t>
      </w:r>
      <w:r w:rsidRPr="00C42AE0">
        <w:rPr>
          <w:rFonts w:ascii="Times New Roman" w:eastAsia="方正仿宋简体" w:hAnsi="Times New Roman" w:cs="Times New Roman"/>
          <w:sz w:val="32"/>
          <w:szCs w:val="32"/>
        </w:rPr>
        <w:t>，</w:t>
      </w:r>
      <w:r w:rsidR="004505AB" w:rsidRPr="00C42AE0">
        <w:rPr>
          <w:rFonts w:ascii="Times New Roman" w:eastAsia="方正仿宋简体" w:hAnsi="Times New Roman" w:cs="Times New Roman"/>
          <w:sz w:val="32"/>
          <w:szCs w:val="32"/>
        </w:rPr>
        <w:t>全国股转</w:t>
      </w:r>
      <w:r w:rsidR="004460F8" w:rsidRPr="00C42AE0">
        <w:rPr>
          <w:rFonts w:ascii="Times New Roman" w:eastAsia="方正仿宋简体" w:hAnsi="Times New Roman" w:cs="Times New Roman"/>
          <w:sz w:val="32"/>
          <w:szCs w:val="32"/>
        </w:rPr>
        <w:t>公司</w:t>
      </w:r>
      <w:r w:rsidR="00592711" w:rsidRPr="00C42AE0">
        <w:rPr>
          <w:rFonts w:ascii="Times New Roman" w:eastAsia="方正仿宋简体" w:hAnsi="Times New Roman" w:cs="Times New Roman"/>
          <w:sz w:val="32"/>
          <w:szCs w:val="32"/>
        </w:rPr>
        <w:t>将</w:t>
      </w:r>
      <w:r w:rsidR="004505AB" w:rsidRPr="00C42AE0">
        <w:rPr>
          <w:rFonts w:ascii="Times New Roman" w:eastAsia="方正仿宋简体" w:hAnsi="Times New Roman" w:cs="Times New Roman"/>
          <w:sz w:val="32"/>
          <w:szCs w:val="32"/>
        </w:rPr>
        <w:t>主办券商报送的合格</w:t>
      </w:r>
      <w:r w:rsidR="00592711" w:rsidRPr="00C42AE0">
        <w:rPr>
          <w:rFonts w:ascii="Times New Roman" w:eastAsia="方正仿宋简体" w:hAnsi="Times New Roman" w:cs="Times New Roman"/>
          <w:sz w:val="32"/>
          <w:szCs w:val="32"/>
        </w:rPr>
        <w:t>投资者证券账户信息与</w:t>
      </w:r>
      <w:r w:rsidR="004505AB" w:rsidRPr="00C42AE0">
        <w:rPr>
          <w:rFonts w:ascii="Times New Roman" w:eastAsia="方正仿宋简体" w:hAnsi="Times New Roman" w:cs="Times New Roman"/>
          <w:sz w:val="32"/>
          <w:szCs w:val="32"/>
        </w:rPr>
        <w:t>中国结算北京分公司发送的曾持股证券账户信息</w:t>
      </w:r>
      <w:r w:rsidR="00592711" w:rsidRPr="00C42AE0">
        <w:rPr>
          <w:rFonts w:ascii="Times New Roman" w:eastAsia="方正仿宋简体" w:hAnsi="Times New Roman" w:cs="Times New Roman"/>
          <w:sz w:val="32"/>
          <w:szCs w:val="32"/>
        </w:rPr>
        <w:t>进行比对处理</w:t>
      </w:r>
      <w:r w:rsidR="004460F8" w:rsidRPr="00C42AE0">
        <w:rPr>
          <w:rFonts w:ascii="Times New Roman" w:eastAsia="方正仿宋简体" w:hAnsi="Times New Roman" w:cs="Times New Roman"/>
          <w:sz w:val="32"/>
          <w:szCs w:val="32"/>
        </w:rPr>
        <w:t>，</w:t>
      </w:r>
      <w:r w:rsidRPr="00C42AE0">
        <w:rPr>
          <w:rFonts w:ascii="Times New Roman" w:eastAsia="方正仿宋简体" w:hAnsi="Times New Roman" w:cs="Times New Roman"/>
          <w:sz w:val="32"/>
          <w:szCs w:val="32"/>
        </w:rPr>
        <w:t>生成《受限投资者可交易证券信息库》，主要包括全部受限投资者证券账户及可</w:t>
      </w:r>
      <w:r w:rsidRPr="00BD50D4">
        <w:rPr>
          <w:rFonts w:ascii="Times New Roman" w:eastAsia="方正仿宋简体" w:hAnsi="Times New Roman" w:cs="Times New Roman"/>
          <w:sz w:val="32"/>
          <w:szCs w:val="32"/>
        </w:rPr>
        <w:t>交易证券等信息。</w:t>
      </w:r>
    </w:p>
    <w:p w:rsidR="00D42FB6" w:rsidRPr="00BD50D4" w:rsidRDefault="009025D0" w:rsidP="00CE6762">
      <w:pPr>
        <w:spacing w:line="600" w:lineRule="exact"/>
        <w:ind w:firstLineChars="200" w:firstLine="640"/>
        <w:rPr>
          <w:rFonts w:ascii="Times New Roman" w:eastAsia="楷体" w:hAnsi="Times New Roman" w:cs="Times New Roman"/>
          <w:sz w:val="32"/>
          <w:szCs w:val="32"/>
        </w:rPr>
      </w:pPr>
      <w:r w:rsidRPr="00BD50D4">
        <w:rPr>
          <w:rFonts w:ascii="Times New Roman" w:eastAsia="楷体" w:hAnsi="Times New Roman" w:cs="Times New Roman"/>
          <w:sz w:val="32"/>
          <w:szCs w:val="32"/>
        </w:rPr>
        <w:t>（三）</w:t>
      </w:r>
      <w:r w:rsidR="00892AB2" w:rsidRPr="00BD50D4">
        <w:rPr>
          <w:rFonts w:ascii="Times New Roman" w:eastAsia="楷体" w:hAnsi="Times New Roman" w:cs="Times New Roman"/>
          <w:sz w:val="32"/>
          <w:szCs w:val="32"/>
        </w:rPr>
        <w:t>证券账户信息下发</w:t>
      </w:r>
    </w:p>
    <w:p w:rsidR="00D42FB6" w:rsidRPr="00BD50D4" w:rsidRDefault="00892AB2" w:rsidP="00CE6762">
      <w:pPr>
        <w:spacing w:line="600" w:lineRule="exact"/>
        <w:ind w:firstLineChars="200" w:firstLine="640"/>
        <w:rPr>
          <w:rFonts w:ascii="Times New Roman" w:eastAsia="方正仿宋简体" w:hAnsi="Times New Roman" w:cs="Times New Roman"/>
          <w:sz w:val="32"/>
          <w:szCs w:val="32"/>
        </w:rPr>
      </w:pPr>
      <w:r w:rsidRPr="00BD50D4">
        <w:rPr>
          <w:rFonts w:ascii="Times New Roman" w:eastAsia="方正仿宋简体" w:hAnsi="Times New Roman" w:cs="Times New Roman"/>
          <w:sz w:val="32"/>
          <w:szCs w:val="32"/>
        </w:rPr>
        <w:t>每个</w:t>
      </w:r>
      <w:r w:rsidR="00F345F0" w:rsidRPr="00BD50D4">
        <w:rPr>
          <w:rFonts w:ascii="Times New Roman" w:eastAsia="方正仿宋简体" w:hAnsi="Times New Roman" w:cs="Times New Roman"/>
          <w:sz w:val="32"/>
          <w:szCs w:val="32"/>
        </w:rPr>
        <w:t>交易</w:t>
      </w:r>
      <w:r w:rsidRPr="00BD50D4">
        <w:rPr>
          <w:rFonts w:ascii="Times New Roman" w:eastAsia="方正仿宋简体" w:hAnsi="Times New Roman" w:cs="Times New Roman"/>
          <w:sz w:val="32"/>
          <w:szCs w:val="32"/>
        </w:rPr>
        <w:t>日</w:t>
      </w:r>
      <w:r w:rsidRPr="00BD50D4">
        <w:rPr>
          <w:rFonts w:ascii="Times New Roman" w:eastAsia="方正仿宋简体" w:hAnsi="Times New Roman" w:cs="Times New Roman"/>
          <w:sz w:val="32"/>
          <w:szCs w:val="32"/>
        </w:rPr>
        <w:t>20:00</w:t>
      </w:r>
      <w:r w:rsidRPr="00BD50D4">
        <w:rPr>
          <w:rFonts w:ascii="Times New Roman" w:eastAsia="方正仿宋简体" w:hAnsi="Times New Roman" w:cs="Times New Roman"/>
          <w:sz w:val="32"/>
          <w:szCs w:val="32"/>
        </w:rPr>
        <w:t>后，全国股转</w:t>
      </w:r>
      <w:r w:rsidR="004460F8" w:rsidRPr="00BD50D4">
        <w:rPr>
          <w:rFonts w:ascii="Times New Roman" w:eastAsia="方正仿宋简体" w:hAnsi="Times New Roman" w:cs="Times New Roman"/>
          <w:sz w:val="32"/>
          <w:szCs w:val="32"/>
        </w:rPr>
        <w:t>公司</w:t>
      </w:r>
      <w:r w:rsidRPr="00BD50D4">
        <w:rPr>
          <w:rFonts w:ascii="Times New Roman" w:eastAsia="方正仿宋简体" w:hAnsi="Times New Roman" w:cs="Times New Roman"/>
          <w:sz w:val="32"/>
          <w:szCs w:val="32"/>
        </w:rPr>
        <w:t>通过</w:t>
      </w:r>
      <w:r w:rsidRPr="00BD50D4">
        <w:rPr>
          <w:rFonts w:ascii="Times New Roman" w:eastAsia="方正仿宋简体" w:hAnsi="Times New Roman" w:cs="Times New Roman"/>
          <w:sz w:val="32"/>
          <w:szCs w:val="32"/>
        </w:rPr>
        <w:t>FDEP</w:t>
      </w:r>
      <w:r w:rsidRPr="00BD50D4">
        <w:rPr>
          <w:rFonts w:ascii="Times New Roman" w:eastAsia="方正仿宋简体" w:hAnsi="Times New Roman" w:cs="Times New Roman"/>
          <w:sz w:val="32"/>
          <w:szCs w:val="32"/>
        </w:rPr>
        <w:t>向各主</w:t>
      </w:r>
      <w:r w:rsidRPr="00BD50D4">
        <w:rPr>
          <w:rFonts w:ascii="Times New Roman" w:eastAsia="方正仿宋简体" w:hAnsi="Times New Roman" w:cs="Times New Roman"/>
          <w:sz w:val="32"/>
          <w:szCs w:val="32"/>
        </w:rPr>
        <w:lastRenderedPageBreak/>
        <w:t>办券商下发《当日新增合格投资者汇总信息库》以及《受限投资者可交易证券信息库》。</w:t>
      </w:r>
    </w:p>
    <w:p w:rsidR="00D42FB6" w:rsidRPr="00BD50D4" w:rsidRDefault="00892AB2" w:rsidP="00CE6762">
      <w:pPr>
        <w:spacing w:line="600" w:lineRule="exact"/>
        <w:ind w:firstLineChars="200" w:firstLine="640"/>
        <w:rPr>
          <w:rFonts w:ascii="Times New Roman" w:eastAsia="方正仿宋简体" w:hAnsi="Times New Roman" w:cs="Times New Roman"/>
          <w:sz w:val="32"/>
          <w:szCs w:val="32"/>
        </w:rPr>
      </w:pPr>
      <w:r w:rsidRPr="00BD50D4">
        <w:rPr>
          <w:rFonts w:ascii="Times New Roman" w:eastAsia="方正仿宋简体" w:hAnsi="Times New Roman" w:cs="Times New Roman"/>
          <w:sz w:val="32"/>
          <w:szCs w:val="32"/>
        </w:rPr>
        <w:t>每月第一个</w:t>
      </w:r>
      <w:r w:rsidR="00F345F0" w:rsidRPr="00BD50D4">
        <w:rPr>
          <w:rFonts w:ascii="Times New Roman" w:eastAsia="方正仿宋简体" w:hAnsi="Times New Roman" w:cs="Times New Roman"/>
          <w:sz w:val="32"/>
          <w:szCs w:val="32"/>
        </w:rPr>
        <w:t>交易</w:t>
      </w:r>
      <w:r w:rsidRPr="00BD50D4">
        <w:rPr>
          <w:rFonts w:ascii="Times New Roman" w:eastAsia="方正仿宋简体" w:hAnsi="Times New Roman" w:cs="Times New Roman"/>
          <w:sz w:val="32"/>
          <w:szCs w:val="32"/>
        </w:rPr>
        <w:t>日</w:t>
      </w:r>
      <w:r w:rsidRPr="00BD50D4">
        <w:rPr>
          <w:rFonts w:ascii="Times New Roman" w:eastAsia="方正仿宋简体" w:hAnsi="Times New Roman" w:cs="Times New Roman"/>
          <w:sz w:val="32"/>
          <w:szCs w:val="32"/>
        </w:rPr>
        <w:t>20</w:t>
      </w:r>
      <w:r w:rsidRPr="00BD50D4">
        <w:rPr>
          <w:rFonts w:ascii="Times New Roman" w:eastAsia="方正仿宋简体" w:hAnsi="Times New Roman" w:cs="Times New Roman"/>
          <w:sz w:val="32"/>
          <w:szCs w:val="32"/>
        </w:rPr>
        <w:t>：</w:t>
      </w:r>
      <w:r w:rsidRPr="00BD50D4">
        <w:rPr>
          <w:rFonts w:ascii="Times New Roman" w:eastAsia="方正仿宋简体" w:hAnsi="Times New Roman" w:cs="Times New Roman"/>
          <w:sz w:val="32"/>
          <w:szCs w:val="32"/>
        </w:rPr>
        <w:t>00</w:t>
      </w:r>
      <w:r w:rsidRPr="00BD50D4">
        <w:rPr>
          <w:rFonts w:ascii="Times New Roman" w:eastAsia="方正仿宋简体" w:hAnsi="Times New Roman" w:cs="Times New Roman"/>
          <w:sz w:val="32"/>
          <w:szCs w:val="32"/>
        </w:rPr>
        <w:t>后，全国股转</w:t>
      </w:r>
      <w:r w:rsidR="004460F8" w:rsidRPr="00BD50D4">
        <w:rPr>
          <w:rFonts w:ascii="Times New Roman" w:eastAsia="方正仿宋简体" w:hAnsi="Times New Roman" w:cs="Times New Roman"/>
          <w:sz w:val="32"/>
          <w:szCs w:val="32"/>
        </w:rPr>
        <w:t>公司</w:t>
      </w:r>
      <w:r w:rsidRPr="00BD50D4">
        <w:rPr>
          <w:rFonts w:ascii="Times New Roman" w:eastAsia="方正仿宋简体" w:hAnsi="Times New Roman" w:cs="Times New Roman"/>
          <w:sz w:val="32"/>
          <w:szCs w:val="32"/>
        </w:rPr>
        <w:t>将向各主办券商下发截至当日的全部合格投资者证券账户信息。</w:t>
      </w:r>
    </w:p>
    <w:p w:rsidR="00D42FB6" w:rsidRPr="00BD50D4" w:rsidRDefault="00307FE9" w:rsidP="00CE6762">
      <w:pPr>
        <w:spacing w:line="600" w:lineRule="exact"/>
        <w:ind w:firstLineChars="200" w:firstLine="640"/>
        <w:rPr>
          <w:rFonts w:ascii="Times New Roman" w:eastAsia="黑体" w:hAnsi="Times New Roman" w:cs="Times New Roman"/>
          <w:sz w:val="32"/>
          <w:szCs w:val="32"/>
        </w:rPr>
      </w:pPr>
      <w:r w:rsidRPr="00BD50D4">
        <w:rPr>
          <w:rFonts w:ascii="Times New Roman" w:eastAsia="黑体" w:hAnsi="Times New Roman" w:cs="Times New Roman"/>
          <w:sz w:val="32"/>
          <w:szCs w:val="32"/>
        </w:rPr>
        <w:t>四</w:t>
      </w:r>
      <w:r w:rsidR="00892AB2" w:rsidRPr="00BD50D4">
        <w:rPr>
          <w:rFonts w:ascii="Times New Roman" w:eastAsia="黑体" w:hAnsi="Times New Roman" w:cs="Times New Roman"/>
          <w:sz w:val="32"/>
          <w:szCs w:val="32"/>
        </w:rPr>
        <w:t>、报送错误信息的反馈与处理</w:t>
      </w:r>
    </w:p>
    <w:p w:rsidR="00F345F0" w:rsidRPr="00BD50D4" w:rsidRDefault="00F345F0" w:rsidP="00CE6762">
      <w:pPr>
        <w:spacing w:line="600" w:lineRule="exact"/>
        <w:ind w:firstLineChars="200" w:firstLine="640"/>
        <w:rPr>
          <w:rFonts w:ascii="Times New Roman" w:eastAsia="方正仿宋简体" w:hAnsi="Times New Roman" w:cs="Times New Roman"/>
          <w:sz w:val="32"/>
          <w:szCs w:val="32"/>
        </w:rPr>
      </w:pPr>
      <w:r w:rsidRPr="00BD50D4">
        <w:rPr>
          <w:rFonts w:ascii="Times New Roman" w:eastAsia="方正仿宋简体" w:hAnsi="Times New Roman" w:cs="Times New Roman"/>
          <w:sz w:val="32"/>
          <w:szCs w:val="32"/>
        </w:rPr>
        <w:t>主办券商报送合格投资者账户信息后，全国股转公司即时反馈报送信息的格式类错误校验结果</w:t>
      </w:r>
      <w:r w:rsidR="004F5FBC" w:rsidRPr="00BD50D4">
        <w:rPr>
          <w:rFonts w:ascii="Times New Roman" w:eastAsia="方正仿宋简体" w:hAnsi="Times New Roman" w:cs="Times New Roman"/>
          <w:sz w:val="32"/>
          <w:szCs w:val="32"/>
        </w:rPr>
        <w:t>，</w:t>
      </w:r>
      <w:r w:rsidRPr="00BD50D4">
        <w:rPr>
          <w:rFonts w:ascii="Times New Roman" w:eastAsia="方正仿宋简体" w:hAnsi="Times New Roman" w:cs="Times New Roman"/>
          <w:sz w:val="32"/>
          <w:szCs w:val="32"/>
        </w:rPr>
        <w:t>主办券商应当于当日更正后重新报送</w:t>
      </w:r>
      <w:r w:rsidR="004F5FBC" w:rsidRPr="00BD50D4">
        <w:rPr>
          <w:rFonts w:ascii="Times New Roman" w:eastAsia="方正仿宋简体" w:hAnsi="Times New Roman" w:cs="Times New Roman"/>
          <w:sz w:val="32"/>
          <w:szCs w:val="32"/>
        </w:rPr>
        <w:t>。</w:t>
      </w:r>
    </w:p>
    <w:p w:rsidR="00EC3870" w:rsidRPr="00BD50D4" w:rsidRDefault="005C6705">
      <w:pPr>
        <w:spacing w:line="600" w:lineRule="exact"/>
        <w:ind w:firstLineChars="200" w:firstLine="640"/>
        <w:rPr>
          <w:rFonts w:ascii="Times New Roman" w:eastAsia="方正仿宋简体" w:hAnsi="Times New Roman" w:cs="Times New Roman"/>
          <w:sz w:val="32"/>
          <w:szCs w:val="32"/>
        </w:rPr>
      </w:pPr>
      <w:r w:rsidRPr="00BD50D4">
        <w:rPr>
          <w:rFonts w:ascii="Times New Roman" w:eastAsia="方正仿宋简体" w:hAnsi="Times New Roman" w:cs="Times New Roman"/>
          <w:sz w:val="32"/>
          <w:szCs w:val="32"/>
        </w:rPr>
        <w:t>全国股转公司</w:t>
      </w:r>
      <w:r w:rsidR="008D0514" w:rsidRPr="00BD50D4">
        <w:rPr>
          <w:rFonts w:ascii="Times New Roman" w:eastAsia="方正仿宋简体" w:hAnsi="Times New Roman" w:cs="Times New Roman"/>
          <w:sz w:val="32"/>
          <w:szCs w:val="32"/>
        </w:rPr>
        <w:t>于每个交易日生成</w:t>
      </w:r>
      <w:r w:rsidR="0052217A" w:rsidRPr="00BD50D4">
        <w:rPr>
          <w:rFonts w:ascii="Times New Roman" w:eastAsia="方正仿宋简体" w:hAnsi="Times New Roman" w:cs="Times New Roman"/>
          <w:sz w:val="32"/>
          <w:szCs w:val="32"/>
        </w:rPr>
        <w:t>投资者适当性管理证券账户信息后，</w:t>
      </w:r>
      <w:r w:rsidR="00650C9E" w:rsidRPr="00BD50D4">
        <w:rPr>
          <w:rFonts w:ascii="Times New Roman" w:eastAsia="方正仿宋简体" w:hAnsi="Times New Roman" w:cs="Times New Roman"/>
          <w:sz w:val="32"/>
          <w:szCs w:val="32"/>
        </w:rPr>
        <w:t>向</w:t>
      </w:r>
      <w:r w:rsidR="0052217A" w:rsidRPr="00BD50D4">
        <w:rPr>
          <w:rFonts w:ascii="Times New Roman" w:eastAsia="方正仿宋简体" w:hAnsi="Times New Roman" w:cs="Times New Roman"/>
          <w:sz w:val="32"/>
          <w:szCs w:val="32"/>
        </w:rPr>
        <w:t>各</w:t>
      </w:r>
      <w:r w:rsidR="00650C9E" w:rsidRPr="00BD50D4">
        <w:rPr>
          <w:rFonts w:ascii="Times New Roman" w:eastAsia="方正仿宋简体" w:hAnsi="Times New Roman" w:cs="Times New Roman"/>
          <w:sz w:val="32"/>
          <w:szCs w:val="32"/>
        </w:rPr>
        <w:t>主办券商反馈</w:t>
      </w:r>
      <w:r w:rsidR="0052217A" w:rsidRPr="00BD50D4">
        <w:rPr>
          <w:rFonts w:ascii="Times New Roman" w:eastAsia="方正仿宋简体" w:hAnsi="Times New Roman" w:cs="Times New Roman"/>
          <w:sz w:val="32"/>
          <w:szCs w:val="32"/>
        </w:rPr>
        <w:t>对其当日报送合格投资者</w:t>
      </w:r>
      <w:r w:rsidR="00650C9E" w:rsidRPr="00BD50D4">
        <w:rPr>
          <w:rFonts w:ascii="Times New Roman" w:eastAsia="方正仿宋简体" w:hAnsi="Times New Roman" w:cs="Times New Roman"/>
          <w:sz w:val="32"/>
          <w:szCs w:val="32"/>
        </w:rPr>
        <w:t>数据</w:t>
      </w:r>
      <w:r w:rsidR="0052217A" w:rsidRPr="00BD50D4">
        <w:rPr>
          <w:rFonts w:ascii="Times New Roman" w:eastAsia="方正仿宋简体" w:hAnsi="Times New Roman" w:cs="Times New Roman"/>
          <w:sz w:val="32"/>
          <w:szCs w:val="32"/>
        </w:rPr>
        <w:t>的</w:t>
      </w:r>
      <w:r w:rsidR="00650C9E" w:rsidRPr="00BD50D4">
        <w:rPr>
          <w:rFonts w:ascii="Times New Roman" w:eastAsia="方正仿宋简体" w:hAnsi="Times New Roman" w:cs="Times New Roman"/>
          <w:sz w:val="32"/>
          <w:szCs w:val="32"/>
        </w:rPr>
        <w:t>处理结果。</w:t>
      </w:r>
      <w:r w:rsidR="008D0514" w:rsidRPr="00BD50D4">
        <w:rPr>
          <w:rFonts w:ascii="Times New Roman" w:eastAsia="方正仿宋简体" w:hAnsi="Times New Roman" w:cs="Times New Roman"/>
          <w:sz w:val="32"/>
          <w:szCs w:val="32"/>
        </w:rPr>
        <w:t>对于报送</w:t>
      </w:r>
      <w:r w:rsidR="002319A9" w:rsidRPr="00BD50D4">
        <w:rPr>
          <w:rFonts w:ascii="Times New Roman" w:eastAsia="方正仿宋简体" w:hAnsi="Times New Roman" w:cs="Times New Roman"/>
          <w:sz w:val="32"/>
          <w:szCs w:val="32"/>
        </w:rPr>
        <w:t>失败</w:t>
      </w:r>
      <w:r w:rsidR="008D0514" w:rsidRPr="00BD50D4">
        <w:rPr>
          <w:rFonts w:ascii="Times New Roman" w:eastAsia="方正仿宋简体" w:hAnsi="Times New Roman" w:cs="Times New Roman"/>
          <w:sz w:val="32"/>
          <w:szCs w:val="32"/>
        </w:rPr>
        <w:t>的合格投资者账户信息，主办券商应当于次一交易日重新报送。</w:t>
      </w:r>
    </w:p>
    <w:p w:rsidR="00E53600" w:rsidRPr="00BD50D4" w:rsidRDefault="00AA0A2C" w:rsidP="00CE6762">
      <w:pPr>
        <w:spacing w:line="600" w:lineRule="exact"/>
        <w:ind w:firstLineChars="200" w:firstLine="640"/>
        <w:rPr>
          <w:rFonts w:ascii="Times New Roman" w:eastAsia="黑体" w:hAnsi="Times New Roman" w:cs="Times New Roman"/>
          <w:sz w:val="32"/>
          <w:szCs w:val="32"/>
        </w:rPr>
      </w:pPr>
      <w:r>
        <w:rPr>
          <w:rFonts w:ascii="Times New Roman" w:eastAsia="黑体" w:hAnsi="Times New Roman" w:cs="Times New Roman" w:hint="eastAsia"/>
          <w:sz w:val="32"/>
          <w:szCs w:val="32"/>
        </w:rPr>
        <w:t>五</w:t>
      </w:r>
      <w:r w:rsidR="00183E88" w:rsidRPr="00BD50D4">
        <w:rPr>
          <w:rFonts w:ascii="Times New Roman" w:eastAsia="黑体" w:hAnsi="Times New Roman" w:cs="Times New Roman"/>
          <w:sz w:val="32"/>
          <w:szCs w:val="32"/>
        </w:rPr>
        <w:t>、本指南自</w:t>
      </w:r>
      <w:r w:rsidR="00F149CD" w:rsidRPr="00BD50D4">
        <w:rPr>
          <w:rFonts w:ascii="Times New Roman" w:eastAsia="黑体" w:hAnsi="Times New Roman" w:cs="Times New Roman"/>
          <w:sz w:val="32"/>
          <w:szCs w:val="32"/>
        </w:rPr>
        <w:t>发布之日起</w:t>
      </w:r>
      <w:r w:rsidR="00183E88" w:rsidRPr="00BD50D4">
        <w:rPr>
          <w:rFonts w:ascii="Times New Roman" w:eastAsia="黑体" w:hAnsi="Times New Roman" w:cs="Times New Roman"/>
          <w:sz w:val="32"/>
          <w:szCs w:val="32"/>
        </w:rPr>
        <w:t>施</w:t>
      </w:r>
      <w:r w:rsidR="007D28EF">
        <w:rPr>
          <w:rFonts w:ascii="Times New Roman" w:eastAsia="黑体" w:hAnsi="Times New Roman" w:cs="Times New Roman" w:hint="eastAsia"/>
          <w:sz w:val="32"/>
          <w:szCs w:val="32"/>
        </w:rPr>
        <w:t>行</w:t>
      </w:r>
    </w:p>
    <w:p w:rsidR="00D42FB6" w:rsidRPr="006819B7" w:rsidRDefault="00D42FB6" w:rsidP="006819B7">
      <w:pPr>
        <w:widowControl/>
        <w:jc w:val="left"/>
        <w:rPr>
          <w:rFonts w:ascii="Times New Roman" w:eastAsia="黑体" w:hAnsi="Times New Roman" w:cs="Times New Roman"/>
          <w:sz w:val="32"/>
          <w:szCs w:val="32"/>
        </w:rPr>
      </w:pPr>
    </w:p>
    <w:sectPr w:rsidR="00D42FB6" w:rsidRPr="006819B7">
      <w:footerReference w:type="default" r:id="rId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598" w:rsidRDefault="00FA5598">
      <w:r>
        <w:separator/>
      </w:r>
    </w:p>
  </w:endnote>
  <w:endnote w:type="continuationSeparator" w:id="0">
    <w:p w:rsidR="00FA5598" w:rsidRDefault="00FA5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方正仿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FB6" w:rsidRDefault="00892AB2">
    <w:pPr>
      <w:pStyle w:val="a6"/>
      <w:jc w:val="center"/>
    </w:pPr>
    <w:r>
      <w:fldChar w:fldCharType="begin"/>
    </w:r>
    <w:r>
      <w:instrText>PAGE   \* MERGEFORMAT</w:instrText>
    </w:r>
    <w:r>
      <w:fldChar w:fldCharType="separate"/>
    </w:r>
    <w:r w:rsidR="005C0AD1" w:rsidRPr="005C0AD1">
      <w:rPr>
        <w:noProof/>
        <w:lang w:val="zh-CN"/>
      </w:rPr>
      <w:t>2</w:t>
    </w:r>
    <w:r>
      <w:fldChar w:fldCharType="end"/>
    </w:r>
  </w:p>
  <w:p w:rsidR="00D42FB6" w:rsidRDefault="00D42FB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598" w:rsidRDefault="00FA5598">
      <w:r>
        <w:separator/>
      </w:r>
    </w:p>
  </w:footnote>
  <w:footnote w:type="continuationSeparator" w:id="0">
    <w:p w:rsidR="00FA5598" w:rsidRDefault="00FA559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FB6"/>
    <w:rsid w:val="00002AE0"/>
    <w:rsid w:val="00003E08"/>
    <w:rsid w:val="00004A8A"/>
    <w:rsid w:val="00041C43"/>
    <w:rsid w:val="00047852"/>
    <w:rsid w:val="0006682C"/>
    <w:rsid w:val="0009020E"/>
    <w:rsid w:val="000A17ED"/>
    <w:rsid w:val="000A35D8"/>
    <w:rsid w:val="000A405F"/>
    <w:rsid w:val="000B44E8"/>
    <w:rsid w:val="000C1C0C"/>
    <w:rsid w:val="000C5BC4"/>
    <w:rsid w:val="000D2A08"/>
    <w:rsid w:val="000F512E"/>
    <w:rsid w:val="00102266"/>
    <w:rsid w:val="0010233A"/>
    <w:rsid w:val="0010554E"/>
    <w:rsid w:val="00120BA5"/>
    <w:rsid w:val="001358E2"/>
    <w:rsid w:val="0014742B"/>
    <w:rsid w:val="00154255"/>
    <w:rsid w:val="001645C9"/>
    <w:rsid w:val="00164C5B"/>
    <w:rsid w:val="0017641F"/>
    <w:rsid w:val="00183DC7"/>
    <w:rsid w:val="00183E88"/>
    <w:rsid w:val="00193490"/>
    <w:rsid w:val="001B48B3"/>
    <w:rsid w:val="001C0643"/>
    <w:rsid w:val="001C1775"/>
    <w:rsid w:val="001F47F2"/>
    <w:rsid w:val="001F4C2F"/>
    <w:rsid w:val="002149D8"/>
    <w:rsid w:val="00227748"/>
    <w:rsid w:val="002319A9"/>
    <w:rsid w:val="002462AB"/>
    <w:rsid w:val="002702ED"/>
    <w:rsid w:val="00285F4C"/>
    <w:rsid w:val="002A0C3D"/>
    <w:rsid w:val="002A480E"/>
    <w:rsid w:val="002B1552"/>
    <w:rsid w:val="002E6F31"/>
    <w:rsid w:val="0030070D"/>
    <w:rsid w:val="003008F9"/>
    <w:rsid w:val="00307FE9"/>
    <w:rsid w:val="00332714"/>
    <w:rsid w:val="003365ED"/>
    <w:rsid w:val="00337436"/>
    <w:rsid w:val="00372003"/>
    <w:rsid w:val="003737A5"/>
    <w:rsid w:val="00383766"/>
    <w:rsid w:val="003874AD"/>
    <w:rsid w:val="003B2000"/>
    <w:rsid w:val="003F6FC2"/>
    <w:rsid w:val="00405D6D"/>
    <w:rsid w:val="00411EF9"/>
    <w:rsid w:val="004163C1"/>
    <w:rsid w:val="00421243"/>
    <w:rsid w:val="0043282E"/>
    <w:rsid w:val="004339F7"/>
    <w:rsid w:val="00433CD3"/>
    <w:rsid w:val="0043437E"/>
    <w:rsid w:val="004460F8"/>
    <w:rsid w:val="004505AB"/>
    <w:rsid w:val="0045289D"/>
    <w:rsid w:val="00455483"/>
    <w:rsid w:val="00462C93"/>
    <w:rsid w:val="004739D2"/>
    <w:rsid w:val="00477480"/>
    <w:rsid w:val="0048388B"/>
    <w:rsid w:val="00494ED3"/>
    <w:rsid w:val="004B6029"/>
    <w:rsid w:val="004C0728"/>
    <w:rsid w:val="004C414C"/>
    <w:rsid w:val="004E79D1"/>
    <w:rsid w:val="004F5FBC"/>
    <w:rsid w:val="00504FAF"/>
    <w:rsid w:val="005051B2"/>
    <w:rsid w:val="005208B2"/>
    <w:rsid w:val="0052217A"/>
    <w:rsid w:val="00535FD2"/>
    <w:rsid w:val="00554A94"/>
    <w:rsid w:val="00565C14"/>
    <w:rsid w:val="00592711"/>
    <w:rsid w:val="005A3639"/>
    <w:rsid w:val="005C0AD1"/>
    <w:rsid w:val="005C110F"/>
    <w:rsid w:val="005C6705"/>
    <w:rsid w:val="005D0630"/>
    <w:rsid w:val="005E3974"/>
    <w:rsid w:val="005F07A5"/>
    <w:rsid w:val="005F61BE"/>
    <w:rsid w:val="00601F8B"/>
    <w:rsid w:val="0061112A"/>
    <w:rsid w:val="00615EC5"/>
    <w:rsid w:val="0062772D"/>
    <w:rsid w:val="00634952"/>
    <w:rsid w:val="00650C9E"/>
    <w:rsid w:val="00652D3E"/>
    <w:rsid w:val="00674C88"/>
    <w:rsid w:val="00675474"/>
    <w:rsid w:val="00675E6C"/>
    <w:rsid w:val="006819B7"/>
    <w:rsid w:val="00685C5B"/>
    <w:rsid w:val="006920F0"/>
    <w:rsid w:val="006A28F4"/>
    <w:rsid w:val="006A358C"/>
    <w:rsid w:val="006C4D4C"/>
    <w:rsid w:val="006D3F23"/>
    <w:rsid w:val="006E4124"/>
    <w:rsid w:val="006F6137"/>
    <w:rsid w:val="00705200"/>
    <w:rsid w:val="00725D8F"/>
    <w:rsid w:val="007437EE"/>
    <w:rsid w:val="007438D2"/>
    <w:rsid w:val="007574DE"/>
    <w:rsid w:val="007710B7"/>
    <w:rsid w:val="007749E0"/>
    <w:rsid w:val="00780CD7"/>
    <w:rsid w:val="00796660"/>
    <w:rsid w:val="007D075E"/>
    <w:rsid w:val="007D1FBC"/>
    <w:rsid w:val="007D28EF"/>
    <w:rsid w:val="007F0ADB"/>
    <w:rsid w:val="007F2DF7"/>
    <w:rsid w:val="00805C7F"/>
    <w:rsid w:val="00810AE0"/>
    <w:rsid w:val="00814AFD"/>
    <w:rsid w:val="00834468"/>
    <w:rsid w:val="008518B9"/>
    <w:rsid w:val="00864D3C"/>
    <w:rsid w:val="008700A0"/>
    <w:rsid w:val="00880D8C"/>
    <w:rsid w:val="00886EEA"/>
    <w:rsid w:val="00892AB2"/>
    <w:rsid w:val="008A3065"/>
    <w:rsid w:val="008C3FEB"/>
    <w:rsid w:val="008D0514"/>
    <w:rsid w:val="008F0D4A"/>
    <w:rsid w:val="008F7AE7"/>
    <w:rsid w:val="009025D0"/>
    <w:rsid w:val="009049D3"/>
    <w:rsid w:val="0090771C"/>
    <w:rsid w:val="00912C16"/>
    <w:rsid w:val="00924D70"/>
    <w:rsid w:val="00933837"/>
    <w:rsid w:val="00937789"/>
    <w:rsid w:val="0094050C"/>
    <w:rsid w:val="00954AAF"/>
    <w:rsid w:val="0095795B"/>
    <w:rsid w:val="00980E82"/>
    <w:rsid w:val="009A5C12"/>
    <w:rsid w:val="009B31D4"/>
    <w:rsid w:val="009D5258"/>
    <w:rsid w:val="009E67F3"/>
    <w:rsid w:val="009F2288"/>
    <w:rsid w:val="009F23DC"/>
    <w:rsid w:val="00A01DEC"/>
    <w:rsid w:val="00A12CBC"/>
    <w:rsid w:val="00A20267"/>
    <w:rsid w:val="00A224CB"/>
    <w:rsid w:val="00A25E8B"/>
    <w:rsid w:val="00A43D0E"/>
    <w:rsid w:val="00A44451"/>
    <w:rsid w:val="00A5180F"/>
    <w:rsid w:val="00A54258"/>
    <w:rsid w:val="00A572DE"/>
    <w:rsid w:val="00A57623"/>
    <w:rsid w:val="00A77845"/>
    <w:rsid w:val="00A93D08"/>
    <w:rsid w:val="00A970E4"/>
    <w:rsid w:val="00AA0A2C"/>
    <w:rsid w:val="00AE4C9C"/>
    <w:rsid w:val="00B169EE"/>
    <w:rsid w:val="00B216C3"/>
    <w:rsid w:val="00B25D72"/>
    <w:rsid w:val="00B2645B"/>
    <w:rsid w:val="00B31CB0"/>
    <w:rsid w:val="00B34741"/>
    <w:rsid w:val="00B34C03"/>
    <w:rsid w:val="00B4522E"/>
    <w:rsid w:val="00B45754"/>
    <w:rsid w:val="00B50C9D"/>
    <w:rsid w:val="00B75D91"/>
    <w:rsid w:val="00B83425"/>
    <w:rsid w:val="00B90669"/>
    <w:rsid w:val="00B958A0"/>
    <w:rsid w:val="00BC6C39"/>
    <w:rsid w:val="00BD2A80"/>
    <w:rsid w:val="00BD50D4"/>
    <w:rsid w:val="00BE0170"/>
    <w:rsid w:val="00BE0772"/>
    <w:rsid w:val="00BE5270"/>
    <w:rsid w:val="00C04951"/>
    <w:rsid w:val="00C068E2"/>
    <w:rsid w:val="00C07E9C"/>
    <w:rsid w:val="00C2096E"/>
    <w:rsid w:val="00C23FAE"/>
    <w:rsid w:val="00C30E18"/>
    <w:rsid w:val="00C42AE0"/>
    <w:rsid w:val="00C453BE"/>
    <w:rsid w:val="00C502C4"/>
    <w:rsid w:val="00C700A4"/>
    <w:rsid w:val="00C90B12"/>
    <w:rsid w:val="00C90F8D"/>
    <w:rsid w:val="00C961AF"/>
    <w:rsid w:val="00CA1D43"/>
    <w:rsid w:val="00CB6A01"/>
    <w:rsid w:val="00CE6762"/>
    <w:rsid w:val="00D2464F"/>
    <w:rsid w:val="00D42F22"/>
    <w:rsid w:val="00D42FB6"/>
    <w:rsid w:val="00D55D0C"/>
    <w:rsid w:val="00DA1094"/>
    <w:rsid w:val="00DA16B2"/>
    <w:rsid w:val="00DA3861"/>
    <w:rsid w:val="00DA5CEC"/>
    <w:rsid w:val="00DA7921"/>
    <w:rsid w:val="00DC0A50"/>
    <w:rsid w:val="00DC1931"/>
    <w:rsid w:val="00DC45F2"/>
    <w:rsid w:val="00DD2446"/>
    <w:rsid w:val="00DE471F"/>
    <w:rsid w:val="00DE4CAD"/>
    <w:rsid w:val="00DE568C"/>
    <w:rsid w:val="00DF01C2"/>
    <w:rsid w:val="00DF5FD3"/>
    <w:rsid w:val="00E068CD"/>
    <w:rsid w:val="00E2132F"/>
    <w:rsid w:val="00E21ED0"/>
    <w:rsid w:val="00E24EB3"/>
    <w:rsid w:val="00E36DD4"/>
    <w:rsid w:val="00E44714"/>
    <w:rsid w:val="00E53600"/>
    <w:rsid w:val="00E53A5C"/>
    <w:rsid w:val="00E81BDA"/>
    <w:rsid w:val="00E87466"/>
    <w:rsid w:val="00EB4B9E"/>
    <w:rsid w:val="00EC3870"/>
    <w:rsid w:val="00ED2408"/>
    <w:rsid w:val="00EF4410"/>
    <w:rsid w:val="00EF7F8F"/>
    <w:rsid w:val="00F030F0"/>
    <w:rsid w:val="00F06882"/>
    <w:rsid w:val="00F149CD"/>
    <w:rsid w:val="00F31090"/>
    <w:rsid w:val="00F345F0"/>
    <w:rsid w:val="00F53174"/>
    <w:rsid w:val="00F537C4"/>
    <w:rsid w:val="00F83BC2"/>
    <w:rsid w:val="00FA174E"/>
    <w:rsid w:val="00FA3A13"/>
    <w:rsid w:val="00FA442B"/>
    <w:rsid w:val="00FA5598"/>
    <w:rsid w:val="00FB5A17"/>
    <w:rsid w:val="00FC0A44"/>
    <w:rsid w:val="00FC3D89"/>
    <w:rsid w:val="00FD2AB5"/>
    <w:rsid w:val="00FE3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01C7CF3-947C-4301-AD7E-3F3E3741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536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qFormat/>
    <w:pPr>
      <w:keepNext/>
      <w:keepLines/>
      <w:spacing w:before="260" w:after="260" w:line="416" w:lineRule="auto"/>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pPr>
      <w:jc w:val="left"/>
    </w:pPr>
  </w:style>
  <w:style w:type="paragraph" w:styleId="a5">
    <w:name w:val="Balloon Text"/>
    <w:basedOn w:val="a"/>
    <w:link w:val="Char1"/>
    <w:uiPriority w:val="99"/>
    <w:semiHidden/>
    <w:unhideWhenUsed/>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pPr>
      <w:pBdr>
        <w:bottom w:val="single" w:sz="6" w:space="1" w:color="auto"/>
      </w:pBdr>
      <w:tabs>
        <w:tab w:val="center" w:pos="4153"/>
        <w:tab w:val="right" w:pos="8306"/>
      </w:tabs>
      <w:snapToGrid w:val="0"/>
      <w:jc w:val="center"/>
    </w:pPr>
    <w:rPr>
      <w:sz w:val="18"/>
      <w:szCs w:val="18"/>
    </w:rPr>
  </w:style>
  <w:style w:type="character" w:styleId="a8">
    <w:name w:val="annotation reference"/>
    <w:uiPriority w:val="99"/>
    <w:semiHidden/>
    <w:unhideWhenUsed/>
    <w:rPr>
      <w:sz w:val="21"/>
      <w:szCs w:val="21"/>
    </w:rPr>
  </w:style>
  <w:style w:type="character" w:customStyle="1" w:styleId="Char3">
    <w:name w:val="页眉 Char"/>
    <w:link w:val="a7"/>
    <w:uiPriority w:val="99"/>
    <w:rPr>
      <w:sz w:val="18"/>
      <w:szCs w:val="18"/>
    </w:rPr>
  </w:style>
  <w:style w:type="character" w:customStyle="1" w:styleId="Char2">
    <w:name w:val="页脚 Char"/>
    <w:link w:val="a6"/>
    <w:uiPriority w:val="99"/>
    <w:rPr>
      <w:sz w:val="18"/>
      <w:szCs w:val="18"/>
    </w:rPr>
  </w:style>
  <w:style w:type="character" w:customStyle="1" w:styleId="3Char">
    <w:name w:val="标题 3 Char"/>
    <w:link w:val="3"/>
    <w:rPr>
      <w:rFonts w:ascii="Times New Roman" w:eastAsia="宋体" w:hAnsi="Times New Roman" w:cs="Times New Roman"/>
      <w:b/>
      <w:bCs/>
      <w:sz w:val="32"/>
      <w:szCs w:val="32"/>
    </w:rPr>
  </w:style>
  <w:style w:type="character" w:customStyle="1" w:styleId="1Char">
    <w:name w:val="标题 1 Char"/>
    <w:link w:val="1"/>
    <w:uiPriority w:val="9"/>
    <w:rPr>
      <w:b/>
      <w:bCs/>
      <w:kern w:val="44"/>
      <w:sz w:val="44"/>
      <w:szCs w:val="44"/>
    </w:rPr>
  </w:style>
  <w:style w:type="character" w:customStyle="1" w:styleId="Char1">
    <w:name w:val="批注框文本 Char"/>
    <w:link w:val="a5"/>
    <w:uiPriority w:val="99"/>
    <w:semiHidden/>
    <w:rPr>
      <w:sz w:val="18"/>
      <w:szCs w:val="18"/>
    </w:rPr>
  </w:style>
  <w:style w:type="character" w:customStyle="1" w:styleId="Char0">
    <w:name w:val="批注文字 Char"/>
    <w:basedOn w:val="a0"/>
    <w:link w:val="a4"/>
    <w:uiPriority w:val="99"/>
    <w:semiHidden/>
  </w:style>
  <w:style w:type="character" w:customStyle="1" w:styleId="Char">
    <w:name w:val="批注主题 Char"/>
    <w:link w:val="a3"/>
    <w:uiPriority w:val="99"/>
    <w:semiHidden/>
    <w:rPr>
      <w:b/>
      <w:bCs/>
    </w:rPr>
  </w:style>
  <w:style w:type="paragraph" w:styleId="a9">
    <w:name w:val="List Paragraph"/>
    <w:basedOn w:val="a"/>
    <w:uiPriority w:val="34"/>
    <w:qFormat/>
    <w:rsid w:val="00003E08"/>
    <w:pPr>
      <w:ind w:firstLineChars="200" w:firstLine="420"/>
    </w:pPr>
  </w:style>
  <w:style w:type="character" w:customStyle="1" w:styleId="2Char">
    <w:name w:val="标题 2 Char"/>
    <w:basedOn w:val="a0"/>
    <w:link w:val="2"/>
    <w:uiPriority w:val="9"/>
    <w:semiHidden/>
    <w:rsid w:val="00E5360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5972">
      <w:bodyDiv w:val="1"/>
      <w:marLeft w:val="0"/>
      <w:marRight w:val="0"/>
      <w:marTop w:val="0"/>
      <w:marBottom w:val="0"/>
      <w:divBdr>
        <w:top w:val="none" w:sz="0" w:space="0" w:color="auto"/>
        <w:left w:val="none" w:sz="0" w:space="0" w:color="auto"/>
        <w:bottom w:val="none" w:sz="0" w:space="0" w:color="auto"/>
        <w:right w:val="none" w:sz="0" w:space="0" w:color="auto"/>
      </w:divBdr>
    </w:div>
    <w:div w:id="883828588">
      <w:bodyDiv w:val="1"/>
      <w:marLeft w:val="0"/>
      <w:marRight w:val="0"/>
      <w:marTop w:val="0"/>
      <w:marBottom w:val="0"/>
      <w:divBdr>
        <w:top w:val="none" w:sz="0" w:space="0" w:color="auto"/>
        <w:left w:val="none" w:sz="0" w:space="0" w:color="auto"/>
        <w:bottom w:val="none" w:sz="0" w:space="0" w:color="auto"/>
        <w:right w:val="none" w:sz="0" w:space="0" w:color="auto"/>
      </w:divBdr>
    </w:div>
    <w:div w:id="1028679611">
      <w:bodyDiv w:val="1"/>
      <w:marLeft w:val="0"/>
      <w:marRight w:val="0"/>
      <w:marTop w:val="0"/>
      <w:marBottom w:val="0"/>
      <w:divBdr>
        <w:top w:val="none" w:sz="0" w:space="0" w:color="auto"/>
        <w:left w:val="none" w:sz="0" w:space="0" w:color="auto"/>
        <w:bottom w:val="none" w:sz="0" w:space="0" w:color="auto"/>
        <w:right w:val="none" w:sz="0" w:space="0" w:color="auto"/>
      </w:divBdr>
    </w:div>
    <w:div w:id="1547713579">
      <w:bodyDiv w:val="1"/>
      <w:marLeft w:val="0"/>
      <w:marRight w:val="0"/>
      <w:marTop w:val="0"/>
      <w:marBottom w:val="0"/>
      <w:divBdr>
        <w:top w:val="none" w:sz="0" w:space="0" w:color="auto"/>
        <w:left w:val="none" w:sz="0" w:space="0" w:color="auto"/>
        <w:bottom w:val="none" w:sz="0" w:space="0" w:color="auto"/>
        <w:right w:val="none" w:sz="0" w:space="0" w:color="auto"/>
      </w:divBdr>
    </w:div>
    <w:div w:id="1808935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2E1671-92F4-44D7-84AC-928B2DD2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417</Words>
  <Characters>2379</Characters>
  <Application>Microsoft Office Word</Application>
  <DocSecurity>0</DocSecurity>
  <Lines>19</Lines>
  <Paragraphs>5</Paragraphs>
  <ScaleCrop>false</ScaleCrop>
  <Company/>
  <LinksUpToDate>false</LinksUpToDate>
  <CharactersWithSpaces>2791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全国中小企业股份转让系统</dc:title>
  <dc:creator>蒋天刚jtg</dc:creator>
  <cp:lastModifiedBy>佟萌tm</cp:lastModifiedBy>
  <cp:revision>3</cp:revision>
  <cp:lastPrinted>2019-12-17T12:54:00Z</cp:lastPrinted>
  <dcterms:created xsi:type="dcterms:W3CDTF">2019-12-20T04:29:00Z</dcterms:created>
  <dcterms:modified xsi:type="dcterms:W3CDTF">2019-12-20T04:30:00Z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