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76A" w:rsidRDefault="00B5576A">
      <w:pPr>
        <w:spacing w:line="600" w:lineRule="exact"/>
        <w:ind w:firstLine="640"/>
      </w:pPr>
    </w:p>
    <w:p w:rsidR="00B5576A" w:rsidRDefault="00902043">
      <w:pPr>
        <w:spacing w:line="600" w:lineRule="exact"/>
        <w:ind w:firstLineChars="0" w:firstLine="0"/>
        <w:jc w:val="center"/>
        <w:rPr>
          <w:rFonts w:eastAsia="方正大标宋简体"/>
          <w:color w:val="000000"/>
          <w:kern w:val="0"/>
          <w:sz w:val="44"/>
          <w:szCs w:val="42"/>
        </w:rPr>
      </w:pPr>
      <w:r>
        <w:rPr>
          <w:rFonts w:eastAsia="方正大标宋简体" w:hint="eastAsia"/>
          <w:color w:val="000000"/>
          <w:kern w:val="0"/>
          <w:sz w:val="44"/>
          <w:szCs w:val="42"/>
        </w:rPr>
        <w:t>全国中小企业股份转让系统</w:t>
      </w:r>
    </w:p>
    <w:p w:rsidR="00B5576A" w:rsidRDefault="00902043">
      <w:pPr>
        <w:spacing w:line="600" w:lineRule="exact"/>
        <w:ind w:firstLineChars="0" w:firstLine="0"/>
        <w:jc w:val="center"/>
        <w:rPr>
          <w:rFonts w:eastAsia="方正大标宋简体"/>
          <w:color w:val="000000"/>
          <w:kern w:val="0"/>
          <w:sz w:val="44"/>
          <w:szCs w:val="42"/>
        </w:rPr>
      </w:pPr>
      <w:bookmarkStart w:id="0" w:name="_GoBack"/>
      <w:bookmarkEnd w:id="0"/>
      <w:r>
        <w:rPr>
          <w:rFonts w:eastAsia="方正大标宋简体" w:hint="eastAsia"/>
          <w:color w:val="000000"/>
          <w:kern w:val="0"/>
          <w:sz w:val="44"/>
          <w:szCs w:val="42"/>
        </w:rPr>
        <w:t>投资者适当性管理办法</w:t>
      </w:r>
    </w:p>
    <w:p w:rsidR="00B5576A" w:rsidRDefault="00B5576A">
      <w:pPr>
        <w:spacing w:line="600" w:lineRule="exact"/>
        <w:ind w:firstLine="640"/>
        <w:jc w:val="center"/>
      </w:pP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为了保障全国中小企业股份转让系统（以下简称全国股转系统）平稳有序发展，有效控制市场风险，保护投资者合法权益，根据《证券法》《证券公司监督管理条例》《证券期货投资者适当性管理办法》等法律法规，制定本办法。</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全国股</w:t>
      </w:r>
      <w:proofErr w:type="gramStart"/>
      <w:r>
        <w:rPr>
          <w:rFonts w:eastAsia="仿宋" w:hint="eastAsia"/>
          <w:sz w:val="32"/>
        </w:rPr>
        <w:t>转系统</w:t>
      </w:r>
      <w:proofErr w:type="gramEnd"/>
      <w:r>
        <w:rPr>
          <w:rFonts w:eastAsia="仿宋" w:hint="eastAsia"/>
          <w:sz w:val="32"/>
        </w:rPr>
        <w:t>股票发行与交易实行投资者适当性管理制度。</w:t>
      </w:r>
    </w:p>
    <w:p w:rsidR="00B5576A" w:rsidRDefault="00902043">
      <w:pPr>
        <w:spacing w:line="600" w:lineRule="exact"/>
        <w:ind w:firstLine="640"/>
      </w:pPr>
      <w:r>
        <w:rPr>
          <w:rFonts w:hint="eastAsia"/>
        </w:rPr>
        <w:t>主办券商应当按照本办法的规定</w:t>
      </w:r>
      <w:r>
        <w:t>，</w:t>
      </w:r>
      <w:r>
        <w:rPr>
          <w:rFonts w:hint="eastAsia"/>
        </w:rPr>
        <w:t>对委托其参与全国股</w:t>
      </w:r>
      <w:proofErr w:type="gramStart"/>
      <w:r>
        <w:rPr>
          <w:rFonts w:hint="eastAsia"/>
        </w:rPr>
        <w:t>转系统</w:t>
      </w:r>
      <w:proofErr w:type="gramEnd"/>
      <w:r>
        <w:rPr>
          <w:rFonts w:hint="eastAsia"/>
        </w:rPr>
        <w:t>股票发行和交易的投资者进行适当性管理。</w:t>
      </w:r>
    </w:p>
    <w:p w:rsidR="00B5576A" w:rsidRDefault="00902043">
      <w:pPr>
        <w:spacing w:line="600" w:lineRule="exact"/>
        <w:ind w:firstLine="640"/>
      </w:pPr>
      <w:r>
        <w:rPr>
          <w:rFonts w:hint="eastAsia"/>
        </w:rPr>
        <w:t>法律法规、部门规章和全国股</w:t>
      </w:r>
      <w:proofErr w:type="gramStart"/>
      <w:r>
        <w:rPr>
          <w:rFonts w:hint="eastAsia"/>
        </w:rPr>
        <w:t>转系统</w:t>
      </w:r>
      <w:proofErr w:type="gramEnd"/>
      <w:r>
        <w:rPr>
          <w:rFonts w:hint="eastAsia"/>
        </w:rPr>
        <w:t>业务规则对产品或服务的投资者准入要求另有规定的，从其规定。</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投资者参与挂牌公司股票交易等相关业务，应当熟悉全国股</w:t>
      </w:r>
      <w:proofErr w:type="gramStart"/>
      <w:r>
        <w:rPr>
          <w:rFonts w:eastAsia="仿宋" w:hint="eastAsia"/>
          <w:sz w:val="32"/>
        </w:rPr>
        <w:t>转系统</w:t>
      </w:r>
      <w:proofErr w:type="gramEnd"/>
      <w:r>
        <w:rPr>
          <w:rFonts w:eastAsia="仿宋" w:hint="eastAsia"/>
          <w:sz w:val="32"/>
        </w:rPr>
        <w:t>相关规定，了解挂牌公司股票风险特征，结合自身风险偏好确定投资目标，客观评估自身的心理和生理承受能力、风险识别能力及风险控制能力，审慎决定是否参与挂牌公司股票交易等业务。</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投资者申请参与精选</w:t>
      </w:r>
      <w:proofErr w:type="gramStart"/>
      <w:r>
        <w:rPr>
          <w:rFonts w:eastAsia="仿宋" w:hint="eastAsia"/>
          <w:sz w:val="32"/>
        </w:rPr>
        <w:t>层股票</w:t>
      </w:r>
      <w:proofErr w:type="gramEnd"/>
      <w:r>
        <w:rPr>
          <w:rFonts w:eastAsia="仿宋" w:hint="eastAsia"/>
          <w:sz w:val="32"/>
        </w:rPr>
        <w:t>发行和交易应当符合下列条件：</w:t>
      </w:r>
      <w:r>
        <w:rPr>
          <w:rFonts w:eastAsia="仿宋"/>
          <w:sz w:val="32"/>
        </w:rPr>
        <w:t xml:space="preserve"> </w:t>
      </w:r>
    </w:p>
    <w:p w:rsidR="00B5576A" w:rsidRDefault="00902043">
      <w:pPr>
        <w:spacing w:line="600" w:lineRule="exact"/>
        <w:ind w:firstLine="640"/>
      </w:pPr>
      <w:r>
        <w:rPr>
          <w:rFonts w:hint="eastAsia"/>
        </w:rPr>
        <w:t>（一）实收资本或实收股本总额</w:t>
      </w:r>
      <w:r>
        <w:rPr>
          <w:rFonts w:ascii="Times New Roman" w:hAnsi="Times New Roman" w:cs="Times New Roman"/>
        </w:rPr>
        <w:t>100</w:t>
      </w:r>
      <w:r>
        <w:rPr>
          <w:rFonts w:hint="eastAsia"/>
        </w:rPr>
        <w:t>万元人民币以上的法人机构；</w:t>
      </w:r>
    </w:p>
    <w:p w:rsidR="00B5576A" w:rsidRDefault="00902043">
      <w:pPr>
        <w:spacing w:line="600" w:lineRule="exact"/>
        <w:ind w:firstLine="640"/>
      </w:pPr>
      <w:r>
        <w:rPr>
          <w:rFonts w:hint="eastAsia"/>
        </w:rPr>
        <w:lastRenderedPageBreak/>
        <w:t>（二）实缴出资总额</w:t>
      </w:r>
      <w:r>
        <w:rPr>
          <w:rFonts w:ascii="Times New Roman" w:hAnsi="Times New Roman" w:cs="Times New Roman"/>
        </w:rPr>
        <w:t>100</w:t>
      </w:r>
      <w:r>
        <w:rPr>
          <w:rFonts w:hint="eastAsia"/>
        </w:rPr>
        <w:t>万元人民币以上的合伙企业；</w:t>
      </w:r>
    </w:p>
    <w:p w:rsidR="00B5576A" w:rsidRDefault="00902043">
      <w:pPr>
        <w:spacing w:line="600" w:lineRule="exact"/>
        <w:ind w:firstLine="640"/>
      </w:pPr>
      <w:r>
        <w:rPr>
          <w:rFonts w:hint="eastAsia"/>
        </w:rPr>
        <w:t>（三</w:t>
      </w:r>
      <w:r>
        <w:t>）申请权限开通</w:t>
      </w:r>
      <w:r>
        <w:rPr>
          <w:rFonts w:hint="eastAsia"/>
        </w:rPr>
        <w:t>前</w:t>
      </w:r>
      <w:r>
        <w:rPr>
          <w:rFonts w:ascii="Times New Roman" w:hAnsi="Times New Roman" w:cs="Times New Roman" w:hint="eastAsia"/>
        </w:rPr>
        <w:t>10</w:t>
      </w:r>
      <w:r>
        <w:rPr>
          <w:rFonts w:hint="eastAsia"/>
        </w:rPr>
        <w:t>个交易日，本人名下证券账户和资金账户内的资产日均人民币</w:t>
      </w:r>
      <w:r>
        <w:rPr>
          <w:rFonts w:ascii="Times New Roman" w:eastAsia="黑体" w:hAnsi="Times New Roman" w:cs="Times New Roman"/>
        </w:rPr>
        <w:t>100</w:t>
      </w:r>
      <w:r>
        <w:rPr>
          <w:rFonts w:hint="eastAsia"/>
        </w:rPr>
        <w:t>万元以上（不含该投资者通过融资</w:t>
      </w:r>
      <w:r>
        <w:rPr>
          <w:rFonts w:hint="eastAsia"/>
        </w:rPr>
        <w:t>融券融入的资金和证券），且具有本办法第七条规定的投资经历、工作经历或任职经历的自然人</w:t>
      </w:r>
      <w:r>
        <w:t>投资者</w:t>
      </w:r>
      <w:r>
        <w:rPr>
          <w:rFonts w:hint="eastAsia"/>
        </w:rPr>
        <w:t>。</w:t>
      </w:r>
    </w:p>
    <w:p w:rsidR="00B5576A" w:rsidRDefault="00902043">
      <w:pPr>
        <w:spacing w:line="600" w:lineRule="exact"/>
        <w:ind w:firstLine="640"/>
      </w:pPr>
      <w:r>
        <w:rPr>
          <w:rFonts w:hint="eastAsia"/>
        </w:rPr>
        <w:t>投资者参与挂牌公司股票向不特定合格投资者公开发行并在精选层挂牌的申购，应当符合本条前款规定。</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投资者申请参与创新</w:t>
      </w:r>
      <w:proofErr w:type="gramStart"/>
      <w:r>
        <w:rPr>
          <w:rFonts w:eastAsia="仿宋" w:hint="eastAsia"/>
          <w:sz w:val="32"/>
        </w:rPr>
        <w:t>层股票</w:t>
      </w:r>
      <w:proofErr w:type="gramEnd"/>
      <w:r>
        <w:rPr>
          <w:rFonts w:eastAsia="仿宋" w:hint="eastAsia"/>
          <w:sz w:val="32"/>
        </w:rPr>
        <w:t>发行和交易应当符合下列条件：</w:t>
      </w:r>
    </w:p>
    <w:p w:rsidR="00B5576A" w:rsidRDefault="00902043">
      <w:pPr>
        <w:spacing w:line="600" w:lineRule="exact"/>
        <w:ind w:firstLine="640"/>
      </w:pPr>
      <w:r>
        <w:rPr>
          <w:rFonts w:hint="eastAsia"/>
        </w:rPr>
        <w:t>（一）实收资本或实收股本总额</w:t>
      </w:r>
      <w:r>
        <w:rPr>
          <w:rFonts w:ascii="Times New Roman" w:hAnsi="Times New Roman" w:cs="Times New Roman"/>
        </w:rPr>
        <w:t>150</w:t>
      </w:r>
      <w:r>
        <w:rPr>
          <w:rFonts w:hint="eastAsia"/>
        </w:rPr>
        <w:t>万元人民币以上的法人机构；</w:t>
      </w:r>
    </w:p>
    <w:p w:rsidR="00B5576A" w:rsidRDefault="00902043">
      <w:pPr>
        <w:spacing w:line="600" w:lineRule="exact"/>
        <w:ind w:firstLine="640"/>
      </w:pPr>
      <w:r>
        <w:rPr>
          <w:rFonts w:hint="eastAsia"/>
        </w:rPr>
        <w:t>（二）实缴出资总额</w:t>
      </w:r>
      <w:r>
        <w:rPr>
          <w:rFonts w:ascii="Times New Roman" w:hAnsi="Times New Roman" w:cs="Times New Roman"/>
        </w:rPr>
        <w:t>150</w:t>
      </w:r>
      <w:r>
        <w:rPr>
          <w:rFonts w:hint="eastAsia"/>
        </w:rPr>
        <w:t>万元人民币以上的合伙企业；</w:t>
      </w:r>
    </w:p>
    <w:p w:rsidR="00B5576A" w:rsidRDefault="00902043">
      <w:pPr>
        <w:spacing w:line="600" w:lineRule="exact"/>
        <w:ind w:firstLine="640"/>
      </w:pPr>
      <w:r>
        <w:rPr>
          <w:rFonts w:hint="eastAsia"/>
        </w:rPr>
        <w:t>（三）申请权限开通前</w:t>
      </w:r>
      <w:r>
        <w:rPr>
          <w:rFonts w:ascii="Times New Roman" w:hAnsi="Times New Roman" w:cs="Times New Roman"/>
        </w:rPr>
        <w:t>10</w:t>
      </w:r>
      <w:r>
        <w:rPr>
          <w:rFonts w:hint="eastAsia"/>
        </w:rPr>
        <w:t>个交易日，本人名下证券账户和资金账户内的资产日均人民币</w:t>
      </w:r>
      <w:r>
        <w:rPr>
          <w:rFonts w:ascii="Times New Roman" w:hAnsi="Times New Roman" w:cs="Times New Roman"/>
        </w:rPr>
        <w:t>150</w:t>
      </w:r>
      <w:r>
        <w:rPr>
          <w:rFonts w:hint="eastAsia"/>
        </w:rPr>
        <w:t>万元以上（不含该投资者通过融资融券融入的资金和证券），且具有本办法第七条</w:t>
      </w:r>
      <w:r>
        <w:rPr>
          <w:rFonts w:hint="eastAsia"/>
        </w:rPr>
        <w:t>规定的投资经历、工作经历或任职经历的自然人投资者。</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投资者申请参与基础</w:t>
      </w:r>
      <w:proofErr w:type="gramStart"/>
      <w:r>
        <w:rPr>
          <w:rFonts w:eastAsia="仿宋" w:hint="eastAsia"/>
          <w:sz w:val="32"/>
        </w:rPr>
        <w:t>层股票</w:t>
      </w:r>
      <w:proofErr w:type="gramEnd"/>
      <w:r>
        <w:rPr>
          <w:rFonts w:eastAsia="仿宋" w:hint="eastAsia"/>
          <w:sz w:val="32"/>
        </w:rPr>
        <w:t>发行和交易应当符合下列条件：</w:t>
      </w:r>
    </w:p>
    <w:p w:rsidR="00B5576A" w:rsidRDefault="00902043">
      <w:pPr>
        <w:spacing w:line="600" w:lineRule="exact"/>
        <w:ind w:firstLine="640"/>
      </w:pPr>
      <w:r>
        <w:rPr>
          <w:rFonts w:hint="eastAsia"/>
        </w:rPr>
        <w:t>（一）实收资本或实收股本总额</w:t>
      </w:r>
      <w:r>
        <w:rPr>
          <w:rFonts w:ascii="Times New Roman" w:hAnsi="Times New Roman" w:cs="Times New Roman"/>
        </w:rPr>
        <w:t>200</w:t>
      </w:r>
      <w:r>
        <w:rPr>
          <w:rFonts w:hint="eastAsia"/>
        </w:rPr>
        <w:t>万元人民币以上的法人机构；</w:t>
      </w:r>
    </w:p>
    <w:p w:rsidR="00B5576A" w:rsidRDefault="00902043">
      <w:pPr>
        <w:spacing w:line="600" w:lineRule="exact"/>
        <w:ind w:firstLine="640"/>
      </w:pPr>
      <w:r>
        <w:rPr>
          <w:rFonts w:hint="eastAsia"/>
        </w:rPr>
        <w:t>（二）实缴出资总额</w:t>
      </w:r>
      <w:r>
        <w:rPr>
          <w:rFonts w:ascii="Times New Roman" w:hAnsi="Times New Roman" w:cs="Times New Roman"/>
        </w:rPr>
        <w:t>200</w:t>
      </w:r>
      <w:r>
        <w:rPr>
          <w:rFonts w:hint="eastAsia"/>
        </w:rPr>
        <w:t>万元人民币以上的合伙企业；</w:t>
      </w:r>
    </w:p>
    <w:p w:rsidR="00B5576A" w:rsidRDefault="00902043">
      <w:pPr>
        <w:spacing w:line="600" w:lineRule="exact"/>
        <w:ind w:firstLine="640"/>
      </w:pPr>
      <w:r>
        <w:rPr>
          <w:rFonts w:hint="eastAsia"/>
        </w:rPr>
        <w:t>（三）申请权限开通前</w:t>
      </w:r>
      <w:r>
        <w:rPr>
          <w:rFonts w:ascii="Times New Roman" w:hAnsi="Times New Roman" w:cs="Times New Roman"/>
        </w:rPr>
        <w:t>10</w:t>
      </w:r>
      <w:r>
        <w:rPr>
          <w:rFonts w:hint="eastAsia"/>
        </w:rPr>
        <w:t>个交易日，本人名下证券账户和资金账户内的资产日均人民币</w:t>
      </w:r>
      <w:r>
        <w:rPr>
          <w:rFonts w:ascii="Times New Roman" w:hAnsi="Times New Roman" w:cs="Times New Roman"/>
        </w:rPr>
        <w:t>200</w:t>
      </w:r>
      <w:r>
        <w:rPr>
          <w:rFonts w:hint="eastAsia"/>
        </w:rPr>
        <w:t>万元</w:t>
      </w:r>
      <w:r>
        <w:t>以上</w:t>
      </w:r>
      <w:r>
        <w:rPr>
          <w:rFonts w:hint="eastAsia"/>
        </w:rPr>
        <w:t>（不含该投资</w:t>
      </w:r>
      <w:r>
        <w:rPr>
          <w:rFonts w:hint="eastAsia"/>
        </w:rPr>
        <w:lastRenderedPageBreak/>
        <w:t>者通过融资融券融入的资金和证券），且具有本办法第七条规定的投资经历、工作经历或任职经历的自然人投资者。</w:t>
      </w:r>
    </w:p>
    <w:p w:rsidR="00B5576A" w:rsidRDefault="00902043">
      <w:pPr>
        <w:spacing w:line="600" w:lineRule="exact"/>
        <w:ind w:firstLineChars="150" w:firstLine="480"/>
      </w:pPr>
      <w:r>
        <w:rPr>
          <w:rFonts w:hint="eastAsia"/>
        </w:rPr>
        <w:t>投资者参与</w:t>
      </w:r>
      <w:r>
        <w:rPr>
          <w:rFonts w:hint="eastAsia"/>
          <w:color w:val="000000" w:themeColor="text1"/>
          <w:szCs w:val="32"/>
        </w:rPr>
        <w:t>挂牌同时定向发行的，应当符合本条前款规定。</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自然人</w:t>
      </w:r>
      <w:r>
        <w:rPr>
          <w:rFonts w:eastAsia="仿宋"/>
          <w:sz w:val="32"/>
        </w:rPr>
        <w:t>投资者参与</w:t>
      </w:r>
      <w:r>
        <w:rPr>
          <w:rFonts w:eastAsia="仿宋" w:hint="eastAsia"/>
          <w:sz w:val="32"/>
        </w:rPr>
        <w:t>挂牌公司股票发行和交易</w:t>
      </w:r>
      <w:r>
        <w:rPr>
          <w:rFonts w:eastAsia="仿宋"/>
          <w:sz w:val="32"/>
        </w:rPr>
        <w:t>的，</w:t>
      </w:r>
      <w:r>
        <w:rPr>
          <w:rFonts w:eastAsia="仿宋" w:hint="eastAsia"/>
          <w:sz w:val="32"/>
        </w:rPr>
        <w:t>应当具有</w:t>
      </w:r>
      <w:r>
        <w:rPr>
          <w:rFonts w:ascii="Times New Roman" w:eastAsia="仿宋" w:hAnsi="Times New Roman" w:cs="Times New Roman"/>
          <w:sz w:val="32"/>
        </w:rPr>
        <w:t>2</w:t>
      </w:r>
      <w:r>
        <w:rPr>
          <w:rFonts w:eastAsia="仿宋" w:hint="eastAsia"/>
          <w:sz w:val="32"/>
        </w:rPr>
        <w:t>年以上证券、基金、期货投资经历，或者具有</w:t>
      </w:r>
      <w:r>
        <w:rPr>
          <w:rFonts w:ascii="Times New Roman" w:eastAsia="仿宋" w:hAnsi="Times New Roman" w:cs="Times New Roman"/>
          <w:sz w:val="32"/>
        </w:rPr>
        <w:t>2</w:t>
      </w:r>
      <w:r>
        <w:rPr>
          <w:rFonts w:eastAsia="仿宋" w:hint="eastAsia"/>
          <w:sz w:val="32"/>
        </w:rPr>
        <w:t>年以上金融产品设计、投资、风险管理及相关工作经历，或者具有《证券期货投资者适当性管理办法》第八条第一款第一项规定的证券公司、期货公司、基金管理公司及其子公司、商业银行、保险公司、信托公司、财务公司，以及经行业协会备案或者登记的证券公司子公司、期货公司子公司、私募基金管理人等金融机构的高级管理人员任职经历。</w:t>
      </w:r>
    </w:p>
    <w:p w:rsidR="00B5576A" w:rsidRDefault="00902043">
      <w:pPr>
        <w:spacing w:line="600" w:lineRule="exact"/>
        <w:ind w:firstLine="640"/>
      </w:pPr>
      <w:r>
        <w:rPr>
          <w:rFonts w:hint="eastAsia"/>
        </w:rPr>
        <w:t>具有前款所称投资经历、工作经历或任职经历的人员属于《证券法》规定禁止参与股票交易的，不得申请参与挂牌公司股票发行与交易。</w:t>
      </w:r>
    </w:p>
    <w:p w:rsidR="00B5576A" w:rsidRDefault="00902043">
      <w:pPr>
        <w:pStyle w:val="ab"/>
        <w:numPr>
          <w:ilvl w:val="0"/>
          <w:numId w:val="1"/>
        </w:numPr>
        <w:spacing w:line="600" w:lineRule="exact"/>
        <w:ind w:left="0" w:firstLineChars="0" w:firstLine="568"/>
      </w:pPr>
      <w:r>
        <w:rPr>
          <w:rFonts w:eastAsia="仿宋" w:hint="eastAsia"/>
          <w:sz w:val="32"/>
        </w:rPr>
        <w:t>《证</w:t>
      </w:r>
      <w:r>
        <w:rPr>
          <w:rFonts w:eastAsia="仿宋" w:hint="eastAsia"/>
          <w:sz w:val="32"/>
        </w:rPr>
        <w:t>券期货投资者适当性管理办法》第八条第一款第二</w:t>
      </w:r>
      <w:r>
        <w:rPr>
          <w:rFonts w:eastAsia="仿宋"/>
          <w:sz w:val="32"/>
        </w:rPr>
        <w:t>项</w:t>
      </w:r>
      <w:r>
        <w:rPr>
          <w:rFonts w:eastAsia="仿宋" w:hint="eastAsia"/>
          <w:sz w:val="32"/>
        </w:rPr>
        <w:t>、第三</w:t>
      </w:r>
      <w:r>
        <w:rPr>
          <w:rFonts w:eastAsia="仿宋"/>
          <w:sz w:val="32"/>
        </w:rPr>
        <w:t>项</w:t>
      </w:r>
      <w:r>
        <w:rPr>
          <w:rFonts w:eastAsia="仿宋" w:hint="eastAsia"/>
          <w:sz w:val="32"/>
        </w:rPr>
        <w:t>规定的证券公司资产管理产品、基金管理公司及其子公司产品、期货公司资产管理产品、银行理财产品、保险产品、信托产品、经行业协会备案的私募基金等理财产品，社会保障基金、企业年金等养老金，慈善基金等社会公益基金，合格境外机构投资者（</w:t>
      </w:r>
      <w:r>
        <w:rPr>
          <w:rFonts w:ascii="Times New Roman" w:eastAsia="仿宋" w:hAnsi="Times New Roman" w:cs="Times New Roman"/>
          <w:sz w:val="32"/>
        </w:rPr>
        <w:t>QFII</w:t>
      </w:r>
      <w:r>
        <w:rPr>
          <w:rFonts w:eastAsia="仿宋" w:hint="eastAsia"/>
          <w:sz w:val="32"/>
        </w:rPr>
        <w:t>）、人民币合格境外机构投资者（</w:t>
      </w:r>
      <w:r>
        <w:rPr>
          <w:rFonts w:ascii="Times New Roman" w:eastAsia="仿宋" w:hAnsi="Times New Roman" w:cs="Times New Roman"/>
          <w:sz w:val="32"/>
        </w:rPr>
        <w:t>RQFII</w:t>
      </w:r>
      <w:r>
        <w:rPr>
          <w:rFonts w:eastAsia="仿宋" w:hint="eastAsia"/>
          <w:sz w:val="32"/>
        </w:rPr>
        <w:t>）等机构投资者，可以申请参与挂牌公司股票发行和交易。</w:t>
      </w:r>
      <w:r>
        <w:t xml:space="preserve"> </w:t>
      </w:r>
    </w:p>
    <w:p w:rsidR="00B5576A" w:rsidRDefault="00902043">
      <w:pPr>
        <w:pStyle w:val="ab"/>
        <w:numPr>
          <w:ilvl w:val="0"/>
          <w:numId w:val="1"/>
        </w:numPr>
        <w:spacing w:line="600" w:lineRule="exact"/>
        <w:ind w:left="0" w:firstLine="640"/>
        <w:rPr>
          <w:rFonts w:eastAsia="仿宋"/>
          <w:sz w:val="32"/>
        </w:rPr>
      </w:pPr>
      <w:r>
        <w:rPr>
          <w:rFonts w:eastAsia="仿宋" w:hint="eastAsia"/>
          <w:sz w:val="32"/>
        </w:rPr>
        <w:lastRenderedPageBreak/>
        <w:t>公司挂牌时的股东、通过定向发行持有公司股份的股东等，如不符合其所持股票市场层级对应的</w:t>
      </w:r>
      <w:r>
        <w:rPr>
          <w:rFonts w:eastAsia="仿宋"/>
          <w:sz w:val="32"/>
        </w:rPr>
        <w:t>投资者</w:t>
      </w:r>
      <w:r>
        <w:rPr>
          <w:rFonts w:eastAsia="仿宋" w:hint="eastAsia"/>
          <w:sz w:val="32"/>
        </w:rPr>
        <w:t>准入</w:t>
      </w:r>
      <w:r>
        <w:rPr>
          <w:rFonts w:eastAsia="仿宋"/>
          <w:sz w:val="32"/>
        </w:rPr>
        <w:t>条件</w:t>
      </w:r>
      <w:r>
        <w:rPr>
          <w:rFonts w:eastAsia="仿宋" w:hint="eastAsia"/>
          <w:sz w:val="32"/>
        </w:rPr>
        <w:t>的，只能买卖其持有或曾持有的挂牌</w:t>
      </w:r>
      <w:r>
        <w:rPr>
          <w:rFonts w:eastAsia="仿宋" w:hint="eastAsia"/>
          <w:sz w:val="32"/>
        </w:rPr>
        <w:t>公司股票。</w:t>
      </w:r>
    </w:p>
    <w:p w:rsidR="00B5576A" w:rsidRDefault="00902043">
      <w:pPr>
        <w:spacing w:line="600" w:lineRule="exact"/>
        <w:ind w:firstLine="640"/>
        <w:rPr>
          <w:u w:val="single"/>
        </w:rPr>
      </w:pPr>
      <w:r>
        <w:rPr>
          <w:rFonts w:hint="eastAsia"/>
        </w:rPr>
        <w:t>因挂牌公司市场层级调整导致投资者不符合其所持股票市场层级对应</w:t>
      </w:r>
      <w:r>
        <w:t>的投资者</w:t>
      </w:r>
      <w:r>
        <w:rPr>
          <w:rFonts w:hint="eastAsia"/>
        </w:rPr>
        <w:t>准入</w:t>
      </w:r>
      <w:r>
        <w:t>条件</w:t>
      </w:r>
      <w:r>
        <w:rPr>
          <w:rFonts w:hint="eastAsia"/>
        </w:rPr>
        <w:t>的，只能买卖其持有或曾持有的挂牌公司股票。</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经中国证券监督管理委员会（以下简称中国证监会）批准，全国股转公司可以调整投资者准入条件。</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主办券商应当根据中国证监会有关规定及本办法要求，建立健全投资者分类、产品或服务分级和适当性匹配等内部管理制度，明确匹配依据、方法、流程等。</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主办券商应当切实履行投资者适当性管理职责，了解投资者的身份、财务状况、证券投资经验等相关信息，评估投资者的风险承受能力和风险识别能力，有针对性地开展风</w:t>
      </w:r>
      <w:r>
        <w:rPr>
          <w:rFonts w:eastAsia="仿宋" w:hint="eastAsia"/>
          <w:sz w:val="32"/>
        </w:rPr>
        <w:t>险揭示、投资者知识普及、投资者服务等工作，引导投资者审慎参与挂牌公司股票交易等相关业务。</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主办券商应当认真审核投资者提交的相关材料，并要求首次委托买入挂牌公司股票的投资者，以纸面或电子形式签署挂牌公司股票交易风险揭示书，风险揭示书应当充分揭示挂牌公司股票交易风险。</w:t>
      </w:r>
    </w:p>
    <w:p w:rsidR="00B5576A" w:rsidRDefault="00902043">
      <w:pPr>
        <w:spacing w:line="600" w:lineRule="exact"/>
        <w:ind w:firstLine="640"/>
      </w:pPr>
      <w:r>
        <w:rPr>
          <w:rFonts w:hint="eastAsia"/>
        </w:rPr>
        <w:t>投资者未签署风险揭示书的，主办券商不得接受其申购或买入委托。</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主办券商应当针对不同类别的投资者制定服</w:t>
      </w:r>
      <w:r>
        <w:rPr>
          <w:rFonts w:eastAsia="仿宋" w:hint="eastAsia"/>
          <w:sz w:val="32"/>
        </w:rPr>
        <w:lastRenderedPageBreak/>
        <w:t>务方案和管理流程，根据客户的不同特点，讲解全国股</w:t>
      </w:r>
      <w:proofErr w:type="gramStart"/>
      <w:r>
        <w:rPr>
          <w:rFonts w:eastAsia="仿宋" w:hint="eastAsia"/>
          <w:sz w:val="32"/>
        </w:rPr>
        <w:t>转系统</w:t>
      </w:r>
      <w:proofErr w:type="gramEnd"/>
      <w:r>
        <w:rPr>
          <w:rFonts w:eastAsia="仿宋" w:hint="eastAsia"/>
          <w:sz w:val="32"/>
        </w:rPr>
        <w:t>业务规则和风险特点，提示参与挂牌公司股票交易可能面临的风险。</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主办券商应当告知投资者，其提供</w:t>
      </w:r>
      <w:r>
        <w:rPr>
          <w:rFonts w:eastAsia="仿宋" w:hint="eastAsia"/>
          <w:sz w:val="32"/>
        </w:rPr>
        <w:t>的信息发生重要变化、可能影响投资者分类的，应及时告知主办券商。主办券商应当建立投资者评估数据库，结合所了解的投资者信息和投资者参与挂牌公司股票交易的情况，及时对评估数据库进行更新，留存评估结果备查。</w:t>
      </w:r>
    </w:p>
    <w:p w:rsidR="00B5576A" w:rsidRDefault="00902043">
      <w:pPr>
        <w:pStyle w:val="ab"/>
        <w:numPr>
          <w:ilvl w:val="0"/>
          <w:numId w:val="1"/>
        </w:numPr>
        <w:spacing w:line="600" w:lineRule="exact"/>
        <w:ind w:left="0" w:firstLine="640"/>
        <w:rPr>
          <w:rFonts w:eastAsia="仿宋"/>
          <w:sz w:val="32"/>
        </w:rPr>
      </w:pPr>
      <w:r>
        <w:rPr>
          <w:rFonts w:eastAsia="仿宋" w:hint="eastAsia"/>
          <w:sz w:val="32"/>
        </w:rPr>
        <w:t>主办券商应当根据投资者信息和全国股</w:t>
      </w:r>
      <w:proofErr w:type="gramStart"/>
      <w:r>
        <w:rPr>
          <w:rFonts w:eastAsia="仿宋" w:hint="eastAsia"/>
          <w:sz w:val="32"/>
        </w:rPr>
        <w:t>转系统</w:t>
      </w:r>
      <w:proofErr w:type="gramEnd"/>
      <w:r>
        <w:rPr>
          <w:rFonts w:eastAsia="仿宋" w:hint="eastAsia"/>
          <w:sz w:val="32"/>
        </w:rPr>
        <w:t>业务变化情况，主动调整投资者适当性匹配意见，并告知投资者上述情况。</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投资者应当配合主办券商投资者适当性管理工作，如实提供申报材料。投资者信息发生重要变化、可能影响其分类的，应当及时告知主办券商。</w:t>
      </w:r>
    </w:p>
    <w:p w:rsidR="00B5576A" w:rsidRDefault="00902043">
      <w:pPr>
        <w:spacing w:line="600" w:lineRule="exact"/>
        <w:ind w:firstLine="640"/>
      </w:pPr>
      <w:r>
        <w:rPr>
          <w:rFonts w:hint="eastAsia"/>
        </w:rPr>
        <w:t>投资者不予配合或提供信息不真实、不准确、不完整的，主办券商应当告知其后果，并</w:t>
      </w:r>
      <w:r>
        <w:rPr>
          <w:rFonts w:hint="eastAsia"/>
        </w:rPr>
        <w:t>拒绝为其办理挂牌公司股票交易相关业务或者限制其交易权限。</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主办券商应当妥善保管投资者的档案资料，除依法配合调查和检查外，应当为投资者保密。</w:t>
      </w:r>
      <w:r>
        <w:rPr>
          <w:rFonts w:eastAsia="仿宋"/>
          <w:sz w:val="32"/>
        </w:rPr>
        <w:t xml:space="preserve"> </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主办券商应当妥善保存业务办理、投资者服务过程中风险揭示的语音或影像留痕。</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主办券商发现客户存在异常交易行为或者违法违规行为时，应当根据全国股转公司相关规定及时提醒客</w:t>
      </w:r>
      <w:r>
        <w:rPr>
          <w:rFonts w:eastAsia="仿宋" w:hint="eastAsia"/>
          <w:sz w:val="32"/>
        </w:rPr>
        <w:lastRenderedPageBreak/>
        <w:t>户，并向全国股转公司报告。</w:t>
      </w:r>
    </w:p>
    <w:p w:rsidR="00B5576A" w:rsidRDefault="00902043">
      <w:pPr>
        <w:pStyle w:val="ab"/>
        <w:numPr>
          <w:ilvl w:val="0"/>
          <w:numId w:val="1"/>
        </w:numPr>
        <w:spacing w:line="600" w:lineRule="exact"/>
        <w:ind w:left="0" w:firstLineChars="0" w:firstLine="568"/>
        <w:rPr>
          <w:rFonts w:eastAsia="仿宋"/>
          <w:sz w:val="32"/>
        </w:rPr>
      </w:pPr>
      <w:r>
        <w:rPr>
          <w:rFonts w:eastAsia="仿宋" w:hint="eastAsia"/>
          <w:sz w:val="32"/>
        </w:rPr>
        <w:t>全国股转公司对存在异常交易行为的投资者采取监管措施的，主办券商应当及时与投资者取得联系，告知其有关监管要求和采取的监管措施。</w:t>
      </w:r>
      <w:r>
        <w:rPr>
          <w:rFonts w:eastAsia="仿宋"/>
          <w:sz w:val="32"/>
        </w:rPr>
        <w:t xml:space="preserve"> </w:t>
      </w:r>
    </w:p>
    <w:p w:rsidR="00B5576A" w:rsidRDefault="00902043">
      <w:pPr>
        <w:spacing w:line="600" w:lineRule="exact"/>
        <w:ind w:firstLine="640"/>
      </w:pPr>
      <w:r>
        <w:rPr>
          <w:rFonts w:hint="eastAsia"/>
        </w:rPr>
        <w:t>对出现异常交易行为的投资者，全国股转公司可以暂停或限制其交易，主办券商应当予以配合。</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主办券商应当为投资者提供合理的投诉渠道，指定专门部门受理投诉，妥善处理与投资者的矛盾和纠纷，并认真做好记录工作。</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应当按照全国股转公司的要求报送投资者适当性管理相关信息，并配合中国证监会及其派出机构、全国股转公司等监管机构对其投资者适当性管理执行情况进行检查，如实提供投资者开户资料、资金账户情况等信息，不得隐瞒、阻碍和拒绝。</w:t>
      </w:r>
      <w:r>
        <w:rPr>
          <w:rFonts w:eastAsia="仿宋"/>
          <w:sz w:val="32"/>
        </w:rPr>
        <w:t xml:space="preserve"> </w:t>
      </w:r>
    </w:p>
    <w:p w:rsidR="00B5576A" w:rsidRDefault="00902043">
      <w:pPr>
        <w:spacing w:line="600" w:lineRule="exact"/>
        <w:ind w:firstLine="640"/>
      </w:pPr>
      <w:r>
        <w:rPr>
          <w:rFonts w:hint="eastAsia"/>
        </w:rPr>
        <w:t>主办券商应当妥善保存其履行投资者适当性义务的相关信息资料，保存期限不得少于</w:t>
      </w:r>
      <w:r>
        <w:rPr>
          <w:rFonts w:ascii="Times New Roman" w:hAnsi="Times New Roman" w:cs="Times New Roman"/>
        </w:rPr>
        <w:t>20</w:t>
      </w:r>
      <w:r>
        <w:rPr>
          <w:rFonts w:hint="eastAsia"/>
        </w:rPr>
        <w:t>年。</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w:t>
      </w:r>
      <w:r>
        <w:rPr>
          <w:rFonts w:eastAsia="仿宋" w:hint="eastAsia"/>
          <w:sz w:val="32"/>
        </w:rPr>
        <w:t>券商及其相关业务人员违反本办法规定，全国股转公司</w:t>
      </w:r>
      <w:r>
        <w:rPr>
          <w:rFonts w:eastAsia="仿宋"/>
          <w:sz w:val="32"/>
        </w:rPr>
        <w:t>可以</w:t>
      </w:r>
      <w:r>
        <w:rPr>
          <w:rFonts w:eastAsia="仿宋" w:hint="eastAsia"/>
          <w:sz w:val="32"/>
        </w:rPr>
        <w:t>视情节轻重</w:t>
      </w:r>
      <w:r>
        <w:rPr>
          <w:rFonts w:eastAsia="仿宋"/>
          <w:sz w:val="32"/>
        </w:rPr>
        <w:t>采取以下自律监管措施</w:t>
      </w:r>
      <w:r>
        <w:rPr>
          <w:rFonts w:eastAsia="仿宋" w:hint="eastAsia"/>
          <w:sz w:val="32"/>
        </w:rPr>
        <w:t>：</w:t>
      </w:r>
    </w:p>
    <w:p w:rsidR="00B5576A" w:rsidRDefault="00902043">
      <w:pPr>
        <w:pStyle w:val="ab"/>
        <w:numPr>
          <w:ilvl w:val="0"/>
          <w:numId w:val="2"/>
        </w:numPr>
        <w:spacing w:line="600" w:lineRule="exact"/>
        <w:ind w:firstLineChars="0"/>
        <w:rPr>
          <w:rFonts w:eastAsia="仿宋"/>
          <w:sz w:val="32"/>
        </w:rPr>
      </w:pPr>
      <w:r>
        <w:rPr>
          <w:rFonts w:eastAsia="仿宋" w:hint="eastAsia"/>
          <w:sz w:val="32"/>
        </w:rPr>
        <w:t>口头警示；</w:t>
      </w:r>
    </w:p>
    <w:p w:rsidR="00B5576A" w:rsidRDefault="00902043">
      <w:pPr>
        <w:pStyle w:val="ab"/>
        <w:numPr>
          <w:ilvl w:val="0"/>
          <w:numId w:val="2"/>
        </w:numPr>
        <w:spacing w:line="600" w:lineRule="exact"/>
        <w:ind w:firstLineChars="0"/>
        <w:rPr>
          <w:rFonts w:eastAsia="仿宋"/>
          <w:sz w:val="32"/>
        </w:rPr>
      </w:pPr>
      <w:r>
        <w:rPr>
          <w:rFonts w:eastAsia="仿宋" w:hint="eastAsia"/>
          <w:sz w:val="32"/>
        </w:rPr>
        <w:t>约见谈话；</w:t>
      </w:r>
    </w:p>
    <w:p w:rsidR="00B5576A" w:rsidRDefault="00902043">
      <w:pPr>
        <w:pStyle w:val="ab"/>
        <w:numPr>
          <w:ilvl w:val="0"/>
          <w:numId w:val="2"/>
        </w:numPr>
        <w:spacing w:line="600" w:lineRule="exact"/>
        <w:ind w:firstLineChars="0"/>
        <w:rPr>
          <w:rFonts w:eastAsia="仿宋"/>
          <w:sz w:val="32"/>
        </w:rPr>
      </w:pPr>
      <w:r>
        <w:rPr>
          <w:rFonts w:eastAsia="仿宋"/>
          <w:sz w:val="32"/>
        </w:rPr>
        <w:t>要求提交书面承诺</w:t>
      </w:r>
      <w:r>
        <w:rPr>
          <w:rFonts w:eastAsia="仿宋" w:hint="eastAsia"/>
          <w:sz w:val="32"/>
        </w:rPr>
        <w:t>；</w:t>
      </w:r>
    </w:p>
    <w:p w:rsidR="00B5576A" w:rsidRDefault="00902043">
      <w:pPr>
        <w:pStyle w:val="ab"/>
        <w:numPr>
          <w:ilvl w:val="0"/>
          <w:numId w:val="2"/>
        </w:numPr>
        <w:spacing w:line="600" w:lineRule="exact"/>
        <w:ind w:firstLineChars="0"/>
        <w:rPr>
          <w:rFonts w:eastAsia="仿宋"/>
          <w:sz w:val="32"/>
        </w:rPr>
      </w:pPr>
      <w:r>
        <w:rPr>
          <w:rFonts w:eastAsia="仿宋"/>
          <w:sz w:val="32"/>
        </w:rPr>
        <w:t>出具警示函</w:t>
      </w:r>
      <w:r>
        <w:rPr>
          <w:rFonts w:eastAsia="仿宋" w:hint="eastAsia"/>
          <w:sz w:val="32"/>
        </w:rPr>
        <w:t>；</w:t>
      </w:r>
    </w:p>
    <w:p w:rsidR="00B5576A" w:rsidRDefault="00902043">
      <w:pPr>
        <w:pStyle w:val="ab"/>
        <w:numPr>
          <w:ilvl w:val="0"/>
          <w:numId w:val="2"/>
        </w:numPr>
        <w:spacing w:line="600" w:lineRule="exact"/>
        <w:ind w:firstLineChars="0"/>
        <w:rPr>
          <w:rFonts w:eastAsia="仿宋"/>
          <w:sz w:val="32"/>
        </w:rPr>
      </w:pPr>
      <w:r>
        <w:rPr>
          <w:rFonts w:eastAsia="仿宋"/>
          <w:sz w:val="32"/>
        </w:rPr>
        <w:t>责令改正</w:t>
      </w:r>
      <w:r>
        <w:rPr>
          <w:rFonts w:eastAsia="仿宋" w:hint="eastAsia"/>
          <w:sz w:val="32"/>
        </w:rPr>
        <w:t>；</w:t>
      </w:r>
    </w:p>
    <w:p w:rsidR="00B5576A" w:rsidRDefault="00902043">
      <w:pPr>
        <w:pStyle w:val="ab"/>
        <w:numPr>
          <w:ilvl w:val="0"/>
          <w:numId w:val="2"/>
        </w:numPr>
        <w:spacing w:line="600" w:lineRule="exact"/>
        <w:ind w:firstLineChars="0"/>
        <w:rPr>
          <w:rFonts w:eastAsia="仿宋"/>
          <w:sz w:val="32"/>
        </w:rPr>
      </w:pPr>
      <w:r>
        <w:rPr>
          <w:rFonts w:eastAsia="仿宋"/>
          <w:sz w:val="32"/>
        </w:rPr>
        <w:lastRenderedPageBreak/>
        <w:t>全国股转公司规定的其他自律监管措施</w:t>
      </w:r>
      <w:r>
        <w:rPr>
          <w:rFonts w:eastAsia="仿宋" w:hint="eastAsia"/>
          <w:sz w:val="32"/>
        </w:rPr>
        <w:t>。</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主办券商及其相关业务人员严重违反本办法规定，全国股转</w:t>
      </w:r>
      <w:r>
        <w:rPr>
          <w:rFonts w:eastAsia="仿宋"/>
          <w:sz w:val="32"/>
        </w:rPr>
        <w:t>公司可以</w:t>
      </w:r>
      <w:r>
        <w:rPr>
          <w:rFonts w:eastAsia="仿宋" w:hint="eastAsia"/>
          <w:sz w:val="32"/>
        </w:rPr>
        <w:t>视情节轻重</w:t>
      </w:r>
      <w:r>
        <w:rPr>
          <w:rFonts w:eastAsia="仿宋"/>
          <w:sz w:val="32"/>
        </w:rPr>
        <w:t>采取以下纪律处分</w:t>
      </w:r>
      <w:r>
        <w:rPr>
          <w:rFonts w:eastAsia="仿宋" w:hint="eastAsia"/>
          <w:sz w:val="32"/>
        </w:rPr>
        <w:t>：</w:t>
      </w:r>
    </w:p>
    <w:p w:rsidR="00B5576A" w:rsidRDefault="00902043">
      <w:pPr>
        <w:pStyle w:val="ab"/>
        <w:numPr>
          <w:ilvl w:val="0"/>
          <w:numId w:val="3"/>
        </w:numPr>
        <w:spacing w:line="600" w:lineRule="exact"/>
        <w:ind w:firstLineChars="0"/>
        <w:rPr>
          <w:rFonts w:eastAsia="仿宋"/>
          <w:sz w:val="32"/>
        </w:rPr>
      </w:pPr>
      <w:r>
        <w:rPr>
          <w:rFonts w:eastAsia="仿宋" w:hint="eastAsia"/>
          <w:sz w:val="32"/>
        </w:rPr>
        <w:t>通报批评；</w:t>
      </w:r>
    </w:p>
    <w:p w:rsidR="00B5576A" w:rsidRDefault="00902043">
      <w:pPr>
        <w:pStyle w:val="ab"/>
        <w:numPr>
          <w:ilvl w:val="0"/>
          <w:numId w:val="3"/>
        </w:numPr>
        <w:spacing w:line="600" w:lineRule="exact"/>
        <w:ind w:firstLineChars="0"/>
        <w:rPr>
          <w:rFonts w:eastAsia="仿宋"/>
          <w:sz w:val="32"/>
        </w:rPr>
      </w:pPr>
      <w:r>
        <w:rPr>
          <w:rFonts w:eastAsia="仿宋"/>
          <w:sz w:val="32"/>
        </w:rPr>
        <w:t>公开谴责</w:t>
      </w:r>
      <w:r>
        <w:rPr>
          <w:rFonts w:eastAsia="仿宋" w:hint="eastAsia"/>
          <w:sz w:val="32"/>
        </w:rPr>
        <w:t>；</w:t>
      </w:r>
    </w:p>
    <w:p w:rsidR="00B5576A" w:rsidRDefault="00902043">
      <w:pPr>
        <w:pStyle w:val="ab"/>
        <w:numPr>
          <w:ilvl w:val="0"/>
          <w:numId w:val="3"/>
        </w:numPr>
        <w:spacing w:line="600" w:lineRule="exact"/>
        <w:ind w:firstLineChars="0"/>
        <w:rPr>
          <w:rFonts w:eastAsia="仿宋"/>
          <w:sz w:val="32"/>
        </w:rPr>
      </w:pPr>
      <w:r>
        <w:rPr>
          <w:rFonts w:eastAsia="仿宋"/>
          <w:sz w:val="32"/>
        </w:rPr>
        <w:t>限制</w:t>
      </w:r>
      <w:r>
        <w:rPr>
          <w:rFonts w:eastAsia="仿宋" w:hint="eastAsia"/>
          <w:sz w:val="32"/>
        </w:rPr>
        <w:t>、</w:t>
      </w:r>
      <w:r>
        <w:rPr>
          <w:rFonts w:eastAsia="仿宋"/>
          <w:sz w:val="32"/>
        </w:rPr>
        <w:t>暂停直至终止其从事相关业务</w:t>
      </w:r>
      <w:r>
        <w:rPr>
          <w:rFonts w:eastAsia="仿宋" w:hint="eastAsia"/>
          <w:sz w:val="32"/>
        </w:rPr>
        <w:t>；</w:t>
      </w:r>
    </w:p>
    <w:p w:rsidR="00B5576A" w:rsidRDefault="00902043">
      <w:pPr>
        <w:pStyle w:val="ab"/>
        <w:numPr>
          <w:ilvl w:val="0"/>
          <w:numId w:val="3"/>
        </w:numPr>
        <w:spacing w:line="600" w:lineRule="exact"/>
        <w:ind w:firstLineChars="0"/>
        <w:rPr>
          <w:rFonts w:eastAsia="仿宋"/>
          <w:sz w:val="32"/>
        </w:rPr>
      </w:pPr>
      <w:r>
        <w:rPr>
          <w:rFonts w:eastAsia="仿宋"/>
          <w:sz w:val="32"/>
        </w:rPr>
        <w:t>全国股转公司规定的其他纪律处分</w:t>
      </w:r>
      <w:r>
        <w:rPr>
          <w:rFonts w:eastAsia="仿宋" w:hint="eastAsia"/>
          <w:sz w:val="32"/>
        </w:rPr>
        <w:t>。</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本办法所称“以上”含本数。</w:t>
      </w:r>
    </w:p>
    <w:p w:rsidR="00B5576A" w:rsidRDefault="00902043">
      <w:pPr>
        <w:pStyle w:val="ab"/>
        <w:numPr>
          <w:ilvl w:val="0"/>
          <w:numId w:val="1"/>
        </w:numPr>
        <w:spacing w:line="600" w:lineRule="exact"/>
        <w:ind w:left="0" w:firstLineChars="0" w:firstLine="643"/>
        <w:rPr>
          <w:rFonts w:eastAsia="仿宋"/>
          <w:sz w:val="32"/>
        </w:rPr>
      </w:pPr>
      <w:r>
        <w:rPr>
          <w:rFonts w:eastAsia="仿宋" w:hint="eastAsia"/>
          <w:sz w:val="32"/>
        </w:rPr>
        <w:t>本</w:t>
      </w:r>
      <w:r>
        <w:rPr>
          <w:rFonts w:eastAsia="仿宋"/>
          <w:sz w:val="32"/>
        </w:rPr>
        <w:t>办法</w:t>
      </w:r>
      <w:r>
        <w:rPr>
          <w:rFonts w:eastAsia="仿宋" w:hint="eastAsia"/>
          <w:sz w:val="32"/>
        </w:rPr>
        <w:t>由全国股转公司负责解释。</w:t>
      </w:r>
    </w:p>
    <w:p w:rsidR="00B5576A" w:rsidRDefault="00902043">
      <w:pPr>
        <w:pStyle w:val="ab"/>
        <w:numPr>
          <w:ilvl w:val="0"/>
          <w:numId w:val="1"/>
        </w:numPr>
        <w:spacing w:line="600" w:lineRule="exact"/>
        <w:ind w:left="0" w:firstLineChars="0" w:firstLine="643"/>
      </w:pPr>
      <w:r>
        <w:rPr>
          <w:rFonts w:eastAsia="仿宋" w:hint="eastAsia"/>
          <w:sz w:val="32"/>
        </w:rPr>
        <w:t>本</w:t>
      </w:r>
      <w:r>
        <w:rPr>
          <w:rFonts w:eastAsia="仿宋"/>
          <w:sz w:val="32"/>
        </w:rPr>
        <w:t>办法</w:t>
      </w:r>
      <w:r>
        <w:rPr>
          <w:rFonts w:eastAsia="仿宋" w:hint="eastAsia"/>
          <w:sz w:val="32"/>
        </w:rPr>
        <w:t>自</w:t>
      </w:r>
      <w:r>
        <w:rPr>
          <w:rFonts w:ascii="Times New Roman" w:eastAsia="仿宋" w:hAnsi="Times New Roman" w:cs="Times New Roman"/>
          <w:sz w:val="32"/>
        </w:rPr>
        <w:t>2017</w:t>
      </w:r>
      <w:r>
        <w:rPr>
          <w:rFonts w:eastAsia="仿宋" w:hint="eastAsia"/>
          <w:sz w:val="32"/>
        </w:rPr>
        <w:t>年</w:t>
      </w:r>
      <w:r>
        <w:rPr>
          <w:rFonts w:ascii="Times New Roman" w:eastAsia="仿宋" w:hAnsi="Times New Roman" w:cs="Times New Roman"/>
          <w:sz w:val="32"/>
        </w:rPr>
        <w:t>7</w:t>
      </w:r>
      <w:r>
        <w:rPr>
          <w:rFonts w:eastAsia="仿宋" w:hint="eastAsia"/>
          <w:sz w:val="32"/>
        </w:rPr>
        <w:t>月</w:t>
      </w:r>
      <w:r>
        <w:rPr>
          <w:rFonts w:ascii="Times New Roman" w:eastAsia="仿宋" w:hAnsi="Times New Roman" w:cs="Times New Roman"/>
          <w:sz w:val="32"/>
        </w:rPr>
        <w:t>1</w:t>
      </w:r>
      <w:r>
        <w:rPr>
          <w:rFonts w:eastAsia="仿宋" w:hint="eastAsia"/>
          <w:sz w:val="32"/>
        </w:rPr>
        <w:t>日起施行。</w:t>
      </w:r>
    </w:p>
    <w:sectPr w:rsidR="00B5576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043" w:rsidRDefault="00902043">
      <w:pPr>
        <w:ind w:firstLine="640"/>
      </w:pPr>
      <w:r>
        <w:separator/>
      </w:r>
    </w:p>
  </w:endnote>
  <w:endnote w:type="continuationSeparator" w:id="0">
    <w:p w:rsidR="00902043" w:rsidRDefault="00902043">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34" w:rsidRDefault="0041123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325787"/>
    </w:sdtPr>
    <w:sdtEndPr/>
    <w:sdtContent>
      <w:p w:rsidR="00B5576A" w:rsidRDefault="00902043">
        <w:pPr>
          <w:pStyle w:val="a6"/>
          <w:ind w:firstLine="360"/>
          <w:jc w:val="center"/>
        </w:pPr>
        <w:r>
          <w:fldChar w:fldCharType="begin"/>
        </w:r>
        <w:r>
          <w:instrText>PAGE   \* MERGEFORMAT</w:instrText>
        </w:r>
        <w:r>
          <w:fldChar w:fldCharType="separate"/>
        </w:r>
        <w:r w:rsidR="00411234" w:rsidRPr="00411234">
          <w:rPr>
            <w:noProof/>
            <w:lang w:val="zh-CN"/>
          </w:rPr>
          <w:t>2</w:t>
        </w:r>
        <w:r>
          <w:fldChar w:fldCharType="end"/>
        </w:r>
      </w:p>
    </w:sdtContent>
  </w:sdt>
  <w:p w:rsidR="00B5576A" w:rsidRDefault="00B5576A">
    <w:pPr>
      <w:pStyle w:val="a6"/>
      <w:ind w:firstLine="560"/>
      <w:jc w:val="right"/>
      <w:rPr>
        <w:rFonts w:ascii="宋体" w:eastAsia="宋体" w:hAnsi="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34" w:rsidRDefault="0041123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043" w:rsidRDefault="00902043">
      <w:pPr>
        <w:ind w:firstLine="640"/>
      </w:pPr>
      <w:r>
        <w:separator/>
      </w:r>
    </w:p>
  </w:footnote>
  <w:footnote w:type="continuationSeparator" w:id="0">
    <w:p w:rsidR="00902043" w:rsidRDefault="00902043">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34" w:rsidRDefault="00411234">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34" w:rsidRPr="00411234" w:rsidRDefault="00411234" w:rsidP="00411234">
    <w:pPr>
      <w:ind w:firstLine="6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34" w:rsidRDefault="00411234">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B190B"/>
    <w:multiLevelType w:val="multilevel"/>
    <w:tmpl w:val="3DFB190B"/>
    <w:lvl w:ilvl="0">
      <w:start w:val="1"/>
      <w:numFmt w:val="japaneseCounting"/>
      <w:lvlText w:val="（%1）"/>
      <w:lvlJc w:val="left"/>
      <w:pPr>
        <w:ind w:left="1723" w:hanging="108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1">
    <w:nsid w:val="50FF09CD"/>
    <w:multiLevelType w:val="multilevel"/>
    <w:tmpl w:val="50FF09CD"/>
    <w:lvl w:ilvl="0">
      <w:start w:val="1"/>
      <w:numFmt w:val="japaneseCounting"/>
      <w:lvlText w:val="（%1）"/>
      <w:lvlJc w:val="left"/>
      <w:pPr>
        <w:ind w:left="1723" w:hanging="108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2">
    <w:nsid w:val="759077D7"/>
    <w:multiLevelType w:val="multilevel"/>
    <w:tmpl w:val="759077D7"/>
    <w:lvl w:ilvl="0">
      <w:start w:val="1"/>
      <w:numFmt w:val="japaneseCounting"/>
      <w:lvlText w:val="第%1条"/>
      <w:lvlJc w:val="left"/>
      <w:pPr>
        <w:ind w:left="1698" w:hanging="1130"/>
      </w:pPr>
      <w:rPr>
        <w:rFonts w:ascii="仿宋" w:eastAsia="仿宋" w:hAnsi="仿宋" w:hint="default"/>
        <w:b/>
        <w:sz w:val="32"/>
        <w:szCs w:val="32"/>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94"/>
    <w:rsid w:val="00002716"/>
    <w:rsid w:val="00005955"/>
    <w:rsid w:val="0001609B"/>
    <w:rsid w:val="00027E2B"/>
    <w:rsid w:val="00034B75"/>
    <w:rsid w:val="00091E94"/>
    <w:rsid w:val="000E53B7"/>
    <w:rsid w:val="000E59E2"/>
    <w:rsid w:val="00150401"/>
    <w:rsid w:val="00163837"/>
    <w:rsid w:val="00170531"/>
    <w:rsid w:val="001C7641"/>
    <w:rsid w:val="001E0D58"/>
    <w:rsid w:val="002067FE"/>
    <w:rsid w:val="002320B8"/>
    <w:rsid w:val="00235B5B"/>
    <w:rsid w:val="0026683C"/>
    <w:rsid w:val="00286CE2"/>
    <w:rsid w:val="0029521A"/>
    <w:rsid w:val="00295D16"/>
    <w:rsid w:val="002A62F0"/>
    <w:rsid w:val="002B4B63"/>
    <w:rsid w:val="002B50CF"/>
    <w:rsid w:val="002C0176"/>
    <w:rsid w:val="002C47A8"/>
    <w:rsid w:val="003407EA"/>
    <w:rsid w:val="003474D4"/>
    <w:rsid w:val="003724B7"/>
    <w:rsid w:val="003817A7"/>
    <w:rsid w:val="00385BD5"/>
    <w:rsid w:val="00386125"/>
    <w:rsid w:val="003879DC"/>
    <w:rsid w:val="003A5369"/>
    <w:rsid w:val="003A761A"/>
    <w:rsid w:val="003A7C37"/>
    <w:rsid w:val="003D5C06"/>
    <w:rsid w:val="00411234"/>
    <w:rsid w:val="00490226"/>
    <w:rsid w:val="004A0329"/>
    <w:rsid w:val="004C16ED"/>
    <w:rsid w:val="00537498"/>
    <w:rsid w:val="0054524F"/>
    <w:rsid w:val="005463E7"/>
    <w:rsid w:val="00575577"/>
    <w:rsid w:val="00597229"/>
    <w:rsid w:val="005A1789"/>
    <w:rsid w:val="005B3ED4"/>
    <w:rsid w:val="005B4C24"/>
    <w:rsid w:val="005E54F8"/>
    <w:rsid w:val="005F7C70"/>
    <w:rsid w:val="00603D2E"/>
    <w:rsid w:val="00680126"/>
    <w:rsid w:val="00687E45"/>
    <w:rsid w:val="0069358F"/>
    <w:rsid w:val="00694033"/>
    <w:rsid w:val="006A7982"/>
    <w:rsid w:val="006C2675"/>
    <w:rsid w:val="006D0014"/>
    <w:rsid w:val="00711E52"/>
    <w:rsid w:val="007125A9"/>
    <w:rsid w:val="0071618C"/>
    <w:rsid w:val="007B053C"/>
    <w:rsid w:val="007D54C7"/>
    <w:rsid w:val="007F4D71"/>
    <w:rsid w:val="00895B55"/>
    <w:rsid w:val="008A48F3"/>
    <w:rsid w:val="008B7E77"/>
    <w:rsid w:val="008E76CA"/>
    <w:rsid w:val="008F05DC"/>
    <w:rsid w:val="008F3D14"/>
    <w:rsid w:val="008F48E6"/>
    <w:rsid w:val="00902043"/>
    <w:rsid w:val="00926243"/>
    <w:rsid w:val="00941ED2"/>
    <w:rsid w:val="00942B90"/>
    <w:rsid w:val="00945C4D"/>
    <w:rsid w:val="0095423D"/>
    <w:rsid w:val="00980D13"/>
    <w:rsid w:val="00990AA9"/>
    <w:rsid w:val="0099318E"/>
    <w:rsid w:val="009A2F0B"/>
    <w:rsid w:val="009A7EDE"/>
    <w:rsid w:val="009C604F"/>
    <w:rsid w:val="009D04F7"/>
    <w:rsid w:val="009F05D1"/>
    <w:rsid w:val="009F333F"/>
    <w:rsid w:val="009F5B16"/>
    <w:rsid w:val="00A12514"/>
    <w:rsid w:val="00A44E22"/>
    <w:rsid w:val="00A51310"/>
    <w:rsid w:val="00A532B3"/>
    <w:rsid w:val="00A86A2B"/>
    <w:rsid w:val="00A875E4"/>
    <w:rsid w:val="00AC1657"/>
    <w:rsid w:val="00AC4D1F"/>
    <w:rsid w:val="00AD19CD"/>
    <w:rsid w:val="00AE5957"/>
    <w:rsid w:val="00B03DD5"/>
    <w:rsid w:val="00B46B65"/>
    <w:rsid w:val="00B5576A"/>
    <w:rsid w:val="00B57601"/>
    <w:rsid w:val="00B7036B"/>
    <w:rsid w:val="00BB165C"/>
    <w:rsid w:val="00BC15D6"/>
    <w:rsid w:val="00C540D0"/>
    <w:rsid w:val="00C62B90"/>
    <w:rsid w:val="00CE1E7B"/>
    <w:rsid w:val="00CE3114"/>
    <w:rsid w:val="00CE36E8"/>
    <w:rsid w:val="00D103E5"/>
    <w:rsid w:val="00D5353F"/>
    <w:rsid w:val="00D573FA"/>
    <w:rsid w:val="00DB328A"/>
    <w:rsid w:val="00DD7F25"/>
    <w:rsid w:val="00E047B5"/>
    <w:rsid w:val="00E3308E"/>
    <w:rsid w:val="00E353B0"/>
    <w:rsid w:val="00E45D5F"/>
    <w:rsid w:val="00E5523E"/>
    <w:rsid w:val="00E55369"/>
    <w:rsid w:val="00E619BA"/>
    <w:rsid w:val="00E9209A"/>
    <w:rsid w:val="00F0654B"/>
    <w:rsid w:val="00F06AE2"/>
    <w:rsid w:val="00F10C61"/>
    <w:rsid w:val="00F151BF"/>
    <w:rsid w:val="00F515C9"/>
    <w:rsid w:val="00F71ACD"/>
    <w:rsid w:val="00F80F14"/>
    <w:rsid w:val="00F83BF5"/>
    <w:rsid w:val="00F8752C"/>
    <w:rsid w:val="00FA673F"/>
    <w:rsid w:val="00FC1576"/>
    <w:rsid w:val="00FD3DB2"/>
    <w:rsid w:val="00FE4870"/>
    <w:rsid w:val="51663022"/>
    <w:rsid w:val="77152D1A"/>
    <w:rsid w:val="7920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DDD0D0-2F8F-402C-B00C-83D0FB07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rFonts w:eastAsia="仿宋"/>
      <w:kern w:val="2"/>
      <w:sz w:val="32"/>
      <w:szCs w:val="22"/>
    </w:rPr>
  </w:style>
  <w:style w:type="paragraph" w:styleId="1">
    <w:name w:val="heading 1"/>
    <w:basedOn w:val="a"/>
    <w:next w:val="a"/>
    <w:link w:val="1Char"/>
    <w:uiPriority w:val="9"/>
    <w:qFormat/>
    <w:pPr>
      <w:keepNext/>
      <w:keepLines/>
      <w:spacing w:before="340" w:after="330" w:line="578" w:lineRule="auto"/>
      <w:outlineLvl w:val="0"/>
    </w:pPr>
    <w:rPr>
      <w:rFonts w:eastAsia="黑体"/>
      <w:b/>
      <w:bCs/>
      <w:kern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楷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Char4"/>
    <w:uiPriority w:val="10"/>
    <w:qFormat/>
    <w:pPr>
      <w:spacing w:before="240" w:after="60"/>
      <w:jc w:val="center"/>
      <w:outlineLvl w:val="0"/>
    </w:pPr>
    <w:rPr>
      <w:rFonts w:asciiTheme="majorHAnsi" w:eastAsia="方正大标宋简体" w:hAnsiTheme="majorHAnsi" w:cstheme="majorBidi"/>
      <w:bCs/>
      <w:sz w:val="44"/>
      <w:szCs w:val="32"/>
    </w:rPr>
  </w:style>
  <w:style w:type="character" w:styleId="a9">
    <w:name w:val="annotation reference"/>
    <w:basedOn w:val="a0"/>
    <w:uiPriority w:val="99"/>
    <w:semiHidden/>
    <w:unhideWhenUsed/>
    <w:qFormat/>
    <w:rPr>
      <w:sz w:val="21"/>
      <w:szCs w:val="21"/>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标题 Char"/>
    <w:basedOn w:val="a0"/>
    <w:link w:val="a8"/>
    <w:uiPriority w:val="10"/>
    <w:qFormat/>
    <w:rPr>
      <w:rFonts w:asciiTheme="majorHAnsi" w:eastAsia="方正大标宋简体" w:hAnsiTheme="majorHAnsi" w:cstheme="majorBidi"/>
      <w:bCs/>
      <w:sz w:val="44"/>
      <w:szCs w:val="32"/>
    </w:rPr>
  </w:style>
  <w:style w:type="character" w:customStyle="1" w:styleId="1Char">
    <w:name w:val="标题 1 Char"/>
    <w:basedOn w:val="a0"/>
    <w:link w:val="1"/>
    <w:uiPriority w:val="9"/>
    <w:qFormat/>
    <w:rPr>
      <w:rFonts w:eastAsia="黑体"/>
      <w:b/>
      <w:bCs/>
      <w:kern w:val="44"/>
      <w:sz w:val="32"/>
      <w:szCs w:val="44"/>
    </w:rPr>
  </w:style>
  <w:style w:type="character" w:customStyle="1" w:styleId="2Char">
    <w:name w:val="标题 2 Char"/>
    <w:basedOn w:val="a0"/>
    <w:link w:val="2"/>
    <w:uiPriority w:val="9"/>
    <w:semiHidden/>
    <w:qFormat/>
    <w:rPr>
      <w:rFonts w:asciiTheme="majorHAnsi" w:eastAsia="楷体" w:hAnsiTheme="majorHAnsi" w:cstheme="majorBidi"/>
      <w:bCs/>
      <w:sz w:val="32"/>
      <w:szCs w:val="32"/>
    </w:rPr>
  </w:style>
  <w:style w:type="paragraph" w:styleId="ab">
    <w:name w:val="List Paragraph"/>
    <w:basedOn w:val="a"/>
    <w:uiPriority w:val="34"/>
    <w:qFormat/>
    <w:pPr>
      <w:ind w:firstLine="420"/>
    </w:pPr>
    <w:rPr>
      <w:rFonts w:eastAsiaTheme="minorEastAsia"/>
      <w:sz w:val="21"/>
    </w:rPr>
  </w:style>
  <w:style w:type="character" w:customStyle="1" w:styleId="Char3">
    <w:name w:val="页眉 Char"/>
    <w:basedOn w:val="a0"/>
    <w:link w:val="a7"/>
    <w:uiPriority w:val="99"/>
    <w:qFormat/>
    <w:rPr>
      <w:rFonts w:eastAsia="仿宋"/>
      <w:sz w:val="18"/>
      <w:szCs w:val="18"/>
    </w:rPr>
  </w:style>
  <w:style w:type="character" w:customStyle="1" w:styleId="Char2">
    <w:name w:val="页脚 Char"/>
    <w:basedOn w:val="a0"/>
    <w:link w:val="a6"/>
    <w:uiPriority w:val="99"/>
    <w:qFormat/>
    <w:rPr>
      <w:rFonts w:eastAsia="仿宋"/>
      <w:sz w:val="18"/>
      <w:szCs w:val="18"/>
    </w:rPr>
  </w:style>
  <w:style w:type="character" w:customStyle="1" w:styleId="Char1">
    <w:name w:val="批注框文本 Char"/>
    <w:basedOn w:val="a0"/>
    <w:link w:val="a5"/>
    <w:uiPriority w:val="99"/>
    <w:semiHidden/>
    <w:qFormat/>
    <w:rPr>
      <w:rFonts w:eastAsia="仿宋"/>
      <w:sz w:val="18"/>
      <w:szCs w:val="18"/>
    </w:rPr>
  </w:style>
  <w:style w:type="character" w:customStyle="1" w:styleId="Char0">
    <w:name w:val="批注文字 Char"/>
    <w:basedOn w:val="a0"/>
    <w:link w:val="a4"/>
    <w:uiPriority w:val="99"/>
    <w:semiHidden/>
    <w:qFormat/>
    <w:rPr>
      <w:rFonts w:eastAsia="仿宋"/>
      <w:kern w:val="2"/>
      <w:sz w:val="32"/>
      <w:szCs w:val="22"/>
    </w:rPr>
  </w:style>
  <w:style w:type="character" w:customStyle="1" w:styleId="Char">
    <w:name w:val="批注主题 Char"/>
    <w:basedOn w:val="Char0"/>
    <w:link w:val="a3"/>
    <w:uiPriority w:val="99"/>
    <w:semiHidden/>
    <w:qFormat/>
    <w:rPr>
      <w:rFonts w:eastAsia="仿宋"/>
      <w:b/>
      <w:bCs/>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附件：全国中小企业股份转让系统投资者适当性管理办法</dc:title>
  <dc:creator>Windows 用户</dc:creator>
  <cp:lastModifiedBy>文印室wys</cp:lastModifiedBy>
  <cp:revision>25</cp:revision>
  <cp:lastPrinted>2019-12-20T06:25:00Z</cp:lastPrinted>
  <dcterms:created xsi:type="dcterms:W3CDTF">2019-12-20T05:51:00Z</dcterms:created>
  <dcterms:modified xsi:type="dcterms:W3CDTF">2019-12-27T07:42:00Z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