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B1CC" w14:textId="77777777" w:rsidR="003139B3" w:rsidRDefault="003139B3" w:rsidP="003139B3">
      <w:pPr>
        <w:widowControl/>
        <w:shd w:val="clear" w:color="auto" w:fill="FFFFFF"/>
        <w:wordWrap w:val="0"/>
        <w:spacing w:line="420" w:lineRule="atLeast"/>
        <w:jc w:val="left"/>
        <w:rPr>
          <w:rFonts w:ascii="微软雅黑" w:eastAsia="微软雅黑" w:hAnsi="微软雅黑"/>
          <w:color w:val="2E4D87"/>
          <w:sz w:val="27"/>
          <w:szCs w:val="27"/>
        </w:rPr>
      </w:pPr>
      <w:r>
        <w:rPr>
          <w:rFonts w:ascii="微软雅黑" w:eastAsia="微软雅黑" w:hAnsi="微软雅黑" w:hint="eastAsia"/>
          <w:color w:val="2E4D87"/>
          <w:sz w:val="27"/>
          <w:szCs w:val="27"/>
        </w:rPr>
        <w:t>关于发布《全国中小企业股份转让系统股票向不特定合格投资者公开发行与承销管理细则（试行）》的公告</w:t>
      </w:r>
    </w:p>
    <w:p w14:paraId="2DD3C277" w14:textId="5CE7FEA4" w:rsidR="003139B3" w:rsidRDefault="003139B3" w:rsidP="003139B3">
      <w:pPr>
        <w:shd w:val="clear" w:color="auto" w:fill="FFFFFF"/>
        <w:rPr>
          <w:rFonts w:ascii="微软雅黑" w:eastAsia="微软雅黑" w:hAnsi="微软雅黑" w:hint="eastAsia"/>
          <w:color w:val="333333"/>
          <w:szCs w:val="21"/>
        </w:rPr>
      </w:pPr>
      <w:r>
        <w:rPr>
          <w:rStyle w:val="datespan"/>
          <w:rFonts w:ascii="微软雅黑" w:eastAsia="微软雅黑" w:hAnsi="微软雅黑" w:hint="eastAsia"/>
          <w:color w:val="999999"/>
          <w:szCs w:val="21"/>
        </w:rPr>
        <w:t>2020-01-19</w:t>
      </w:r>
      <w:r>
        <w:rPr>
          <w:rFonts w:ascii="微软雅黑" w:eastAsia="微软雅黑" w:hAnsi="微软雅黑" w:hint="eastAsia"/>
          <w:color w:val="333333"/>
          <w:szCs w:val="21"/>
        </w:rPr>
        <w:t> </w:t>
      </w:r>
      <w:r>
        <w:rPr>
          <w:rFonts w:ascii="微软雅黑" w:eastAsia="微软雅黑" w:hAnsi="微软雅黑"/>
          <w:noProof/>
          <w:color w:val="999999"/>
          <w:szCs w:val="21"/>
        </w:rPr>
        <w:drawing>
          <wp:inline distT="0" distB="0" distL="0" distR="0" wp14:anchorId="2F37DE63" wp14:editId="70B14D1B">
            <wp:extent cx="203200" cy="1333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133350"/>
                    </a:xfrm>
                    <a:prstGeom prst="rect">
                      <a:avLst/>
                    </a:prstGeom>
                    <a:noFill/>
                    <a:ln>
                      <a:noFill/>
                    </a:ln>
                  </pic:spPr>
                </pic:pic>
              </a:graphicData>
            </a:graphic>
          </wp:inline>
        </w:drawing>
      </w:r>
      <w:r>
        <w:rPr>
          <w:rStyle w:val="numspan"/>
          <w:rFonts w:ascii="微软雅黑" w:eastAsia="微软雅黑" w:hAnsi="微软雅黑" w:hint="eastAsia"/>
          <w:color w:val="999999"/>
          <w:szCs w:val="21"/>
        </w:rPr>
        <w:t> 1818 </w:t>
      </w:r>
      <w:hyperlink r:id="rId5" w:history="1">
        <w:r>
          <w:rPr>
            <w:rFonts w:ascii="微软雅黑" w:eastAsia="微软雅黑" w:hAnsi="微软雅黑"/>
            <w:noProof/>
            <w:color w:val="337AB7"/>
            <w:szCs w:val="21"/>
          </w:rPr>
          <w:drawing>
            <wp:inline distT="0" distB="0" distL="0" distR="0" wp14:anchorId="0D5B3EF4" wp14:editId="674F8AE0">
              <wp:extent cx="190500" cy="190500"/>
              <wp:effectExtent l="0" t="0" r="0" b="0"/>
              <wp:docPr id="9" name="图片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Style w:val="a3"/>
            <w:rFonts w:ascii="微软雅黑" w:eastAsia="微软雅黑" w:hAnsi="微软雅黑" w:hint="eastAsia"/>
            <w:color w:val="337AB7"/>
            <w:szCs w:val="21"/>
          </w:rPr>
          <w:t> </w:t>
        </w:r>
      </w:hyperlink>
      <w:r>
        <w:rPr>
          <w:rFonts w:ascii="微软雅黑" w:eastAsia="微软雅黑" w:hAnsi="微软雅黑"/>
          <w:noProof/>
          <w:color w:val="337AB7"/>
          <w:szCs w:val="21"/>
        </w:rPr>
        <w:drawing>
          <wp:inline distT="0" distB="0" distL="0" distR="0" wp14:anchorId="008AD8F5" wp14:editId="319A3018">
            <wp:extent cx="190500" cy="190500"/>
            <wp:effectExtent l="0" t="0" r="0" b="0"/>
            <wp:docPr id="8" name="图片 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Style w:val="downspan"/>
          <w:rFonts w:ascii="微软雅黑" w:eastAsia="微软雅黑" w:hAnsi="微软雅黑" w:hint="eastAsia"/>
          <w:color w:val="999999"/>
        </w:rPr>
        <w:t>A</w:t>
      </w:r>
      <w:r>
        <w:rPr>
          <w:rStyle w:val="downa"/>
          <w:rFonts w:ascii="微软雅黑" w:eastAsia="微软雅黑" w:hAnsi="微软雅黑" w:hint="eastAsia"/>
          <w:color w:val="999999"/>
          <w:sz w:val="18"/>
          <w:szCs w:val="18"/>
        </w:rPr>
        <w:t>-</w:t>
      </w:r>
      <w:r>
        <w:rPr>
          <w:rStyle w:val="upspan"/>
          <w:rFonts w:ascii="微软雅黑" w:eastAsia="微软雅黑" w:hAnsi="微软雅黑" w:hint="eastAsia"/>
          <w:color w:val="999999"/>
        </w:rPr>
        <w:t>A</w:t>
      </w:r>
      <w:r>
        <w:rPr>
          <w:rStyle w:val="upa"/>
          <w:rFonts w:ascii="微软雅黑" w:eastAsia="微软雅黑" w:hAnsi="微软雅黑" w:hint="eastAsia"/>
          <w:color w:val="999999"/>
          <w:sz w:val="18"/>
          <w:szCs w:val="18"/>
        </w:rPr>
        <w:t>+</w:t>
      </w:r>
      <w:r>
        <w:rPr>
          <w:rFonts w:ascii="微软雅黑" w:eastAsia="微软雅黑" w:hAnsi="微软雅黑"/>
          <w:noProof/>
          <w:color w:val="337AB7"/>
          <w:szCs w:val="21"/>
        </w:rPr>
        <w:drawing>
          <wp:inline distT="0" distB="0" distL="0" distR="0" wp14:anchorId="69B1D8F6" wp14:editId="573F15F4">
            <wp:extent cx="190500" cy="190500"/>
            <wp:effectExtent l="0" t="0" r="0" b="0"/>
            <wp:docPr id="7" name="图片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D82387" w14:textId="77777777" w:rsidR="003139B3" w:rsidRDefault="003139B3" w:rsidP="003139B3">
      <w:pPr>
        <w:pStyle w:val="a4"/>
        <w:spacing w:before="0" w:beforeAutospacing="0" w:after="0" w:afterAutospacing="0" w:line="420" w:lineRule="atLeast"/>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w:t>
      </w:r>
    </w:p>
    <w:p w14:paraId="11D7B2C9" w14:textId="77777777" w:rsidR="003139B3" w:rsidRDefault="003139B3" w:rsidP="003139B3">
      <w:pPr>
        <w:pStyle w:val="a4"/>
        <w:spacing w:before="0" w:beforeAutospacing="0" w:after="0" w:afterAutospacing="0" w:line="420" w:lineRule="atLeast"/>
        <w:jc w:val="center"/>
        <w:rPr>
          <w:rFonts w:ascii="微软雅黑" w:eastAsia="微软雅黑" w:hAnsi="微软雅黑" w:hint="eastAsia"/>
          <w:color w:val="333333"/>
          <w:sz w:val="21"/>
          <w:szCs w:val="21"/>
        </w:rPr>
      </w:pPr>
      <w:r>
        <w:rPr>
          <w:rFonts w:ascii="微软雅黑" w:eastAsia="微软雅黑" w:hAnsi="微软雅黑" w:hint="eastAsia"/>
          <w:color w:val="6D6D6D"/>
          <w:sz w:val="23"/>
          <w:szCs w:val="23"/>
        </w:rPr>
        <w:t>股转系统公告〔2020〕65号</w:t>
      </w:r>
    </w:p>
    <w:p w14:paraId="1AF27A1A" w14:textId="77777777" w:rsidR="003139B3" w:rsidRDefault="003139B3" w:rsidP="003139B3">
      <w:pPr>
        <w:pStyle w:val="a4"/>
        <w:spacing w:before="0" w:beforeAutospacing="0" w:after="0" w:afterAutospacing="0" w:line="420" w:lineRule="atLeast"/>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w:t>
      </w:r>
    </w:p>
    <w:p w14:paraId="6342E9F2" w14:textId="77777777" w:rsidR="003139B3" w:rsidRDefault="003139B3" w:rsidP="003139B3">
      <w:pPr>
        <w:pStyle w:val="a4"/>
        <w:spacing w:before="0" w:beforeAutospacing="0" w:after="0" w:afterAutospacing="0" w:line="420" w:lineRule="atLeast"/>
        <w:ind w:firstLine="465"/>
        <w:rPr>
          <w:rFonts w:ascii="微软雅黑" w:eastAsia="微软雅黑" w:hAnsi="微软雅黑" w:hint="eastAsia"/>
          <w:color w:val="333333"/>
          <w:sz w:val="21"/>
          <w:szCs w:val="21"/>
        </w:rPr>
      </w:pPr>
      <w:r>
        <w:rPr>
          <w:rFonts w:ascii="微软雅黑" w:eastAsia="微软雅黑" w:hAnsi="微软雅黑" w:hint="eastAsia"/>
          <w:color w:val="6D6D6D"/>
          <w:sz w:val="23"/>
          <w:szCs w:val="23"/>
        </w:rPr>
        <w:t>为了规范全国中小企业股份转让系统股票向不特定合格投资者公开发行及承销行为，保护投资者合法权益，全国中小企业股份转让系统有限责任公司制定了《全国中小企业股份转让系统股票向不特定合格投资者公开发行与承销管理细则（试行）》。经中国证监会批准，现予以发布，自发布之日起施行。</w:t>
      </w:r>
    </w:p>
    <w:p w14:paraId="1915D317" w14:textId="77777777" w:rsidR="003139B3" w:rsidRDefault="003139B3" w:rsidP="003139B3">
      <w:pPr>
        <w:pStyle w:val="a4"/>
        <w:spacing w:before="0" w:beforeAutospacing="0" w:after="0" w:afterAutospacing="0" w:line="420" w:lineRule="atLeast"/>
        <w:ind w:firstLine="465"/>
        <w:rPr>
          <w:rFonts w:ascii="微软雅黑" w:eastAsia="微软雅黑" w:hAnsi="微软雅黑" w:hint="eastAsia"/>
          <w:color w:val="333333"/>
          <w:sz w:val="21"/>
          <w:szCs w:val="21"/>
        </w:rPr>
      </w:pPr>
      <w:r>
        <w:rPr>
          <w:rFonts w:ascii="微软雅黑" w:eastAsia="微软雅黑" w:hAnsi="微软雅黑" w:hint="eastAsia"/>
          <w:color w:val="6D6D6D"/>
          <w:sz w:val="23"/>
          <w:szCs w:val="23"/>
        </w:rPr>
        <w:t>特此公告。</w:t>
      </w:r>
    </w:p>
    <w:p w14:paraId="754FDB97" w14:textId="77777777" w:rsidR="003139B3" w:rsidRDefault="003139B3" w:rsidP="003139B3">
      <w:pPr>
        <w:pStyle w:val="a4"/>
        <w:spacing w:before="0" w:beforeAutospacing="0" w:after="0" w:afterAutospacing="0" w:line="420" w:lineRule="atLeast"/>
        <w:ind w:firstLine="465"/>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w:t>
      </w:r>
    </w:p>
    <w:p w14:paraId="13A81F94" w14:textId="0C9269BB" w:rsidR="003139B3" w:rsidRDefault="003139B3" w:rsidP="003139B3">
      <w:pPr>
        <w:pStyle w:val="a4"/>
        <w:spacing w:before="0" w:beforeAutospacing="0" w:after="0" w:afterAutospacing="0" w:line="420" w:lineRule="atLeast"/>
        <w:ind w:firstLine="465"/>
        <w:rPr>
          <w:rFonts w:ascii="微软雅黑" w:eastAsia="微软雅黑" w:hAnsi="微软雅黑" w:hint="eastAsia"/>
          <w:color w:val="333333"/>
          <w:sz w:val="21"/>
          <w:szCs w:val="21"/>
        </w:rPr>
      </w:pPr>
      <w:r>
        <w:rPr>
          <w:rFonts w:ascii="微软雅黑" w:eastAsia="微软雅黑" w:hAnsi="微软雅黑" w:hint="eastAsia"/>
          <w:color w:val="6D6D6D"/>
          <w:sz w:val="23"/>
          <w:szCs w:val="23"/>
        </w:rPr>
        <w:t>附件:</w:t>
      </w:r>
      <w:r>
        <w:rPr>
          <w:rFonts w:ascii="微软雅黑" w:eastAsia="微软雅黑" w:hAnsi="微软雅黑"/>
          <w:noProof/>
          <w:color w:val="333333"/>
          <w:sz w:val="21"/>
          <w:szCs w:val="21"/>
        </w:rPr>
        <w:drawing>
          <wp:inline distT="0" distB="0" distL="0" distR="0" wp14:anchorId="66DD4AC7" wp14:editId="47E08D1D">
            <wp:extent cx="13970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12" w:tgtFrame="_self" w:history="1">
        <w:r>
          <w:rPr>
            <w:rStyle w:val="a3"/>
            <w:rFonts w:ascii="微软雅黑" w:eastAsia="微软雅黑" w:hAnsi="微软雅黑" w:hint="eastAsia"/>
            <w:color w:val="6D6D6D"/>
            <w:sz w:val="23"/>
            <w:szCs w:val="23"/>
          </w:rPr>
          <w:t>全国中小企业股份转让系统股票向不特定合格投资者公开发行与承销管理细则（试行）</w:t>
        </w:r>
      </w:hyperlink>
    </w:p>
    <w:p w14:paraId="33D01DA6" w14:textId="77777777" w:rsidR="003139B3" w:rsidRDefault="003139B3" w:rsidP="003139B3">
      <w:pPr>
        <w:pStyle w:val="a4"/>
        <w:spacing w:before="0" w:beforeAutospacing="0" w:after="0" w:afterAutospacing="0" w:line="420" w:lineRule="atLeast"/>
        <w:ind w:firstLine="465"/>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14:paraId="520E3B93" w14:textId="77777777" w:rsidR="003139B3" w:rsidRDefault="003139B3" w:rsidP="003139B3">
      <w:pPr>
        <w:pStyle w:val="a4"/>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w:t>
      </w:r>
    </w:p>
    <w:p w14:paraId="1A6CCEF8" w14:textId="4B20C0E7" w:rsidR="003139B3" w:rsidRDefault="003139B3" w:rsidP="003139B3">
      <w:pPr>
        <w:pStyle w:val="a4"/>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bookmarkStart w:id="0" w:name="_GoBack"/>
      <w:bookmarkEnd w:id="0"/>
    </w:p>
    <w:p w14:paraId="5B4CCED8" w14:textId="77777777" w:rsidR="003139B3" w:rsidRDefault="003139B3" w:rsidP="003139B3">
      <w:pPr>
        <w:pStyle w:val="a4"/>
        <w:spacing w:before="0" w:beforeAutospacing="0" w:after="0" w:afterAutospacing="0" w:line="420" w:lineRule="atLeast"/>
        <w:ind w:right="795" w:firstLine="570"/>
        <w:jc w:val="right"/>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全国股转公司</w:t>
      </w:r>
    </w:p>
    <w:p w14:paraId="2CA80AA3" w14:textId="77777777" w:rsidR="003139B3" w:rsidRDefault="003139B3" w:rsidP="003139B3">
      <w:pPr>
        <w:pStyle w:val="a4"/>
        <w:spacing w:before="0" w:beforeAutospacing="0" w:after="0" w:afterAutospacing="0" w:line="420" w:lineRule="atLeast"/>
        <w:ind w:right="795" w:firstLine="570"/>
        <w:jc w:val="right"/>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2020年1月19日</w:t>
      </w:r>
    </w:p>
    <w:p w14:paraId="663889BC" w14:textId="77777777" w:rsidR="000C7289" w:rsidRPr="003139B3" w:rsidRDefault="000C7289" w:rsidP="003139B3"/>
    <w:sectPr w:rsidR="000C7289" w:rsidRPr="003139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14"/>
    <w:rsid w:val="00010054"/>
    <w:rsid w:val="00022643"/>
    <w:rsid w:val="00035ED1"/>
    <w:rsid w:val="0004298D"/>
    <w:rsid w:val="00042EEA"/>
    <w:rsid w:val="0004490F"/>
    <w:rsid w:val="00050EB6"/>
    <w:rsid w:val="000637DD"/>
    <w:rsid w:val="00065310"/>
    <w:rsid w:val="0007009B"/>
    <w:rsid w:val="00084714"/>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139B3"/>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773AB"/>
    <w:rsid w:val="00983A14"/>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D8A1C-23F3-4DEA-8E7F-4F6276FE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983A14"/>
  </w:style>
  <w:style w:type="character" w:customStyle="1" w:styleId="numspan">
    <w:name w:val="num_span"/>
    <w:basedOn w:val="a0"/>
    <w:rsid w:val="00983A14"/>
  </w:style>
  <w:style w:type="character" w:styleId="a3">
    <w:name w:val="Hyperlink"/>
    <w:basedOn w:val="a0"/>
    <w:uiPriority w:val="99"/>
    <w:semiHidden/>
    <w:unhideWhenUsed/>
    <w:rsid w:val="00983A14"/>
    <w:rPr>
      <w:color w:val="0000FF"/>
      <w:u w:val="single"/>
    </w:rPr>
  </w:style>
  <w:style w:type="character" w:customStyle="1" w:styleId="downspan">
    <w:name w:val="down_span"/>
    <w:basedOn w:val="a0"/>
    <w:rsid w:val="00983A14"/>
  </w:style>
  <w:style w:type="character" w:customStyle="1" w:styleId="downa">
    <w:name w:val="down_a"/>
    <w:basedOn w:val="a0"/>
    <w:rsid w:val="00983A14"/>
  </w:style>
  <w:style w:type="character" w:customStyle="1" w:styleId="upspan">
    <w:name w:val="up_span"/>
    <w:basedOn w:val="a0"/>
    <w:rsid w:val="00983A14"/>
  </w:style>
  <w:style w:type="character" w:customStyle="1" w:styleId="upa">
    <w:name w:val="up_a"/>
    <w:basedOn w:val="a0"/>
    <w:rsid w:val="00983A14"/>
  </w:style>
  <w:style w:type="paragraph" w:styleId="a4">
    <w:name w:val="Normal (Web)"/>
    <w:basedOn w:val="a"/>
    <w:uiPriority w:val="99"/>
    <w:unhideWhenUsed/>
    <w:rsid w:val="00983A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70353">
      <w:bodyDiv w:val="1"/>
      <w:marLeft w:val="0"/>
      <w:marRight w:val="0"/>
      <w:marTop w:val="0"/>
      <w:marBottom w:val="0"/>
      <w:divBdr>
        <w:top w:val="none" w:sz="0" w:space="0" w:color="auto"/>
        <w:left w:val="none" w:sz="0" w:space="0" w:color="auto"/>
        <w:bottom w:val="none" w:sz="0" w:space="0" w:color="auto"/>
        <w:right w:val="none" w:sz="0" w:space="0" w:color="auto"/>
      </w:divBdr>
      <w:divsChild>
        <w:div w:id="875045949">
          <w:marLeft w:val="0"/>
          <w:marRight w:val="0"/>
          <w:marTop w:val="0"/>
          <w:marBottom w:val="0"/>
          <w:divBdr>
            <w:top w:val="none" w:sz="0" w:space="0" w:color="auto"/>
            <w:left w:val="single" w:sz="12" w:space="15" w:color="CC333B"/>
            <w:bottom w:val="none" w:sz="0" w:space="0" w:color="auto"/>
            <w:right w:val="none" w:sz="0" w:space="0" w:color="auto"/>
          </w:divBdr>
        </w:div>
        <w:div w:id="1611282960">
          <w:marLeft w:val="0"/>
          <w:marRight w:val="0"/>
          <w:marTop w:val="0"/>
          <w:marBottom w:val="0"/>
          <w:divBdr>
            <w:top w:val="none" w:sz="0" w:space="0" w:color="auto"/>
            <w:left w:val="none" w:sz="0" w:space="0" w:color="auto"/>
            <w:bottom w:val="none" w:sz="0" w:space="0" w:color="auto"/>
            <w:right w:val="none" w:sz="0" w:space="0" w:color="auto"/>
          </w:divBdr>
          <w:divsChild>
            <w:div w:id="1489328233">
              <w:marLeft w:val="0"/>
              <w:marRight w:val="0"/>
              <w:marTop w:val="0"/>
              <w:marBottom w:val="0"/>
              <w:divBdr>
                <w:top w:val="none" w:sz="0" w:space="0" w:color="auto"/>
                <w:left w:val="none" w:sz="0" w:space="0" w:color="auto"/>
                <w:bottom w:val="none" w:sz="0" w:space="0" w:color="auto"/>
                <w:right w:val="none" w:sz="0" w:space="0" w:color="auto"/>
              </w:divBdr>
            </w:div>
            <w:div w:id="13456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2485">
      <w:bodyDiv w:val="1"/>
      <w:marLeft w:val="0"/>
      <w:marRight w:val="0"/>
      <w:marTop w:val="0"/>
      <w:marBottom w:val="0"/>
      <w:divBdr>
        <w:top w:val="none" w:sz="0" w:space="0" w:color="auto"/>
        <w:left w:val="none" w:sz="0" w:space="0" w:color="auto"/>
        <w:bottom w:val="none" w:sz="0" w:space="0" w:color="auto"/>
        <w:right w:val="none" w:sz="0" w:space="0" w:color="auto"/>
      </w:divBdr>
      <w:divsChild>
        <w:div w:id="1742215600">
          <w:marLeft w:val="0"/>
          <w:marRight w:val="0"/>
          <w:marTop w:val="0"/>
          <w:marBottom w:val="0"/>
          <w:divBdr>
            <w:top w:val="none" w:sz="0" w:space="0" w:color="auto"/>
            <w:left w:val="single" w:sz="12" w:space="15" w:color="CC333B"/>
            <w:bottom w:val="none" w:sz="0" w:space="0" w:color="auto"/>
            <w:right w:val="none" w:sz="0" w:space="0" w:color="auto"/>
          </w:divBdr>
        </w:div>
        <w:div w:id="1429156568">
          <w:marLeft w:val="0"/>
          <w:marRight w:val="0"/>
          <w:marTop w:val="0"/>
          <w:marBottom w:val="0"/>
          <w:divBdr>
            <w:top w:val="none" w:sz="0" w:space="0" w:color="auto"/>
            <w:left w:val="none" w:sz="0" w:space="0" w:color="auto"/>
            <w:bottom w:val="none" w:sz="0" w:space="0" w:color="auto"/>
            <w:right w:val="none" w:sz="0" w:space="0" w:color="auto"/>
          </w:divBdr>
          <w:divsChild>
            <w:div w:id="2108651689">
              <w:marLeft w:val="0"/>
              <w:marRight w:val="0"/>
              <w:marTop w:val="0"/>
              <w:marBottom w:val="0"/>
              <w:divBdr>
                <w:top w:val="none" w:sz="0" w:space="0" w:color="auto"/>
                <w:left w:val="none" w:sz="0" w:space="0" w:color="auto"/>
                <w:bottom w:val="none" w:sz="0" w:space="0" w:color="auto"/>
                <w:right w:val="none" w:sz="0" w:space="0" w:color="auto"/>
              </w:divBdr>
            </w:div>
            <w:div w:id="5720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2191">
      <w:bodyDiv w:val="1"/>
      <w:marLeft w:val="0"/>
      <w:marRight w:val="0"/>
      <w:marTop w:val="0"/>
      <w:marBottom w:val="0"/>
      <w:divBdr>
        <w:top w:val="none" w:sz="0" w:space="0" w:color="auto"/>
        <w:left w:val="none" w:sz="0" w:space="0" w:color="auto"/>
        <w:bottom w:val="none" w:sz="0" w:space="0" w:color="auto"/>
        <w:right w:val="none" w:sz="0" w:space="0" w:color="auto"/>
      </w:divBdr>
      <w:divsChild>
        <w:div w:id="605312582">
          <w:marLeft w:val="0"/>
          <w:marRight w:val="0"/>
          <w:marTop w:val="0"/>
          <w:marBottom w:val="0"/>
          <w:divBdr>
            <w:top w:val="none" w:sz="0" w:space="0" w:color="auto"/>
            <w:left w:val="single" w:sz="12" w:space="15" w:color="CC333B"/>
            <w:bottom w:val="none" w:sz="0" w:space="0" w:color="auto"/>
            <w:right w:val="none" w:sz="0" w:space="0" w:color="auto"/>
          </w:divBdr>
        </w:div>
        <w:div w:id="1724672469">
          <w:marLeft w:val="0"/>
          <w:marRight w:val="0"/>
          <w:marTop w:val="0"/>
          <w:marBottom w:val="0"/>
          <w:divBdr>
            <w:top w:val="none" w:sz="0" w:space="0" w:color="auto"/>
            <w:left w:val="none" w:sz="0" w:space="0" w:color="auto"/>
            <w:bottom w:val="none" w:sz="0" w:space="0" w:color="auto"/>
            <w:right w:val="none" w:sz="0" w:space="0" w:color="auto"/>
          </w:divBdr>
          <w:divsChild>
            <w:div w:id="1512984105">
              <w:marLeft w:val="0"/>
              <w:marRight w:val="0"/>
              <w:marTop w:val="0"/>
              <w:marBottom w:val="0"/>
              <w:divBdr>
                <w:top w:val="none" w:sz="0" w:space="0" w:color="auto"/>
                <w:left w:val="none" w:sz="0" w:space="0" w:color="auto"/>
                <w:bottom w:val="none" w:sz="0" w:space="0" w:color="auto"/>
                <w:right w:val="none" w:sz="0" w:space="0" w:color="auto"/>
              </w:divBdr>
            </w:div>
            <w:div w:id="3312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5968">
      <w:bodyDiv w:val="1"/>
      <w:marLeft w:val="0"/>
      <w:marRight w:val="0"/>
      <w:marTop w:val="0"/>
      <w:marBottom w:val="0"/>
      <w:divBdr>
        <w:top w:val="none" w:sz="0" w:space="0" w:color="auto"/>
        <w:left w:val="none" w:sz="0" w:space="0" w:color="auto"/>
        <w:bottom w:val="none" w:sz="0" w:space="0" w:color="auto"/>
        <w:right w:val="none" w:sz="0" w:space="0" w:color="auto"/>
      </w:divBdr>
      <w:divsChild>
        <w:div w:id="1884444953">
          <w:marLeft w:val="0"/>
          <w:marRight w:val="0"/>
          <w:marTop w:val="0"/>
          <w:marBottom w:val="0"/>
          <w:divBdr>
            <w:top w:val="none" w:sz="0" w:space="0" w:color="auto"/>
            <w:left w:val="single" w:sz="12" w:space="15" w:color="CC333B"/>
            <w:bottom w:val="none" w:sz="0" w:space="0" w:color="auto"/>
            <w:right w:val="none" w:sz="0" w:space="0" w:color="auto"/>
          </w:divBdr>
        </w:div>
        <w:div w:id="2022929065">
          <w:marLeft w:val="0"/>
          <w:marRight w:val="0"/>
          <w:marTop w:val="0"/>
          <w:marBottom w:val="0"/>
          <w:divBdr>
            <w:top w:val="none" w:sz="0" w:space="0" w:color="auto"/>
            <w:left w:val="none" w:sz="0" w:space="0" w:color="auto"/>
            <w:bottom w:val="none" w:sz="0" w:space="0" w:color="auto"/>
            <w:right w:val="none" w:sz="0" w:space="0" w:color="auto"/>
          </w:divBdr>
          <w:divsChild>
            <w:div w:id="638729299">
              <w:marLeft w:val="0"/>
              <w:marRight w:val="0"/>
              <w:marTop w:val="0"/>
              <w:marBottom w:val="0"/>
              <w:divBdr>
                <w:top w:val="none" w:sz="0" w:space="0" w:color="auto"/>
                <w:left w:val="none" w:sz="0" w:space="0" w:color="auto"/>
                <w:bottom w:val="none" w:sz="0" w:space="0" w:color="auto"/>
                <w:right w:val="none" w:sz="0" w:space="0" w:color="auto"/>
              </w:divBdr>
            </w:div>
            <w:div w:id="1752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rvice.weibo.com/share/share.php?appkey=&amp;title=%27%E8%82%A1%E8%BD%AC%E7%B3%BB%E7%BB%9F%E5%85%AC%E5%91%8A%E3%80%942020%E3%80%9565%E5%8F%B7%C2%A0%E4%B8%BA%E4%BA%86%E8%A7%84%E8%8C%83%E5%85%A8%E5%9B%BD%E4%B8%AD%E5%B0%8F%E4%BC%81%E4%B8%9A%E8%82%A1%E4%BB%BD%E8%BD%AC%E8%AE%A9%E7%B3%BB%E7%BB%9F%E8%82%A1%E7%A5%A8%E5%90%91%E4%B8%8D%E7%89%B9%E5%AE%9A%E5%90%88%E6%A0%BC%E6%8A%95%E8%B5%84%E8%80%85%E5%85%AC%E5%BC%80%E5%8F%91%E8%A1%8C%E5%8F%8A%E6%89%BF%E9%94%80%E8%A1%8C%E4%B8%BA%EF%BC%8C%E4%BF%9D%E6%8A%A4%E6%8A%95%E8%B5%84%E8%80%85%E5%90%88%E6%B3%95%E6%9D%83%E7%9B%8A%EF%BC%8C%E5%85%A8%E5%9B%BD%E4%B8%AD%E5%B0%8F%E4%BC%81%E4%B8%9A%E8%82%A1%E4%BB%BD%E8%BD%AC%E8%AE%A9%E7%B3%BB%E7%BB%9F%E6%9C%89%E9%99%90%E8%B4%A3%E4%BB%BB%E5%85%AC%E5%8F%B8%E5%88%B6%E5%AE%9A%E4%BA%86%E3%80%8A%E5%85%A8%E5%9B%BD%E4%B8%AD%E5%B0%8F%E4%BC%81%E4%B8%9A%E8%82%A1%E4%BB%BD%E8%BD%AC%E8%AE%A9%E7%B3%BB%E7%BB%9F%E8%82%A1%E7%A5%A8%E5%90%91%E4%B8%8D%E7%89%B9%E5%AE%9A%E5%90%88%E6%A0%BC%E6%8A%95%E8%B5%84%E8%80%85%E5%85%AC%E5%BC%80%E5%8F%91%E8%A1%8C%E4%B8%8E%E6%89%BF%E9%94%80%E7%AE%A1%E7%90%86%E7%BB%86%E5%88%99%EF%BC%88%E8%AF%95%E8%A1%8C%EF%BC%89%E3%80%8B%E3%80%82%E7%BB%8F%E4%B8%AD%E5%9B%BD%E8%AF%81%E7%9B%91%E4%BC%9A%E6%89%B9%E5%87%86%EF%BC%8C%E7%8E%B0%E4%BA%88%E4%BB%A5%E5%8F%91%E5%B8%83%EF%BC%8C%E8%87%AA%E5%8F%91%E5%B8%83%E4%B9%8B%E6%97%A5%E8%B5%B7%E6%96%BD%E8%A1%8C%E3%80%82%27&amp;url=http://www.neeq.com.cn//www.neeq.com.cn/important_news/200007340.html&amp;pic=&amp;searchPic=false&amp;style=simple" TargetMode="External"/><Relationship Id="rId12" Type="http://schemas.openxmlformats.org/officeDocument/2006/relationships/hyperlink" Target="http://www.neeq.com.cn/uploads/1/file/public/202001/20200119201740_velrs3ckrn.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javascript:void(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7</cp:revision>
  <dcterms:created xsi:type="dcterms:W3CDTF">2020-01-20T05:41:00Z</dcterms:created>
  <dcterms:modified xsi:type="dcterms:W3CDTF">2020-01-20T05:47:00Z</dcterms:modified>
</cp:coreProperties>
</file>