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</w:p>
        </w:tc>
        <w:tc>
          <w:tcPr>
            <w:tcW w:type="dxa" w:w="4677"/>
          </w:tcPr>
          <w:p>
            <w:pPr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УТВЕРЖДАЮ</w:t>
            </w:r>
          </w:p>
          <w:p>
            <w:pPr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Директор ГКУ МО «ДСРПИИ»</w:t>
            </w:r>
          </w:p>
          <w:p>
            <w:pPr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 / _________________ /</w:t>
            </w:r>
          </w:p>
          <w:p>
            <w:pPr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       (подпись)              (Ф.И.О.)</w:t>
            </w:r>
          </w:p>
          <w:p>
            <w:pPr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«____» ______________ 20____ г.</w:t>
            </w:r>
          </w:p>
        </w:tc>
      </w:tr>
    </w:tbl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ГОСУДАРСТВЕННОЕ КАЗЕННОЕ УЧРЕЖДЕНИЕ МОСКОВСКОЙ ОБЛАСТИ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«ДИРЕКЦИЯ СОПРОВОЖДЕНИЯ РЕАЛИЗАЦИИ ПРОГРАММ ИНЖЕНЕРНОЙ ИНФРАСТРУКТУРЫ»</w:t>
      </w:r>
    </w:p>
    <w:p>
      <w:pPr>
        <w:spacing w:before="0" w:after="20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(ГКУ МО «ДСРПИИ»)</w:t>
      </w:r>
    </w:p>
    <w:p>
      <w:pPr>
        <w:spacing w:before="0" w:after="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ДОЛЖНОСТНАЯ ИНСТРУКЦИЯ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руководителя проекта</w:t>
      </w:r>
    </w:p>
    <w:p>
      <w:pPr>
        <w:spacing w:before="0" w:after="2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по объектам государственной программы в сфере жилищно-коммунального хозяйства Московской области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Настоящая должностная инструкция определяет правовой статус, квалификационные требования, функции, должностные обязанности, права, ответственность и порядок взаимодействия руководителя проекта (далее — РП, работник).</w:t>
      </w:r>
    </w:p>
    <w:p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Общие положения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 Должность «руководитель проекта» относится к категории специалистов. Работник назначается на должность и освобождается от должности приказом директора Учреждения по представлению непосредственного руководителя.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1.2. РП непосредственно подчиняется начальнику соответствующего структурного подразделения (управления / отдела сопровождения реализации программ) либо иному должностному лицу, определённому приказом директора.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 На период отсутствия РП (отпуск, командировка, временная нетрудоспособность) его обязанности возлагаются на работника, назначенного приказом директора. Исполняющий обязанности несёт ответственность за надлежащее исполнение порученных функций.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 РП в своей деятельности руководствуется Конституцией Российской Федерации; Градостроительным кодексом Российской Федерации; Федеральным законом от 05.04.2013 № 44-ФЗ; законодательством Московской области о государственной программе в сфере ЖКХ; нормативными правовыми актами МинЖКХ Московской области; уставом (положением) Учреждения; приказами и распоряжениями директора; настоящей инструкцией; локальными актами по ведению реестра объектов, отчётности и строительного контроля.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 РП является ответственным исполнителем по закреплённому портфелю объектов капитального строительства, реконструкции и капитального ремонта объектов инженерной инфраструктуры (водоснабжение, водоотведение, очистные сооружения, водозаборные узлы, сети, коллекторы, насосные станции и иные объекты, включённые в государственную программу).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1.6. Цель должности — обеспечить реализацию закреплённых объектов в установленные сроки, в пределах лимитов бюджетных обязательств и в соответствии с проектной документацией, условиями государственных (муниципальных) контрактов и требованиями МинЖКХ Московской области.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1.7. Режим работы: пятидневная рабочая неделя, восьмичасовой рабочий день, если иное не установлено трудовым договором. Работа включает исполнение обязанностей в офисе и выезды на объекты, в ОМСУ, к подрядчикам, в МинЖКХ Московской области и на штабы.</w:t>
      </w:r>
    </w:p>
    <w:p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Квалификационные требования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 На должность РП назначается лицо, имеющее высшее образование по направлению подготовки «Строительство» либо иное высшее техническое образование, соответствующее профилю деятельности, и стаж работы по специальности не менее трёх лет, в том числе в сфере реализации объектов капитального строительства, реконструкции или капитального ремонта инженерной инфраструктуры.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 РП должен знать: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законодательство Российской Федерации и Московской области в сфере градостроительной деятельности, бюджетного процесса, закупок (44-ФЗ) в части технических требований, приёмки и оплаты работ;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состав и требования к разделам проектной документации (ПЗ, ПОС, ПЗУ, АР, КР, ИОС, ООС, ПБ, ЭЭ и иные);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порядок прохождения государственной экспертизы (МОГЭ), требования к ПСД, ПИР, рабочей и исполнительной документации;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требования к комплектности исполнительной документации (в том числе РД-11-02-2006, РД-11-05-2007);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порядок ведения общего и специальных журналов работ, оформления актов скрытых работ, КС-2, КС-3, справок КС-6а;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методы строительного контроля, типичные дефекты СМР на объектах ВС/ВО, требования технических регламентов и СП;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порядок формирования и корректировки государственной программы, лимитов бюджетных обязательств, субсидий (ОМСУ, БМО, ФБ, ВБС);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порядок взаимодействия с ОМСУ, ресурсоснабжающими организациями, органами экспертизы, МинЖКХ Московской области и федеральными органами по объектам с федеральным финансированием;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локальные регламенты Учреждения: ведение реестра объектов, комментариев РП, карточек РГИС/ЕПО, подготовка справок и материалов к штабам;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правила охраны труда, промышленной и пожарной безопасности при нахождении на строительной площадке;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нормы делопроизводства и требования к служебной переписке.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 РП должен уметь: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читать чертежи (планы, разрезы, схемы, профили сетей) и сверять выполненные объёмы с проектом и сметой;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выявлять риски срыва сроков, удорожания, земельно-правовых и сетевых ограничений, дефицита лимитов;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готовить служебные письма, справки, предписания, замечания, материалы к штабу МинЖКХ;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вести еженедельный мониторинг портфеля объектов и поддерживать актуальные данные в установленных информационных ресурсах;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организовывать совещания с подрядчиком, проектной организацией, ОМСУ и фиксировать решения протоколом.</w:t>
      </w:r>
    </w:p>
    <w:p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Функции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 РП возлагаются следующие функции: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 Сопровождение закреплённого портфеля объектов государственной программы на полном жизненном цикле: исходные данные и ПИР, ПСД, экспертиза (МОГЭ), контрактация, СМР, приёмка, ввод в эксплуатацию.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3.2. Координация участников реализации объекта: ОМСУ, подрядные и проектные организации, ресурсоснабжающие организации, органы экспертизы, подразделения Учреждения, МинЖКХ Московской области.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 Контроль сроков, стоимости (лимитов), качества работ и комплектности документации.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3.4. Мониторинг, аналитика, отчётность и подготовка решений штаба (совещания) МинЖКХ Московской области.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3.5. Выявление отклонений, формирование корректирующих мер, подготовка предложений по изменению графиков, лимитов государственной программы и условий реализации.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3.6. Строительный контроль в объёме полномочий Учреждения (осмотры, замечания, контроль устранения).</w:t>
      </w:r>
    </w:p>
    <w:p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Должностные обязанности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 Управление портфелем объектов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вести закреплённые объекты (как правило, до нескольких десятков объектов одновременно) от постановки задачи до ввода;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обеспечивать достижение показателей объекта: срок реализации, год ввода, охват населения, мощность, протяжённость сетей — в соответствии с паспортом мероприятия государственной программы;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своевременно инициировать решения при изменении исходных данных, границ работ, земельно-правового статуса, технических условий;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не допускать «формальной» контрактации: номер контракта «0», пустое значение и аналогичные записи не считаются заключённым контрактом.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4.2. Планирование и экспертиза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контролировать наличие и комплектность ПСД; статус «да / нет / не требуется» поддерживать в актуальном состоянии;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сопровождать прохождение МОГЭ: комплектность, замечания экспертизы, плановую дату выхода, номер положительного заключения, сметную стоимость по заключению, в том числе ПИР;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при удорожании по МОГЭ относительно лимитов государственной программы — фиксировать величину отклонения, не допускать закрытия объёмов (КС-2), не обеспеченных лимитами, и инициировать корректировку государственной программы;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проверять сметную документацию на соответствие объёмам работ и техническим решениям;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участвовать в формировании технических заданий на новые объекты и в анализе проектных решений на предмет оптимизации.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4.3. Контрактация, подрядчик и приёмка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контролировать заключение и исполнение государственного (муниципального) контракта: номер, дата, цена, сроки СМР и полной оплаты, подрядная организация;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сверять фактически выполненные работы с проектом, сметой, графиком и условиями контракта;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контролировать акты выполненных работ, скрытые работы, исполнительную документацию, геодезическую исполнительную съёмку, протоколы испытаний;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при несоответствии объёмов и материалов сумме аванса (в том числе по оценке УТНКР) — инициировать претензионную работу, при необходимости — расторжение контракта и заключение нового, с указанием срока в отчётности;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применять требования 44-ФЗ в части технических требований, приёмки результатов и порядка оплаты.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4.4. Строительный контроль и качество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осуществлять выезды на объекты, визуальную оценку качества СМР, выявлять дефекты и отклонения от проекта;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составлять замечания (предписания) и контролировать их устранение в установленный срок;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фиксировать критические ограничения реализации: земля и сервитуты, сети электроснабжения, отсутствие РС, ГПР, ОКН, сезонное благоустройство и иные факторы.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4.5. Финансы и государственная программа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сверять кассовое исполнение и лимиты по годам и источникам (ФБ, БМО, БОМСУ, ВБС);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заполнять комментарий о несовпадении оплат и лимитов государственной программы при выявлении разрыва;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готовить обоснование потребности в финансировании на очередной период и предложения по корректировке графиков и бюджетов;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отражать проведённые и планируемые корректировки государственной программы по объекту.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4.6. Мониторинг, реестр и отчётность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не реже одного раза в неделю актуализировать по каждому закреплённому объекту: стадию готовности (%), признак переноса срока (да/нет), комментарий руководителя проекта, сведения о ПСД/МОГЭ, контракте и подрядчике;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обеспечивать идентичность сведений в основном реестре и в дополнительном источнике (ФИО РП и оперативный комментарий); при расхождении приоритет имеет запись с более поздней датой среза;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писать комментарий РП по установленной форме (приложение № 1): дата среза, процент готовности, контракт, МОГЭ, статус, ограничение, ближайшая контрольная дата;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при переносе срока указывать причину, предлагаемую новую дату и реквизиты письма в МинЖКХ Московской области;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готовить сводные справки и доклады к штабам и совещаниям МинЖКХ Московской области, в том числе выгрузки из витрины объектов;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поддерживать корректность идентификаторов карточки объекта (РГИС, ЕПО) в пределах компетенции.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4.7. Взаимодействие и переписка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организовывать взаимодействие с ОМСУ по потребности, охвату, благоустройству, земле и местным ограничениям;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взаимодействовать с МинЖКХ Московской области по отчётности, переносам сроков, лимитам и спорным решениям;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по объектам с федеральным финансированием — обеспечивать представление сведений в установленные федеральные органы в порядке, определённом руководством Учреждения;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вести служебную переписку, хранить копии писем, протоколов, предписаний и включать их реквизиты в комментарий РП.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4.8. Иные обязанности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соблюдать требования охраны труда и пропускного режима на площадках;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не разглашать сведения ограниченного распространения, ставшие известными в связи с исполнением обязанностей;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исполнять законные поручения непосредственного руководителя и директора Учреждения, связанные с реализацией объектов.</w:t>
      </w:r>
    </w:p>
    <w:p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Права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РП имеет право: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 Запрашивать у подрядчика, проектной организации, ОМСУ и структурных подразделений Учреждения документы, сведения и пояснения, необходимые для исполнения обязанностей.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 Посещать строительные площадки закреплённых объектов, знакомиться с журналами работ, исполнительной документацией и ходом СМР.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 Давать подрядчику и проектной организации замечания в пределах компетенции Учреждения и требовать устранения нарушений проекта, сметы, графика и условий контракта.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5.4. Вносить предложения о приостановке приёмки и оплаты работ при несоответствии объёмов, качества или комплектности документации.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5.5. Вносить предложения о корректировке государственной программы, переносе срока, изменении лимитов, расторжении контракта, замене подрядчика, изменении технических решений.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5.6. Участвовать в совещаниях, штабах МинЖКХ Московской области, комиссиях по приёмке и рабочих группах по закреплённым объектам.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5.7. Знакомиться с проектами решений руководства Учреждения, касающимися его деятельности, и с документами, определяющими его права и обязанности.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5.8. Требовать от руководства создания условий, необходимых для исполнения настоящей инструкции (доступ к реестрам, транспорту для выезда, своевременное распределение объектов).</w:t>
      </w:r>
    </w:p>
    <w:p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Ответственность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РП несёт ответственность в порядке, установленном законодательством Российской Федерации и локальными актами Учреждения: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6.1. За неисполнение или ненадлежащее исполнение обязанностей, предусмотренных настоящей инструкцией, — в пределах дисциплины труда (замечание, выговор, увольнение по основаниям ТК РФ).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6.2. За недостоверные, несвоевременные или неполные сведения в реестре объектов, комментарии РП, справках и материалах к штабу МинЖКХ Московской области.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6.3. За сокрытие рисков срыва срока, удорожания, земельно-правовых и сетевых ограничений, несоответствия аванса выполненным объёмам.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6.4. За приёмку (визирование) работ, не соответствующих проекту, смете, фактическому состоянию объекта или условиям контракта, — в пределах компетенции.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6.5. За разглашение сведений ограниченного распространения и утрату служебных документов.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6.6. За правонарушения, совершённые в процессе деятельности, — в пределах административного, гражданского и уголовного законодательства Российской Федерации.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6.7. За причинение материального ущерба Учреждению — в пределах трудового и гражданского законодательства Российской Федерации.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6.8. Закрепление объекта за РП не снимает ответственности иных лиц (заказчика по контракту, строительного контроля по договору, ОМСУ) в пределах их полномочий. РП отвечает за сопровождение, достоверность статуса и своевременное эскалирование проблем руководству и в МинЖКХ.</w:t>
      </w:r>
    </w:p>
    <w:p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Взаимоотношения и связи по должности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E2F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Контрагент</w:t>
            </w:r>
          </w:p>
        </w:tc>
        <w:tc>
          <w:tcPr>
            <w:tcW w:type="dxa" w:w="3118"/>
            <w:shd w:fill="D9E2F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РП получает</w:t>
            </w:r>
          </w:p>
        </w:tc>
        <w:tc>
          <w:tcPr>
            <w:tcW w:type="dxa" w:w="3118"/>
            <w:shd w:fill="D9E2F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РП направляет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Непосредственный руководитель, директор Учреждения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Поручения, распределение объектов, решения по эскалации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Отчёты, справки, проекты писем, предложения по корректировкам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МинЖКХ Московской области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Поручения штаба, запросы, решения по лимитам и срокам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Еженедельный статус, письма о переносе срока, обоснования финансирования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ОМСУ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Потребность, землеустройство, благоустройство, местные ограничения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Запросы, согласования, информация о ходе работ и рисках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Подрядчик / проектная организация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Графики, акты, ИД, пояснения, уведомления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Замечания, запросы документов, фиксация нарушений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МОГЭ, УТНКР, РСО, федеральные органы (по компетенции)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Заключения, оценки объёмов, ТУ, запросы по ФБ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Комплекты на экспертизу, пояснения, отчётность по ФБ</w:t>
            </w:r>
          </w:p>
        </w:tc>
      </w:tr>
    </w:tbl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7.1. Конфликт сведений между источниками РП устраняет в тот же рабочий день: правит реестр, фиксирует дату среза в комментарии и при необходимости докладывает руководителю.</w:t>
      </w:r>
    </w:p>
    <w:p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 Заключительные положения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8.1. Настоящая инструкция вводится в действие приказом директора Учреждения и пересматривается при изменении структуры, государственной программы, состава информационных систем либо по результатам штабов МинЖКХ Московской области.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 Изменения вносятся путём утверждения новой редакции. Работник знакомится с инструкцией под подпись до начала исполнения обязанностей и при каждом утверждении новой редакции.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 Неотъемлемой частью настоящей инструкции является приложение № 1 «Порядок ведения статуса объекта и комментария руководителя проекта».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8.4. Вопросы, не урегулированные настоящей инструкцией, разрешаются в соответствии с трудовым законодательством Российской Федерации и локальными актами Учреждения.</w:t>
      </w:r>
    </w:p>
    <w:p>
      <w:r>
        <w:br w:type="page"/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Приложение № 1</w:t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к должностной инструкции руководителя проекта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ПОРЯДОК ВЕДЕНИЯ СТАТУСА ОБЪЕКТА</w:t>
      </w:r>
    </w:p>
    <w:p>
      <w:pPr>
        <w:spacing w:before="0" w:after="20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 КОММЕНТАРИЯ РУКОВОДИТЕЛЯ ПРОЕКТА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РП актуализирует статус каждого закреплённого объекта не реже одного раза в неделю и обязательно к штабу (совещанию) МинЖКХ Московской области.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Обязательные поля статуса: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стадия готовности, процент (фактический, а не «ожидаемый»);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перенос срока: только «да» или «нет»; при «да» — причина, новая дата, реквизиты письма в МинЖКХ;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наличие ПСД и МОГЭ (да / нет / не требуется), номер заключения, плановая дата выхода из МОГЭ;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номер и дата контракта, подрядчик; отсутствие контракта указывается явно, без подстановки нуля;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комментарий РП по форме пункта 3 настоящего приложения.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Форма комментария РП: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РП Фамилия И.О. на ДД.ММ.ГГГГ. Стрг — N %. Контракт: дата, цена, срок СМР, срок полной оплаты. МОГЭ: дата / номер / стоимость (при удорожании — процент). Статус: выполнено / осталось. Ограничение: земля / сети / РС / ГПР / лимиты ГП / подрядчик. Следующая дата: КС-2 / закрытие / ввод.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Не допускается: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указывать в комментарии только Ф.И.О. РП или одну цифру без единиц измерения;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оставлять комментарий без даты среза;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писать «плановые работы» при переносе срока «да» без причины переноса;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расхождение процента готовности и текста комментария.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Примеры допустимых формулировок: «Стрг — 60 %. Осталось выполнить благоустройство и врезку в коллектор.»; «Стрг — 2 %. Проблема с землёй, сервитут частных лиц. Вероятность реализации в текущем году — 10 %.»; «Работы выполнены; для закрытия КС-2 требуется увеличение лимитов ГП по заключению МОГЭ.»; «Направлено письмо в МинЖКХ о переносе срока для благоустройства после схода снега.»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Чек-лист к штабу: Ф.И.О. РП заполнено; процент готовности совпадает с комментарием; при риске срока — признак «да» и причина; в комментарии есть дата среза, ограничение и следующая дата; ПСД/МОГЭ не пустые, если не установлен статус «не требуется»; контракт указан корректно; письма в МинЖКХ отражены.</w:t>
      </w:r>
    </w:p>
    <w:p>
      <w:r>
        <w:br w:type="page"/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ЛИСТ ОЗНАКОМЛЕНИЯ</w:t>
      </w:r>
    </w:p>
    <w:p>
      <w:pPr>
        <w:spacing w:before="0" w:after="12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 настоящей должностной инструкцией работник ознакомлен. Экземпляр инструкции получен.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2F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Ф.И.О. работника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Дата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Подпись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Примечание</w:t>
            </w:r>
          </w:p>
        </w:tc>
      </w:tr>
      <w:tr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</w:tr>
      <w:tr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</w:tr>
      <w:tr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</w:tr>
      <w:tr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</w:tr>
      <w:tr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  <w:tc>
          <w:tcPr>
            <w:tcW w:type="dxa" w:w="233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br/>
              <w:br/>
            </w:r>
          </w:p>
        </w:tc>
      </w:tr>
    </w:tbl>
    <w:p>
      <w:pPr>
        <w:spacing w:before="0" w:after="32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20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СОГЛАСОВАНО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Начальник подразделения    _______________ / _________________ /</w:t>
      </w:r>
    </w:p>
    <w:p>
      <w:pPr>
        <w:spacing w:before="0" w:after="2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«____» ______________ 20____ г.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Юрисконсульт    _______________ / _________________ /</w:t>
      </w:r>
    </w:p>
    <w:p>
      <w:pPr>
        <w:spacing w:before="0" w:after="2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«____» ______________ 20____ г.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Специалист по кадрам    _______________ / _________________ /</w:t>
      </w:r>
    </w:p>
    <w:p>
      <w:pPr>
        <w:spacing w:before="0" w:after="2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«____» ______________ 20____ г.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0"/>
      </w:rPr>
      <w:t xml:space="preserve">Должностная инструкция руководителя проекта  |  стр. </w:t>
    </w:r>
    <w:r>
      <w:rPr>
        <w:rFonts w:ascii="Times New Roman" w:hAnsi="Times New Roman" w:eastAsia="Times New Roman"/>
        <w:b w:val="0"/>
        <w:i w:val="0"/>
        <w:color w:val="00000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