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>
      <w:pPr>
        <w:pStyle w:val="papertitle"/>
        <w:spacing w:before="5pt" w:beforeAutospacing="1" w:after="5pt" w:afterAutospacing="1"/>
      </w:pPr>
      <w:r>
        <w:t xml:space="preserve">IMU-Based Step and Orientation Detection: A Review</w:t>
      </w:r>
    </w:p>
    <w:p w14:paraId="126AE899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>
      <w:pPr>
        <w:pStyle w:val="Author"/>
        <w:spacing w:before="5pt" w:beforeAutospacing="1"/>
      </w:pPr>
      <w:r>
        <w:rPr>
          <w:sz w:val="18"/>
          <w:szCs w:val="18"/>
        </w:rPr>
        <w:t xml:space="preserve">Tania Pan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 xml:space="preserve">Dept. of Electrical, Computer and Software Engineering</w:t>
      </w:r>
      <w:r>
        <w:rPr>
          <w:sz w:val="18"/>
          <w:szCs w:val="18"/>
        </w:rPr>
        <w:br/>
      </w:r>
      <w:r>
        <w:rPr>
          <w:sz w:val="18"/>
          <w:szCs w:val="18"/>
        </w:rPr>
        <w:t xml:space="preserve">University of Auckland</w:t>
      </w:r>
      <w:r>
        <w:rPr>
          <w:sz w:val="18"/>
          <w:szCs w:val="18"/>
        </w:rPr>
        <w:br/>
      </w:r>
      <w:r>
        <w:rPr>
          <w:sz w:val="18"/>
          <w:szCs w:val="18"/>
        </w:rPr>
        <w:t xml:space="preserve">Auckland, New Zealand</w:t>
      </w:r>
    </w:p>
    <w:p w14:paraId="527311CB" w14:textId="77777777" w:rsidR="00DB2532" w:rsidRDefault="00DB2532" w:rsidP="00DB2532">
      <w:pPr>
        <w:pStyle w:val="Author"/>
        <w:spacing w:before="5pt" w:beforeAutospacing="1"/>
        <w:rPr>
          <w:sz w:val="18"/>
          <w:szCs w:val="18"/>
        </w:rPr>
        <w:sectPr w:rsidR="00DB2532" w:rsidSect="00DB2532">
          <w:type w:val="continuous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</w:p>
    <w:p>
      <w:pPr>
        <w:pStyle w:val="Abstract"/>
      </w:pPr>
      <w:r>
        <w:rPr>
          <w:i/>
          <w:iCs/>
        </w:rPr>
        <w:t xml:space="preserve">Abstract</w:t>
      </w:r>
      <w:r>
        <w:t xml:space="preserve">—This review compares six approaches to detecting steps and heading from inertial sensor data for pedestrian dead reckoning, and identifies those suited to a device with only an accelerometer and a magnetometer.</w:t>
      </w:r>
    </w:p>
    <w:p>
      <w:pPr>
        <w:pStyle w:val="Keywords"/>
      </w:pPr>
      <w:r>
        <w:t xml:space="preserve">Keywords—pedestrian dead reckoning, step detection, heading estimation, accelerometer, magnetometer</w:t>
      </w:r>
    </w:p>
    <w:p>
      <w:pPr>
        <w:pStyle w:val="Heading1"/>
      </w:pPr>
      <w:r>
        <w:t xml:space="preserve">Introduction</w:t>
      </w:r>
    </w:p>
    <w:p>
      <w:pPr>
        <w:pStyle w:val="BodyText"/>
      </w:pPr>
      <w:r>
        <w:t xml:space="preserve">Pedestrian dead reckoning (PDR) adds a displacement to the previous position each time a step is detected [1], [2]. It avoids double integration of acceleration, whose error grows quickly unless a foot-mounted sensor allows zero-velocity updates [1], [3]. Step and heading errors still accumulate, and heading is repeatedly reported as the dominant one [3]–[5]. This review compares six works with a view to a wearable device that has only an accelerometer and a magnetometer.</w:t>
      </w:r>
    </w:p>
    <w:p>
      <w:pPr>
        <w:pStyle w:val="Heading1"/>
      </w:pPr>
      <w:r>
        <w:t xml:space="preserve">Step Detection</w:t>
      </w:r>
    </w:p>
    <w:p>
      <w:pPr>
        <w:pStyle w:val="BodyText"/>
      </w:pPr>
      <w:r>
        <w:t xml:space="preserve">The detectors differ first in the signal examined. Three works rotate acceleration into a world frame and use the vertical component, making detection independent of device posture [1], [4], [5]. Jiménez et al.[3] and Brajdic and Harle [6] use the acceleration magnitude instead, the latter because the vertical axis is hard to isolate on a loosely carried phone. Tian et al. classify how the phone is carried (held, swinging or in a pocket) and select one axis per mode, since no single threshold on the magnitude fits all modes [2].</w:t>
      </w:r>
    </w:p>
    <w:p>
      <w:pPr>
        <w:pStyle w:val="BodyText"/>
      </w:pPr>
      <w:r>
        <w:t xml:space="preserve">Two works threshold the local variance of acceleration: on a foot-mounted sensor this missed 1 of 955 steps [3], and in a trouser pocket it gave under 1% count error, though only for the steps of one leg [4]. The others detect peaks in low-pass filtered acceleration. Jin et al. require a maximum and minimum to differ by a calibrated threshold and be at least 150 ms apart [1]; Kang and Han test peak height, peak-to-valley difference and slope [5]; Tian et al. use a fixed threshold, a 0.2 s minimum step interval and a false-peak rejection window, detecting over 98% of steps [2]. Comparing ten algorithms on 130 walks by 27 people with six phone placements, Brajdic and Harle found all had median errors under 3%, and windowed peak detection matched hidden Markov and wavelet methods at 1.3% while being much simpler [6]. Steps are hardest to detect at the start and end of a walk [3], [6].</w:t>
      </w:r>
    </w:p>
    <w:p>
      <w:pPr>
        <w:pStyle w:val="Heading1"/>
      </w:pPr>
      <w:r>
        <w:t xml:space="preserve">Orientation Detection</w:t>
      </w:r>
    </w:p>
    <w:p>
      <w:pPr>
        <w:pStyle w:val="BodyText"/>
      </w:pPr>
      <w:r>
        <w:t xml:space="preserve">Heading is obtained in three ways. A magnetometer gives absolute heading once the magnetic vector is rotated into the horizontal plane, since uncompensated tilt causes large errors [5], but indoors the field is distorted by metal furniture, computers and machinery [1], [3], [5]. A gyroscope is immune to this but drifts after a few turns [5]; Tian et al. average its yaw over each step and train an offset when the phone does not point along the path [2]. Kang and Han weight the previous estimate, magnetometer and gyroscope by how well the two sensors agree, reaching a 2.28 degree mean heading error [5]. Third, when the device orientation on the body is unknown, walking direction is inferred from horizontal acceleration: principal component analysis was the best of five methods in [4], with a 5.7 degree median error, but Jin et al. found it unreliable below 25 Hz and integrated horizontal acceleration over 1.4 s instead [1].</w:t>
      </w:r>
    </w:p>
    <w:p>
      <w:pPr>
        <w:pStyle w:val="Heading1"/>
      </w:pPr>
      <w:r>
        <w:t xml:space="preserve">Comparison and Implications</w:t>
      </w:r>
    </w:p>
    <w:p>
      <w:pPr>
        <w:pStyle w:val="BodyText"/>
      </w:pPr>
      <w:r>
        <w:t xml:space="preserve">Table I summarises the approaches. For a device worn in a fixed orientation, the literature supports peak detection on low-pass filtered acceleration with an amplitude threshold and a minimum step interval, calibrated for the wearer [1], [2], [6]. Without a gyroscope, heading must come from a tilt-compensated magnetometer [5], so indoor magnetic disturbance is the main expected limitation.</w:t>
      </w:r>
    </w:p>
    <w:p>
      <w:pPr>
        <w:pStyle w:val="tablehead"/>
      </w:pPr>
      <w:r>
        <w:t xml:space="preserve">Comparison of Reviewed Approaches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400"/>
        <w:gridCol w:w="1320"/>
        <w:gridCol w:w="1640"/>
        <w:gridCol w:w="1500"/>
      </w:tblGrid>
      <w:tr>
        <w:trPr>
          <w:cantSplit/>
          <w:tblHeader/>
          <w:jc w:val="center"/>
        </w:trPr>
        <w:tc>
          <w:tcPr>
            <w:tcW w:w="20pt" w:type="dxa"/>
            <w:vAlign w:val="center"/>
          </w:tcPr>
          <w:p>
            <w:pPr>
              <w:pStyle w:val="tablecolhead"/>
            </w:pPr>
            <w:r>
              <w:t xml:space="preserve">Ref.</w:t>
            </w:r>
          </w:p>
        </w:tc>
        <w:tc>
          <w:tcPr>
            <w:tcW w:w="66pt" w:type="dxa"/>
            <w:vAlign w:val="center"/>
          </w:tcPr>
          <w:p>
            <w:pPr>
              <w:pStyle w:val="tablecolhead"/>
            </w:pPr>
            <w:r>
              <w:t xml:space="preserve">Sensors, placement</w:t>
            </w:r>
          </w:p>
        </w:tc>
        <w:tc>
          <w:tcPr>
            <w:tcW w:w="82pt" w:type="dxa"/>
            <w:vAlign w:val="center"/>
          </w:tcPr>
          <w:p>
            <w:pPr>
              <w:pStyle w:val="tablecolhead"/>
            </w:pPr>
            <w:r>
              <w:t xml:space="preserve">Step detection</w:t>
            </w:r>
          </w:p>
        </w:tc>
        <w:tc>
          <w:tcPr>
            <w:tcW w:w="75pt" w:type="dxa"/>
            <w:vAlign w:val="center"/>
          </w:tcPr>
          <w:p>
            <w:pPr>
              <w:pStyle w:val="tablecolhead"/>
            </w:pPr>
            <w:r>
              <w:t xml:space="preserve">Heading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[1]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Acc., compass; two phones in pockets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Vertical acc.; max-min pair, 150 ms gap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Integrated horizontal acc.; device fusion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[2]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Acc., gyro; hand, swinging, pocket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Axis chosen by mode; peak, 0.2 s gap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Gyro yaw averaged per step, trained offset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[3]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Acc., gyro, mag.; foot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Variance of acc. magnitude, two thresholds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Fused IMU orientation at foot stance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[4]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Acc., gyro, mag.; trouser pocket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Variance of vertical acc., threshold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PCA of horizontal acc.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[5]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Acc., gyro, mag.; phone in hand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Vertical acc.; peak, peak-to-valley, slope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Tilt-compensated mag. weighted with gyro</w:t>
            </w:r>
          </w:p>
        </w:tc>
      </w:tr>
      <w:tr>
        <w:trPr>
          <w:cantSplit/>
          <w:jc w:val="center"/>
        </w:trPr>
        <w:tc>
          <w:tcPr>
            <w:tcW w:w="20pt" w:type="dxa"/>
            <w:vAlign w:val="center"/>
          </w:tcPr>
          <w:p>
            <w:pPr>
              <w:pStyle w:val="tablecopy"/>
              <w:jc w:val="start"/>
            </w:pPr>
            <w:r>
              <w:t xml:space="preserve">[6]</w:t>
            </w:r>
          </w:p>
        </w:tc>
        <w:tc>
          <w:tcPr>
            <w:tcW w:w="66pt" w:type="dxa"/>
            <w:vAlign w:val="center"/>
          </w:tcPr>
          <w:p>
            <w:pPr>
              <w:pStyle w:val="tablecopy"/>
              <w:jc w:val="start"/>
            </w:pPr>
            <w:r>
              <w:t xml:space="preserve">Acc.; six phone placements</w:t>
            </w:r>
          </w:p>
        </w:tc>
        <w:tc>
          <w:tcPr>
            <w:tcW w:w="82pt" w:type="dxa"/>
            <w:vAlign w:val="center"/>
          </w:tcPr>
          <w:p>
            <w:pPr>
              <w:pStyle w:val="tablecopy"/>
              <w:jc w:val="start"/>
            </w:pPr>
            <w:r>
              <w:t xml:space="preserve">Acc. magnitude; windowed peak detection</w:t>
            </w:r>
          </w:p>
        </w:tc>
        <w:tc>
          <w:tcPr>
            <w:tcW w:w="75pt" w:type="dxa"/>
            <w:vAlign w:val="center"/>
          </w:tcPr>
          <w:p>
            <w:pPr>
              <w:pStyle w:val="tablecopy"/>
              <w:jc w:val="start"/>
            </w:pPr>
            <w:r>
              <w:t xml:space="preserve">Not covered</w:t>
            </w:r>
          </w:p>
        </w:tc>
      </w:tr>
    </w:tbl>
    <w:p>
      <w:pPr>
        <w:pStyle w:val="Heading5"/>
      </w:pPr>
      <w:r>
        <w:t xml:space="preserve">References</w:t>
      </w:r>
    </w:p>
    <w:p>
      <w:pPr>
        <w:pStyle w:val="references"/>
        <w:ind w:start="17.70pt" w:hanging="17.70pt"/>
      </w:pPr>
      <w:r>
        <w:t xml:space="preserve">Y. Jin, H.-S. Toh, W.-S. Soh, and W.-C. Wong, “A robust dead-reckoning pedestrian tracking system with low cost sensors,” in Proc. IEEE Int. Conf. Pervasive Computing and Communications (PerCom), Seattle, WA, USA, Mar. 2011, pp. 222–230.</w:t>
      </w:r>
    </w:p>
    <w:p>
      <w:pPr>
        <w:pStyle w:val="references"/>
        <w:ind w:start="17.70pt" w:hanging="17.70pt"/>
      </w:pPr>
      <w:r>
        <w:t xml:space="preserve">Q. Tian, Z. Salcic, K. I.-K. Wang, and Y. Pan, “A multi-mode dead reckoning system for pedestrian tracking using smartphones,” IEEE Sensors J., vol. 16, no. 7, pp. 2079–2093, Apr. 2016.</w:t>
      </w:r>
    </w:p>
    <w:p>
      <w:pPr>
        <w:pStyle w:val="references"/>
        <w:ind w:start="17.70pt" w:hanging="17.70pt"/>
      </w:pPr>
      <w:r>
        <w:t xml:space="preserve">A. R. Jiménez, F. Seco, C. Prieto, and J. Guevara, “A comparison of pedestrian dead-reckoning algorithms using a low-cost MEMS IMU,” in Proc. IEEE Int. Symp. Intelligent Signal Processing (WISP), Budapest, Hungary, Aug. 2009, pp. 37–42.</w:t>
      </w:r>
    </w:p>
    <w:p>
      <w:pPr>
        <w:pStyle w:val="references"/>
        <w:ind w:start="17.70pt" w:hanging="17.70pt"/>
      </w:pPr>
      <w:r>
        <w:t xml:space="preserve">U. Steinhoff and B. Schiele, “Dead reckoning from the pocket – an experimental study,” in Proc. IEEE Int. Conf. Pervasive Computing and Communications (PerCom), Mannheim, Germany, Mar. 2010, pp. 162–170.</w:t>
      </w:r>
    </w:p>
    <w:p>
      <w:pPr>
        <w:pStyle w:val="references"/>
        <w:ind w:start="17.70pt" w:hanging="17.70pt"/>
      </w:pPr>
      <w:r>
        <w:t xml:space="preserve">W. Kang and Y. Han, “SmartPDR: Smartphone-based pedestrian dead reckoning for indoor localization,” IEEE Sensors J., vol. 15, no. 5, pp. 2906–2916, May 2015.</w:t>
      </w:r>
    </w:p>
    <w:p>
      <w:pPr>
        <w:pStyle w:val="references"/>
        <w:ind w:start="17.70pt" w:hanging="17.70pt"/>
      </w:pPr>
      <w:r>
        <w:t xml:space="preserve">A. Brajdic and R. Harle, “Walk detection and step counting on unconstrained smartphones,” in Proc. ACM Int. Joint Conf. Pervasive and Ubiquitous Computing (UbiComp), Zurich, Switzerland, Sep. 2013, pp. 225–234.</w:t>
      </w:r>
    </w:p>
    <w:sectPr w:rsidR="00836367" w:rsidRPr="00F96569" w:rsidSect="003B4E04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07E507A6" w14:textId="77777777" w:rsidR="00950A80" w:rsidRDefault="00950A80" w:rsidP="001A3B3D">
      <w:r>
        <w:separator/>
      </w:r>
    </w:p>
  </w:endnote>
  <w:endnote w:type="continuationSeparator" w:id="0">
    <w:p w14:paraId="0FCB775F" w14:textId="77777777" w:rsidR="00950A80" w:rsidRDefault="00950A80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iso-8859-1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PMingLiU">
    <w:altName w:val="新細明體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86A989F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/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FCD6B42" w14:textId="77777777" w:rsidR="00950A80" w:rsidRDefault="00950A80" w:rsidP="001A3B3D">
      <w:r>
        <w:separator/>
      </w:r>
    </w:p>
  </w:footnote>
  <w:footnote w:type="continuationSeparator" w:id="0">
    <w:p w14:paraId="1D4DEFD8" w14:textId="77777777" w:rsidR="00950A80" w:rsidRDefault="00950A80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2034456811">
    <w:abstractNumId w:val="14"/>
  </w:num>
  <w:num w:numId="2" w16cid:durableId="2121609986">
    <w:abstractNumId w:val="19"/>
  </w:num>
  <w:num w:numId="3" w16cid:durableId="107548815">
    <w:abstractNumId w:val="13"/>
  </w:num>
  <w:num w:numId="4" w16cid:durableId="458496536">
    <w:abstractNumId w:val="16"/>
  </w:num>
  <w:num w:numId="5" w16cid:durableId="136650240">
    <w:abstractNumId w:val="16"/>
  </w:num>
  <w:num w:numId="6" w16cid:durableId="694188834">
    <w:abstractNumId w:val="16"/>
  </w:num>
  <w:num w:numId="7" w16cid:durableId="1830443105">
    <w:abstractNumId w:val="16"/>
  </w:num>
  <w:num w:numId="8" w16cid:durableId="827747324">
    <w:abstractNumId w:val="18"/>
  </w:num>
  <w:num w:numId="9" w16cid:durableId="1854806858">
    <w:abstractNumId w:val="20"/>
  </w:num>
  <w:num w:numId="10" w16cid:durableId="154998894">
    <w:abstractNumId w:val="15"/>
  </w:num>
  <w:num w:numId="11" w16cid:durableId="107429717">
    <w:abstractNumId w:val="12"/>
  </w:num>
  <w:num w:numId="12" w16cid:durableId="423956571">
    <w:abstractNumId w:val="11"/>
  </w:num>
  <w:num w:numId="13" w16cid:durableId="846749293">
    <w:abstractNumId w:val="0"/>
  </w:num>
  <w:num w:numId="14" w16cid:durableId="995306969">
    <w:abstractNumId w:val="10"/>
  </w:num>
  <w:num w:numId="15" w16cid:durableId="126166773">
    <w:abstractNumId w:val="8"/>
  </w:num>
  <w:num w:numId="16" w16cid:durableId="1704669307">
    <w:abstractNumId w:val="7"/>
  </w:num>
  <w:num w:numId="17" w16cid:durableId="1244948411">
    <w:abstractNumId w:val="6"/>
  </w:num>
  <w:num w:numId="18" w16cid:durableId="1472748974">
    <w:abstractNumId w:val="5"/>
  </w:num>
  <w:num w:numId="19" w16cid:durableId="1343824378">
    <w:abstractNumId w:val="9"/>
  </w:num>
  <w:num w:numId="20" w16cid:durableId="94642094">
    <w:abstractNumId w:val="4"/>
  </w:num>
  <w:num w:numId="21" w16cid:durableId="594096834">
    <w:abstractNumId w:val="3"/>
  </w:num>
  <w:num w:numId="22" w16cid:durableId="1554197291">
    <w:abstractNumId w:val="2"/>
  </w:num>
  <w:num w:numId="23" w16cid:durableId="1905677509">
    <w:abstractNumId w:val="1"/>
  </w:num>
  <w:num w:numId="24" w16cid:durableId="9993150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B740E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50A80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B2532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E10AFBF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10</TotalTime>
  <Pages>3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Kevin I-Kai Wang</cp:lastModifiedBy>
  <cp:revision>5</cp:revision>
  <dcterms:created xsi:type="dcterms:W3CDTF">2019-01-08T18:42:00Z</dcterms:created>
  <dcterms:modified xsi:type="dcterms:W3CDTF">2022-09-16T03:57:00Z</dcterms:modified>
</cp:coreProperties>
</file>