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B7709" w14:textId="77777777" w:rsidR="00556F37" w:rsidRDefault="00556F37">
      <w:pPr>
        <w:rPr>
          <w:sz w:val="28"/>
          <w:szCs w:val="28"/>
        </w:rPr>
      </w:pPr>
      <w:r>
        <w:rPr>
          <w:sz w:val="28"/>
          <w:szCs w:val="28"/>
        </w:rPr>
        <w:t>Certifying Principles of Ecological Agriculture: A Case Study in Integrated Pest Management</w:t>
      </w:r>
    </w:p>
    <w:p w14:paraId="3D290211" w14:textId="77777777" w:rsidR="00556F37" w:rsidRDefault="00556F37">
      <w:pPr>
        <w:rPr>
          <w:sz w:val="28"/>
          <w:szCs w:val="28"/>
        </w:rPr>
      </w:pPr>
    </w:p>
    <w:p w14:paraId="3CCB87BA" w14:textId="77777777" w:rsidR="00556F37" w:rsidRDefault="00556F37">
      <w:pPr>
        <w:rPr>
          <w:sz w:val="28"/>
          <w:szCs w:val="28"/>
        </w:rPr>
      </w:pPr>
      <w:r>
        <w:rPr>
          <w:sz w:val="28"/>
          <w:szCs w:val="28"/>
        </w:rPr>
        <w:t>Intro:</w:t>
      </w:r>
    </w:p>
    <w:p w14:paraId="7F21CE08" w14:textId="1DBB4898" w:rsidR="003D40F9" w:rsidRDefault="00556F37">
      <w:pPr>
        <w:rPr>
          <w:sz w:val="24"/>
          <w:szCs w:val="24"/>
        </w:rPr>
      </w:pPr>
      <w:r>
        <w:rPr>
          <w:sz w:val="28"/>
          <w:szCs w:val="28"/>
        </w:rPr>
        <w:tab/>
      </w:r>
      <w:r>
        <w:rPr>
          <w:sz w:val="24"/>
          <w:szCs w:val="24"/>
        </w:rPr>
        <w:t>In the 21</w:t>
      </w:r>
      <w:r w:rsidRPr="00556F37">
        <w:rPr>
          <w:sz w:val="24"/>
          <w:szCs w:val="24"/>
          <w:vertAlign w:val="superscript"/>
        </w:rPr>
        <w:t>st</w:t>
      </w:r>
      <w:r>
        <w:rPr>
          <w:sz w:val="24"/>
          <w:szCs w:val="24"/>
        </w:rPr>
        <w:t xml:space="preserve"> century, agri</w:t>
      </w:r>
      <w:r w:rsidR="001A1BE8">
        <w:rPr>
          <w:sz w:val="24"/>
          <w:szCs w:val="24"/>
        </w:rPr>
        <w:t>cultural</w:t>
      </w:r>
      <w:r>
        <w:rPr>
          <w:sz w:val="24"/>
          <w:szCs w:val="24"/>
        </w:rPr>
        <w:t xml:space="preserve"> systems </w:t>
      </w:r>
      <w:r w:rsidR="001A1BE8">
        <w:rPr>
          <w:sz w:val="24"/>
          <w:szCs w:val="24"/>
        </w:rPr>
        <w:t xml:space="preserve">are at the nexus of social and environmental challenges: providing sustainable livelihoods for rural communities and sufficient nutrition for all, while conserving ecosystems and protecting climate, </w:t>
      </w:r>
      <w:proofErr w:type="gramStart"/>
      <w:r w:rsidR="001A1BE8">
        <w:rPr>
          <w:sz w:val="24"/>
          <w:szCs w:val="24"/>
        </w:rPr>
        <w:t>air</w:t>
      </w:r>
      <w:proofErr w:type="gramEnd"/>
      <w:r w:rsidR="001A1BE8">
        <w:rPr>
          <w:sz w:val="24"/>
          <w:szCs w:val="24"/>
        </w:rPr>
        <w:t xml:space="preserve"> and water. Farmers, </w:t>
      </w:r>
      <w:proofErr w:type="gramStart"/>
      <w:r w:rsidR="001A1BE8">
        <w:rPr>
          <w:sz w:val="24"/>
          <w:szCs w:val="24"/>
        </w:rPr>
        <w:t>scientists</w:t>
      </w:r>
      <w:proofErr w:type="gramEnd"/>
      <w:r w:rsidR="001A1BE8">
        <w:rPr>
          <w:sz w:val="24"/>
          <w:szCs w:val="24"/>
        </w:rPr>
        <w:t xml:space="preserve"> and civil society groups have developed and promoted many strategies for </w:t>
      </w:r>
      <w:r>
        <w:rPr>
          <w:sz w:val="24"/>
          <w:szCs w:val="24"/>
        </w:rPr>
        <w:t xml:space="preserve"> </w:t>
      </w:r>
    </w:p>
    <w:p w14:paraId="60DFA12B" w14:textId="7E36C755" w:rsidR="00556F37" w:rsidRDefault="00556F37">
      <w:pPr>
        <w:rPr>
          <w:sz w:val="24"/>
          <w:szCs w:val="24"/>
        </w:rPr>
      </w:pPr>
    </w:p>
    <w:p w14:paraId="1C09131C" w14:textId="11B811ED" w:rsidR="00012537" w:rsidRDefault="00556F37">
      <w:pPr>
        <w:rPr>
          <w:sz w:val="24"/>
          <w:szCs w:val="24"/>
        </w:rPr>
      </w:pPr>
      <w:r>
        <w:rPr>
          <w:sz w:val="24"/>
          <w:szCs w:val="24"/>
        </w:rPr>
        <w:tab/>
      </w:r>
      <w:bookmarkStart w:id="0" w:name="_Hlk65243485"/>
      <w:r>
        <w:rPr>
          <w:sz w:val="24"/>
          <w:szCs w:val="24"/>
        </w:rPr>
        <w:t>Integrated Pest Management (IPM) is one of the most prominent frameworks for increasing eco-efficiency in agricultural systems. First formulated in ____, IPM is now promoted by a wide array of organizations throughout the world</w:t>
      </w:r>
      <w:r w:rsidR="00012537">
        <w:rPr>
          <w:sz w:val="24"/>
          <w:szCs w:val="24"/>
        </w:rPr>
        <w:t xml:space="preserve"> as a means of increasing yields while reducing harms from agrochemical use and ensuring the sustainability of food supplies</w:t>
      </w:r>
      <w:bookmarkEnd w:id="0"/>
      <w:r w:rsidR="00012537">
        <w:rPr>
          <w:sz w:val="24"/>
          <w:szCs w:val="24"/>
        </w:rPr>
        <w:t>.</w:t>
      </w:r>
      <w:r>
        <w:rPr>
          <w:sz w:val="24"/>
          <w:szCs w:val="24"/>
        </w:rPr>
        <w:t xml:space="preserve"> More recently, IPM has been conceived of as encompassing several principles, though their exact composition is disputed. </w:t>
      </w:r>
      <w:r w:rsidR="00012537">
        <w:rPr>
          <w:rFonts w:ascii="Georgia" w:hAnsi="Georgia"/>
          <w:color w:val="333333"/>
          <w:sz w:val="27"/>
          <w:szCs w:val="27"/>
          <w:shd w:val="clear" w:color="auto" w:fill="FCFCFC"/>
        </w:rPr>
        <w:t> The EU Framework Directive 2009/128/EC</w:t>
      </w:r>
      <w:r w:rsidR="00012537">
        <w:rPr>
          <w:sz w:val="24"/>
          <w:szCs w:val="24"/>
        </w:rPr>
        <w:t xml:space="preserve"> lays out 8 principles: </w:t>
      </w:r>
    </w:p>
    <w:p w14:paraId="33C91971" w14:textId="41F694FC" w:rsidR="00556F37" w:rsidRDefault="00012537" w:rsidP="00012537">
      <w:pPr>
        <w:pStyle w:val="ListParagraph"/>
        <w:numPr>
          <w:ilvl w:val="0"/>
          <w:numId w:val="1"/>
        </w:numPr>
        <w:rPr>
          <w:sz w:val="24"/>
          <w:szCs w:val="24"/>
        </w:rPr>
      </w:pPr>
      <w:r w:rsidRPr="00012537">
        <w:rPr>
          <w:sz w:val="24"/>
          <w:szCs w:val="24"/>
        </w:rPr>
        <w:t>Prevention and suppression</w:t>
      </w:r>
    </w:p>
    <w:p w14:paraId="1DEE6D9D" w14:textId="314CDB96" w:rsidR="00012537" w:rsidRDefault="00012537" w:rsidP="00012537">
      <w:pPr>
        <w:pStyle w:val="ListParagraph"/>
        <w:numPr>
          <w:ilvl w:val="0"/>
          <w:numId w:val="1"/>
        </w:numPr>
        <w:rPr>
          <w:sz w:val="24"/>
          <w:szCs w:val="24"/>
        </w:rPr>
      </w:pPr>
      <w:r>
        <w:rPr>
          <w:sz w:val="24"/>
          <w:szCs w:val="24"/>
        </w:rPr>
        <w:t>Monitoring</w:t>
      </w:r>
    </w:p>
    <w:p w14:paraId="6C90DF5C" w14:textId="13A69F0B" w:rsidR="00012537" w:rsidRDefault="00012537" w:rsidP="00012537">
      <w:pPr>
        <w:pStyle w:val="ListParagraph"/>
        <w:numPr>
          <w:ilvl w:val="0"/>
          <w:numId w:val="1"/>
        </w:numPr>
        <w:rPr>
          <w:sz w:val="24"/>
          <w:szCs w:val="24"/>
        </w:rPr>
      </w:pPr>
      <w:r>
        <w:rPr>
          <w:sz w:val="24"/>
          <w:szCs w:val="24"/>
        </w:rPr>
        <w:t>Decision based on monitoring and thresholds</w:t>
      </w:r>
    </w:p>
    <w:p w14:paraId="7A302589" w14:textId="57212444" w:rsidR="00012537" w:rsidRDefault="00012537" w:rsidP="00012537">
      <w:pPr>
        <w:pStyle w:val="ListParagraph"/>
        <w:numPr>
          <w:ilvl w:val="0"/>
          <w:numId w:val="1"/>
        </w:numPr>
        <w:rPr>
          <w:sz w:val="24"/>
          <w:szCs w:val="24"/>
        </w:rPr>
      </w:pPr>
      <w:r>
        <w:rPr>
          <w:sz w:val="24"/>
          <w:szCs w:val="24"/>
        </w:rPr>
        <w:t>Non-Chemical Methods</w:t>
      </w:r>
    </w:p>
    <w:p w14:paraId="2D791BFF" w14:textId="202201AF" w:rsidR="00012537" w:rsidRDefault="00012537" w:rsidP="00012537">
      <w:pPr>
        <w:pStyle w:val="ListParagraph"/>
        <w:numPr>
          <w:ilvl w:val="0"/>
          <w:numId w:val="1"/>
        </w:numPr>
        <w:rPr>
          <w:sz w:val="24"/>
          <w:szCs w:val="24"/>
        </w:rPr>
      </w:pPr>
      <w:r>
        <w:rPr>
          <w:sz w:val="24"/>
          <w:szCs w:val="24"/>
        </w:rPr>
        <w:t xml:space="preserve">Pesticide Selection </w:t>
      </w:r>
    </w:p>
    <w:p w14:paraId="53A751FE" w14:textId="1ABC857A" w:rsidR="00012537" w:rsidRDefault="00012537" w:rsidP="00012537">
      <w:pPr>
        <w:pStyle w:val="ListParagraph"/>
        <w:numPr>
          <w:ilvl w:val="0"/>
          <w:numId w:val="1"/>
        </w:numPr>
        <w:rPr>
          <w:sz w:val="24"/>
          <w:szCs w:val="24"/>
        </w:rPr>
      </w:pPr>
      <w:r>
        <w:rPr>
          <w:sz w:val="24"/>
          <w:szCs w:val="24"/>
        </w:rPr>
        <w:t>Reduced Pesticide Use</w:t>
      </w:r>
    </w:p>
    <w:p w14:paraId="4D594AEC" w14:textId="283ACA67" w:rsidR="00012537" w:rsidRDefault="00012537" w:rsidP="00012537">
      <w:pPr>
        <w:pStyle w:val="ListParagraph"/>
        <w:numPr>
          <w:ilvl w:val="0"/>
          <w:numId w:val="1"/>
        </w:numPr>
        <w:rPr>
          <w:sz w:val="24"/>
          <w:szCs w:val="24"/>
        </w:rPr>
      </w:pPr>
      <w:r>
        <w:rPr>
          <w:sz w:val="24"/>
          <w:szCs w:val="24"/>
        </w:rPr>
        <w:t>Anti-resistance Strategies</w:t>
      </w:r>
    </w:p>
    <w:p w14:paraId="72739261" w14:textId="1D777D83" w:rsidR="00012537" w:rsidRDefault="00012537" w:rsidP="00012537">
      <w:pPr>
        <w:pStyle w:val="ListParagraph"/>
        <w:numPr>
          <w:ilvl w:val="0"/>
          <w:numId w:val="1"/>
        </w:numPr>
        <w:rPr>
          <w:sz w:val="24"/>
          <w:szCs w:val="24"/>
        </w:rPr>
      </w:pPr>
      <w:r>
        <w:rPr>
          <w:sz w:val="24"/>
          <w:szCs w:val="24"/>
        </w:rPr>
        <w:t>Evaluation</w:t>
      </w:r>
    </w:p>
    <w:p w14:paraId="2105AB86" w14:textId="027707C2" w:rsidR="00012537" w:rsidRDefault="00012537" w:rsidP="00012537">
      <w:pPr>
        <w:ind w:left="720"/>
        <w:rPr>
          <w:rFonts w:ascii="Georgia" w:hAnsi="Georgia"/>
          <w:color w:val="333333"/>
          <w:sz w:val="27"/>
          <w:szCs w:val="27"/>
          <w:shd w:val="clear" w:color="auto" w:fill="FCFCFC"/>
        </w:rPr>
      </w:pPr>
      <w:r>
        <w:rPr>
          <w:sz w:val="24"/>
          <w:szCs w:val="24"/>
        </w:rPr>
        <w:t xml:space="preserve">IPM can be utilized in </w:t>
      </w:r>
      <w:r w:rsidR="00197E8D">
        <w:rPr>
          <w:sz w:val="24"/>
          <w:szCs w:val="24"/>
        </w:rPr>
        <w:t>any</w:t>
      </w:r>
      <w:r>
        <w:rPr>
          <w:sz w:val="24"/>
          <w:szCs w:val="24"/>
        </w:rPr>
        <w:t xml:space="preserve"> cropping system, anywhere in the world, and </w:t>
      </w:r>
      <w:r w:rsidR="00197E8D">
        <w:rPr>
          <w:sz w:val="24"/>
          <w:szCs w:val="24"/>
        </w:rPr>
        <w:t xml:space="preserve">different manifestations may look very different. As </w:t>
      </w:r>
      <w:proofErr w:type="spellStart"/>
      <w:r w:rsidR="00197E8D">
        <w:rPr>
          <w:sz w:val="24"/>
          <w:szCs w:val="24"/>
        </w:rPr>
        <w:t>Barzman</w:t>
      </w:r>
      <w:proofErr w:type="spellEnd"/>
      <w:r w:rsidR="00197E8D">
        <w:rPr>
          <w:sz w:val="24"/>
          <w:szCs w:val="24"/>
        </w:rPr>
        <w:t xml:space="preserve"> and colleagues note </w:t>
      </w:r>
      <w:r w:rsidR="00197E8D">
        <w:rPr>
          <w:sz w:val="24"/>
          <w:szCs w:val="24"/>
        </w:rPr>
        <w:fldChar w:fldCharType="begin"/>
      </w:r>
      <w:r w:rsidR="00197E8D">
        <w:rPr>
          <w:sz w:val="24"/>
          <w:szCs w:val="24"/>
        </w:rPr>
        <w:instrText xml:space="preserve"> ADDIN ZOTERO_ITEM CSL_CITATION {"citationID":"z8NEpokH","properties":{"formattedCitation":"(2015)","plainCitation":"(2015)","noteIndex":0},"citationItems":[{"id":5541,"uris":["http://zotero.org/users/local/nBPNHnE2/items/BFJSDZYI"],"uri":["http://zotero.org/users/local/nBPNHnE2/items/BFJSDZYI"],"itemData":{"id":5541,"type":"article-journal","abstract":"The use of pesticides made it possible to increase yields, simplify cropping systems, and forego more complicated crop protection strategies. Over-reliance on chemical control, however, is associated with contamination of ecosystems and undesirable health effects. The future of crop production is now also threatened by emergence of pest resistance and declining availability of active substances. There is therefore a need to design cropping systems less dependent on synthetic pesticides. Consequently, the European Union requires the application of eight principles (P) of Integrated Pest Management that fit within sustainable farm management. Here, we propose to farmers, advisors, and researchers a dynamic and flexible approach that accounts for the diversity of farming situations and the complexities of agroecosystems and that can improve the resilience of cropping systems and our capacity to adapt crop protection to local realities. For each principle (P), we suggest that (P1) the design of inherently robust cropping systems using a combination of agronomic levers is key to prevention. (P2) Local availability of monitoring, warning, and forecasting systems is a reality to contend with. (P3) The decision-making process can integrate cropping system factors to develop longer-term strategies. (P4) The combination of non-chemical methods that may be individually less efficient than pesticides can generate valuable synergies. (P5) Development of new biological agents and products and the use of existing databases offer options for the selection of products minimizing impact on health, the environment, and biological regulation of pests. (P6) Reduced pesticide use can be effectively combined with other tactics. (P7) Addressing the root causes of pesticide resistance is the best way to find sustainable crop protection solutions. And (P8) integration of multi-season effects and trade-offs in evaluation criteria will help develop sustainable solutions.","container-title":"Agronomy for Sustainable Development","DOI":"10.1007/s13593-015-0327-9","ISSN":"1773-0155","issue":"4","journalAbbreviation":"Agron. Sustain. Dev.","language":"en","page":"1199-1215","source":"Springer Link","title":"Eight principles of integrated pest management","volume":"35","author":[{"family":"Barzman","given":"Marco"},{"family":"Bàrberi","given":"Paolo"},{"family":"Birch","given":"A. Nicholas E."},{"family":"Boonekamp","given":"Piet"},{"family":"Dachbrodt-Saaydeh","given":"Silke"},{"family":"Graf","given":"Benno"},{"family":"Hommel","given":"Bernd"},{"family":"Jensen","given":"Jens Erik"},{"family":"Kiss","given":"Jozsef"},{"family":"Kudsk","given":"Per"},{"family":"Lamichhane","given":"Jay Ram"},{"family":"Messéan","given":"Antoine"},{"family":"Moonen","given":"Anna-Camilla"},{"family":"Ratnadass","given":"Alain"},{"family":"Ricci","given":"Pierre"},{"family":"Sarah","given":"Jean-Louis"},{"family":"Sattin","given":"Maurizio"}],"issued":{"date-parts":[["2015",10,1]]}},"suppress-author":true}],"schema":"https://github.com/citation-style-language/schema/raw/master/csl-citation.json"} </w:instrText>
      </w:r>
      <w:r w:rsidR="00197E8D">
        <w:rPr>
          <w:sz w:val="24"/>
          <w:szCs w:val="24"/>
        </w:rPr>
        <w:fldChar w:fldCharType="separate"/>
      </w:r>
      <w:r w:rsidR="00197E8D" w:rsidRPr="00197E8D">
        <w:rPr>
          <w:rFonts w:ascii="Calibri" w:hAnsi="Calibri" w:cs="Calibri"/>
          <w:sz w:val="24"/>
        </w:rPr>
        <w:t>(2015)</w:t>
      </w:r>
      <w:r w:rsidR="00197E8D">
        <w:rPr>
          <w:sz w:val="24"/>
          <w:szCs w:val="24"/>
        </w:rPr>
        <w:fldChar w:fldCharType="end"/>
      </w:r>
      <w:r w:rsidR="00197E8D">
        <w:rPr>
          <w:sz w:val="24"/>
          <w:szCs w:val="24"/>
        </w:rPr>
        <w:t xml:space="preserve"> IPM is “</w:t>
      </w:r>
      <w:r w:rsidR="00197E8D">
        <w:rPr>
          <w:rFonts w:ascii="Georgia" w:hAnsi="Georgia"/>
          <w:color w:val="333333"/>
          <w:sz w:val="27"/>
          <w:szCs w:val="27"/>
          <w:shd w:val="clear" w:color="auto" w:fill="FCFCFC"/>
        </w:rPr>
        <w:t>shaped according to site-specific factors such as regional cropping pattern, field size, type and availability of semi-natural habitats, the broader landscape, cultivation practices, pest pressure, R&amp;D efforts, availability of training, farmer attitude, and economics.”</w:t>
      </w:r>
    </w:p>
    <w:p w14:paraId="7DA84633" w14:textId="3B3BBB6A" w:rsidR="00197E8D" w:rsidRDefault="00197E8D" w:rsidP="00197E8D"/>
    <w:p w14:paraId="7D91A772" w14:textId="6038AB79" w:rsidR="00197E8D" w:rsidRDefault="00197E8D" w:rsidP="00197E8D">
      <w:pPr>
        <w:rPr>
          <w:sz w:val="24"/>
          <w:szCs w:val="24"/>
        </w:rPr>
      </w:pPr>
      <w:r>
        <w:tab/>
      </w:r>
      <w:r w:rsidRPr="00197E8D">
        <w:rPr>
          <w:sz w:val="24"/>
          <w:szCs w:val="24"/>
        </w:rPr>
        <w:t>In recent years, 3</w:t>
      </w:r>
      <w:r w:rsidRPr="00197E8D">
        <w:rPr>
          <w:sz w:val="24"/>
          <w:szCs w:val="24"/>
          <w:vertAlign w:val="superscript"/>
        </w:rPr>
        <w:t>rd</w:t>
      </w:r>
      <w:r w:rsidRPr="00197E8D">
        <w:rPr>
          <w:sz w:val="24"/>
          <w:szCs w:val="24"/>
        </w:rPr>
        <w:t xml:space="preserve"> party certification </w:t>
      </w:r>
      <w:r>
        <w:rPr>
          <w:sz w:val="24"/>
          <w:szCs w:val="24"/>
        </w:rPr>
        <w:t xml:space="preserve">has become an increasingly important element of food systems governance, as exemplified by Organic, Fair Trade, Non-GMO and other labelling schemes. Third party labels attempt to differentiate agricultural commodities as being higher quality, less environmentally harmful and/or more socially responsible. These differentiated </w:t>
      </w:r>
      <w:r>
        <w:rPr>
          <w:sz w:val="24"/>
          <w:szCs w:val="24"/>
        </w:rPr>
        <w:lastRenderedPageBreak/>
        <w:t xml:space="preserve">products can thus command a price premium, which rewards producers who use desired practices, and incentivizes producers to change practices. </w:t>
      </w:r>
    </w:p>
    <w:p w14:paraId="781FF710" w14:textId="4683703D" w:rsidR="00452A6E" w:rsidRDefault="00197E8D" w:rsidP="00197E8D">
      <w:pPr>
        <w:rPr>
          <w:sz w:val="24"/>
          <w:szCs w:val="24"/>
        </w:rPr>
      </w:pPr>
      <w:r>
        <w:rPr>
          <w:sz w:val="24"/>
          <w:szCs w:val="24"/>
        </w:rPr>
        <w:tab/>
      </w:r>
    </w:p>
    <w:p w14:paraId="3B759E6A" w14:textId="50627C7A" w:rsidR="00452A6E" w:rsidRDefault="00452A6E" w:rsidP="00452A6E">
      <w:pPr>
        <w:rPr>
          <w:sz w:val="24"/>
          <w:szCs w:val="24"/>
        </w:rPr>
      </w:pPr>
      <w:r>
        <w:rPr>
          <w:sz w:val="24"/>
          <w:szCs w:val="24"/>
        </w:rPr>
        <w:tab/>
        <w:t xml:space="preserve">The large international consensus behind IPM means that many different agricultural certification programs include it in their requirements. But defining and measuring the adoption of IPM across farms is not a straightforward task; the principles may be applied in very different ways across different farms. Some argue that IPM adoption is best thought of as on a continuum- from monocultures with calendar spraying, to “ultimate IPM” where system design is reduces pest damage to near 0 without chemical intervention </w:t>
      </w:r>
      <w:r>
        <w:rPr>
          <w:sz w:val="24"/>
          <w:szCs w:val="24"/>
        </w:rPr>
        <w:fldChar w:fldCharType="begin"/>
      </w:r>
      <w:r>
        <w:rPr>
          <w:sz w:val="24"/>
          <w:szCs w:val="24"/>
        </w:rPr>
        <w:instrText xml:space="preserve"> ADDIN ZOTERO_ITEM CSL_CITATION {"citationID":"rpPMyjyg","properties":{"formattedCitation":"(Benbrook, 1996)","plainCitation":"(Benbrook, 1996)","noteIndex":0},"citationItems":[{"id":6543,"uris":["http://zotero.org/users/local/nBPNHnE2/items/ECN77SQT"],"uri":["http://zotero.org/users/local/nBPNHnE2/items/ECN77SQT"],"itemData":{"id":6543,"type":"book","publisher":"Consumers Union of United States Inc","source":"Google Scholar","title":"Pest management at the crossroads.","author":[{"family":"Benbrook","given":"Charles M."}],"issued":{"date-parts":[["1996"]]}}}],"schema":"https://github.com/citation-style-language/schema/raw/master/csl-citation.json"} </w:instrText>
      </w:r>
      <w:r>
        <w:rPr>
          <w:sz w:val="24"/>
          <w:szCs w:val="24"/>
        </w:rPr>
        <w:fldChar w:fldCharType="separate"/>
      </w:r>
      <w:r w:rsidRPr="00452A6E">
        <w:rPr>
          <w:rFonts w:ascii="Calibri" w:hAnsi="Calibri" w:cs="Calibri"/>
          <w:sz w:val="24"/>
        </w:rPr>
        <w:t>(Benbrook, 1996)</w:t>
      </w:r>
      <w:r>
        <w:rPr>
          <w:sz w:val="24"/>
          <w:szCs w:val="24"/>
        </w:rPr>
        <w:fldChar w:fldCharType="end"/>
      </w:r>
      <w:r>
        <w:rPr>
          <w:sz w:val="24"/>
          <w:szCs w:val="24"/>
        </w:rPr>
        <w:t>.</w:t>
      </w:r>
    </w:p>
    <w:p w14:paraId="0080E770" w14:textId="6CF8CF74" w:rsidR="00452A6E" w:rsidRDefault="00452A6E" w:rsidP="00452A6E">
      <w:pPr>
        <w:rPr>
          <w:sz w:val="24"/>
          <w:szCs w:val="24"/>
        </w:rPr>
      </w:pPr>
      <w:r>
        <w:rPr>
          <w:sz w:val="24"/>
          <w:szCs w:val="24"/>
        </w:rPr>
        <w:tab/>
      </w:r>
      <w:r w:rsidR="00FB7D9B">
        <w:rPr>
          <w:sz w:val="24"/>
          <w:szCs w:val="24"/>
        </w:rPr>
        <w:t>Principles and systems-based approaches to agriculture are often difficult to delineate (Dube, in review). Because these approaches can take very different forms across contexts,</w:t>
      </w:r>
      <w:r w:rsidR="00C675CB">
        <w:rPr>
          <w:sz w:val="24"/>
          <w:szCs w:val="24"/>
        </w:rPr>
        <w:t xml:space="preserve"> it may not be possible to create a simple method for distinguishing between farms who have adopted, and those who have not. This has been noted in the specific instance of IPM </w:t>
      </w:r>
      <w:r w:rsidR="00C675CB">
        <w:rPr>
          <w:sz w:val="24"/>
          <w:szCs w:val="24"/>
        </w:rPr>
        <w:fldChar w:fldCharType="begin"/>
      </w:r>
      <w:r w:rsidR="00C675CB">
        <w:rPr>
          <w:sz w:val="24"/>
          <w:szCs w:val="24"/>
        </w:rPr>
        <w:instrText xml:space="preserve"> ADDIN ZOTERO_ITEM CSL_CITATION {"citationID":"KpEwEQKx","properties":{"formattedCitation":"(Bottrell &amp; Schoenly, 2018)","plainCitation":"(Bottrell &amp; Schoenly, 2018)","noteIndex":0},"citationItems":[{"id":6218,"uris":["http://zotero.org/users/local/nBPNHnE2/items/7VG2BBTV"],"uri":["http://zotero.org/users/local/nBPNHnE2/items/7VG2BBTV"],"itemData":{"id":6218,"type":"article-journal","abstract":"Hailed as the single most important paper published on crop protection in the 20th century, Stern et al. in 1959 formed the conceptual basis for modern integrated pest management (IPM) worldwide. The ecological foundation for IPM envisioned by its authors is as valid today as in 1959. However, adoption by developing country farmers has been low and its advances short-lived. The present paper examines the concept of integration in IPM and criteria for determining whether its control tactics have been integrated harmoniously. The effects of local and regional landscape patterns on pests and on the design of IPM are reviewed, arguing that the agroecosystem must be understood and managed as a living system with the goal of enhancing and conserving agrobiodiversity and keeping ecosystem services intact. Key to IPM adoption is convincing farmers to integrate non-chemical alternatives (e.g. biological control, plant diversification) as primary management components and to apply pesticides judiciously and only after non-chemical components fail to manage pests effectively. Research, extension and policy changes are identified to increase the efficiency, adoption and sustainability of IPM on resource-limited farms. The over-arching challenge is devising communication and support systems that allow resource-limited farmers to try, adopt and sustain IPM that enhances yields and profits in light of the many uncertainties and challenges. Use of information technology, media development, crowdsourcing and rural sociology is advocated to connect farmers to the technical sources required to enhance yields and profits and reduce risks to them, the farming community and the environment.","container-title":"The Journal of Agricultural Science","DOI":"10.1017/S0021859618000473","ISSN":"0021-8596, 1469-5146","issue":"3","language":"en","page":"408-426","source":"Cambridge Core","title":"Integrated pest management for resource-limited farmers: challenges for achieving ecological, social and economic sustainability","title-short":"Integrated pest management for resource-limited farmers","volume":"156","author":[{"family":"Bottrell","given":"D. G."},{"family":"Schoenly","given":"K. G."}],"issued":{"date-parts":[["2018",4]]}}}],"schema":"https://github.com/citation-style-language/schema/raw/master/csl-citation.json"} </w:instrText>
      </w:r>
      <w:r w:rsidR="00C675CB">
        <w:rPr>
          <w:sz w:val="24"/>
          <w:szCs w:val="24"/>
        </w:rPr>
        <w:fldChar w:fldCharType="separate"/>
      </w:r>
      <w:r w:rsidR="00C675CB" w:rsidRPr="00C675CB">
        <w:rPr>
          <w:rFonts w:ascii="Calibri" w:hAnsi="Calibri" w:cs="Calibri"/>
          <w:sz w:val="24"/>
        </w:rPr>
        <w:t>(Bottrell &amp; Schoenly, 2018)</w:t>
      </w:r>
      <w:r w:rsidR="00C675CB">
        <w:rPr>
          <w:sz w:val="24"/>
          <w:szCs w:val="24"/>
        </w:rPr>
        <w:fldChar w:fldCharType="end"/>
      </w:r>
      <w:r w:rsidR="00C675CB">
        <w:rPr>
          <w:sz w:val="24"/>
          <w:szCs w:val="24"/>
        </w:rPr>
        <w:t xml:space="preserve"> but also for Conservation Agriculture </w:t>
      </w:r>
      <w:r w:rsidR="00C675CB">
        <w:rPr>
          <w:sz w:val="24"/>
          <w:szCs w:val="24"/>
        </w:rPr>
        <w:fldChar w:fldCharType="begin"/>
      </w:r>
      <w:r w:rsidR="00C675CB">
        <w:rPr>
          <w:sz w:val="24"/>
          <w:szCs w:val="24"/>
        </w:rPr>
        <w:instrText xml:space="preserve"> ADDIN ZOTERO_ITEM CSL_CITATION {"citationID":"jIDfkzFG","properties":{"formattedCitation":"(Giller et al., 2009)","plainCitation":"(Giller et al., 2009)","noteIndex":0},"citationItems":[{"id":2969,"uris":["http://zotero.org/users/local/nBPNHnE2/items/NLUIQXIH"],"uri":["http://zotero.org/users/local/nBPNHnE2/items/NLUIQXIH"],"itemData":{"id":2969,"type":"article-journal","container-title":"Field crops research","issue":"1","page":"23–34","source":"Google Scholar","title":"Conservation agriculture and smallholder farming in Africa: the heretics’ view","title-short":"Conservation agriculture and smallholder farming in Africa","volume":"114","author":[{"family":"Giller","given":"Ken E."},{"family":"Witter","given":"Ernst"},{"family":"Corbeels","given":"Marc"},{"family":"Tittonell","given":"Pablo"}],"issued":{"date-parts":[["2009"]]}}}],"schema":"https://github.com/citation-style-language/schema/raw/master/csl-citation.json"} </w:instrText>
      </w:r>
      <w:r w:rsidR="00C675CB">
        <w:rPr>
          <w:sz w:val="24"/>
          <w:szCs w:val="24"/>
        </w:rPr>
        <w:fldChar w:fldCharType="separate"/>
      </w:r>
      <w:r w:rsidR="00C675CB" w:rsidRPr="00C675CB">
        <w:rPr>
          <w:rFonts w:ascii="Calibri" w:hAnsi="Calibri" w:cs="Calibri"/>
          <w:sz w:val="24"/>
        </w:rPr>
        <w:t>(Giller et al., 2009)</w:t>
      </w:r>
      <w:r w:rsidR="00C675CB">
        <w:rPr>
          <w:sz w:val="24"/>
          <w:szCs w:val="24"/>
        </w:rPr>
        <w:fldChar w:fldCharType="end"/>
      </w:r>
      <w:r w:rsidR="00C675CB">
        <w:rPr>
          <w:sz w:val="24"/>
          <w:szCs w:val="24"/>
        </w:rPr>
        <w:t xml:space="preserve"> and </w:t>
      </w:r>
      <w:proofErr w:type="spellStart"/>
      <w:r w:rsidR="00C675CB">
        <w:rPr>
          <w:sz w:val="24"/>
          <w:szCs w:val="24"/>
        </w:rPr>
        <w:t>silvo</w:t>
      </w:r>
      <w:proofErr w:type="spellEnd"/>
      <w:r w:rsidR="00C675CB">
        <w:rPr>
          <w:sz w:val="24"/>
          <w:szCs w:val="24"/>
        </w:rPr>
        <w:t xml:space="preserve">-pasture </w:t>
      </w:r>
      <w:r w:rsidR="00C675CB">
        <w:rPr>
          <w:sz w:val="24"/>
          <w:szCs w:val="24"/>
        </w:rPr>
        <w:fldChar w:fldCharType="begin"/>
      </w:r>
      <w:r w:rsidR="00C675CB">
        <w:rPr>
          <w:sz w:val="24"/>
          <w:szCs w:val="24"/>
        </w:rPr>
        <w:instrText xml:space="preserve"> ADDIN ZOTERO_ITEM CSL_CITATION {"citationID":"wnqomdRx","properties":{"formattedCitation":"(Orefice et al., 2017)","plainCitation":"(Orefice et al., 2017)","noteIndex":0},"citationItems":[{"id":3022,"uris":["http://zotero.org/users/local/nBPNHnE2/items/BP3YACI5"],"uri":["http://zotero.org/users/local/nBPNHnE2/items/BP3YACI5"],"itemData":{"id":3022,"type":"article-journal","abstract":"The use of silvopasture systems on farms in the Northeastern United States has never been documented. Our objective was to gather baseline data to describe silvopasture practices and perspectives in the Northeastern United States. To accomplish this, we investigated the structure, management of, and reasons for use of silvopastures in New York state and New England through a series of interviews and inventories on 20 farms purposefully chosen as practicing silvopasture. Thematic content analysis was conducted to summarize interview results and identify trends related to silvopasture practices. Three farmers in this study had been practicing silvopasture on their farms over 30 years; the rest were new to silvopasture in the past 10 years. Only three of 20 farmers interviewed in this study had experience practicing silvopasture prior to implementing it on their farms. Forest conversion to silvopasture was the primary starting point for silvopastures observed on regional farms. Orchard, open field edge, outdoor living barn, and plantation silvopastures were also documented on multiple farms. Shade and a desire to maximize use of farm woodlands were primary reasons for silvopasture utilization. This research provides evidence that silvopastures are being used to diversify regional farms. For the practice to be advanced in the region further research is needed on the topic.","container-title":"Agroforestry Systems","DOI":"10.1007/s10457-016-9916-0","ISSN":"0167-4366, 1572-9680","issue":"1","journalAbbreviation":"Agroforest Syst","language":"en","page":"149-160","source":"link-springer-com.ezproxy.uvm.edu","title":"Silvopasture practices and perspectives in the Northeastern United States","volume":"91","author":[{"family":"Orefice","given":"Joseph"},{"family":"Carroll","given":"John"},{"family":"Conroy","given":"Drew"},{"family":"Ketner","given":"Leanne"}],"issued":{"date-parts":[["2017",2,1]]}}}],"schema":"https://github.com/citation-style-language/schema/raw/master/csl-citation.json"} </w:instrText>
      </w:r>
      <w:r w:rsidR="00C675CB">
        <w:rPr>
          <w:sz w:val="24"/>
          <w:szCs w:val="24"/>
        </w:rPr>
        <w:fldChar w:fldCharType="separate"/>
      </w:r>
      <w:r w:rsidR="00C675CB" w:rsidRPr="00C675CB">
        <w:rPr>
          <w:rFonts w:ascii="Calibri" w:hAnsi="Calibri" w:cs="Calibri"/>
          <w:sz w:val="24"/>
        </w:rPr>
        <w:t>(</w:t>
      </w:r>
      <w:proofErr w:type="spellStart"/>
      <w:r w:rsidR="00C675CB" w:rsidRPr="00C675CB">
        <w:rPr>
          <w:rFonts w:ascii="Calibri" w:hAnsi="Calibri" w:cs="Calibri"/>
          <w:sz w:val="24"/>
        </w:rPr>
        <w:t>Orefice</w:t>
      </w:r>
      <w:proofErr w:type="spellEnd"/>
      <w:r w:rsidR="00C675CB" w:rsidRPr="00C675CB">
        <w:rPr>
          <w:rFonts w:ascii="Calibri" w:hAnsi="Calibri" w:cs="Calibri"/>
          <w:sz w:val="24"/>
        </w:rPr>
        <w:t xml:space="preserve"> et al., 2017)</w:t>
      </w:r>
      <w:r w:rsidR="00C675CB">
        <w:rPr>
          <w:sz w:val="24"/>
          <w:szCs w:val="24"/>
        </w:rPr>
        <w:fldChar w:fldCharType="end"/>
      </w:r>
      <w:r w:rsidR="00C675CB">
        <w:rPr>
          <w:sz w:val="24"/>
          <w:szCs w:val="24"/>
        </w:rPr>
        <w:t xml:space="preserve">. But a clear delineation is required for promoting these systems through subsidies or certification, for measuring the success of efforts to promote them or to compare their environmental and economic performance with status-quo farming. </w:t>
      </w:r>
    </w:p>
    <w:p w14:paraId="705CF7AD" w14:textId="707D0672" w:rsidR="00452A6E" w:rsidRDefault="00C675CB" w:rsidP="00197E8D">
      <w:pPr>
        <w:rPr>
          <w:sz w:val="24"/>
          <w:szCs w:val="24"/>
        </w:rPr>
      </w:pPr>
      <w:r>
        <w:rPr>
          <w:sz w:val="24"/>
          <w:szCs w:val="24"/>
        </w:rPr>
        <w:tab/>
      </w:r>
      <w:bookmarkStart w:id="1" w:name="_Hlk65244473"/>
      <w:r w:rsidR="00611364">
        <w:rPr>
          <w:sz w:val="24"/>
          <w:szCs w:val="24"/>
        </w:rPr>
        <w:t>Certification programs which promote IPM are an ideal context to explore alternative agriculture systems certification. There is a wide range of diversity of programs</w:t>
      </w:r>
      <w:r w:rsidR="00FF67ED">
        <w:rPr>
          <w:sz w:val="24"/>
          <w:szCs w:val="24"/>
        </w:rPr>
        <w:t>- c</w:t>
      </w:r>
      <w:r w:rsidR="00611364">
        <w:rPr>
          <w:sz w:val="24"/>
          <w:szCs w:val="24"/>
        </w:rPr>
        <w:t>ertifications differ in their geographic scope, from small regions to international, and in their crop scope; from single commodity to any food commodity. Likewise, these programs differ in their origin and intentions, they may come from environmental or development NGOs, university extension services or some combination of the 3. Examining this set of certifications can give insight into the</w:t>
      </w:r>
      <w:r w:rsidR="00A67270">
        <w:rPr>
          <w:sz w:val="24"/>
          <w:szCs w:val="24"/>
        </w:rPr>
        <w:t xml:space="preserve"> universe of</w:t>
      </w:r>
      <w:r w:rsidR="00FF67ED">
        <w:rPr>
          <w:sz w:val="24"/>
          <w:szCs w:val="24"/>
        </w:rPr>
        <w:t xml:space="preserve"> possibilities</w:t>
      </w:r>
      <w:r w:rsidR="00611364">
        <w:rPr>
          <w:sz w:val="24"/>
          <w:szCs w:val="24"/>
        </w:rPr>
        <w:t xml:space="preserve"> </w:t>
      </w:r>
      <w:r w:rsidR="00FF67ED">
        <w:rPr>
          <w:sz w:val="24"/>
          <w:szCs w:val="24"/>
        </w:rPr>
        <w:t>for</w:t>
      </w:r>
      <w:r w:rsidR="00611364">
        <w:rPr>
          <w:sz w:val="24"/>
          <w:szCs w:val="24"/>
        </w:rPr>
        <w:t xml:space="preserve"> </w:t>
      </w:r>
      <w:r w:rsidR="00FF67ED">
        <w:rPr>
          <w:sz w:val="24"/>
          <w:szCs w:val="24"/>
        </w:rPr>
        <w:t xml:space="preserve">certifying </w:t>
      </w:r>
      <w:r w:rsidR="00611364">
        <w:rPr>
          <w:sz w:val="24"/>
          <w:szCs w:val="24"/>
        </w:rPr>
        <w:t>and</w:t>
      </w:r>
      <w:r w:rsidR="00FF67ED">
        <w:rPr>
          <w:sz w:val="24"/>
          <w:szCs w:val="24"/>
        </w:rPr>
        <w:t xml:space="preserve"> delineating</w:t>
      </w:r>
      <w:r w:rsidR="00611364">
        <w:rPr>
          <w:sz w:val="24"/>
          <w:szCs w:val="24"/>
        </w:rPr>
        <w:t xml:space="preserve"> principles-based </w:t>
      </w:r>
      <w:r w:rsidR="00FF67ED">
        <w:rPr>
          <w:sz w:val="24"/>
          <w:szCs w:val="24"/>
        </w:rPr>
        <w:t>alternative agriculture systems.</w:t>
      </w:r>
    </w:p>
    <w:p w14:paraId="4A50FB7B" w14:textId="67B6BE38" w:rsidR="00A67270" w:rsidRDefault="00A67270" w:rsidP="00197E8D">
      <w:pPr>
        <w:rPr>
          <w:b/>
          <w:bCs/>
          <w:sz w:val="24"/>
          <w:szCs w:val="24"/>
        </w:rPr>
      </w:pPr>
      <w:r>
        <w:rPr>
          <w:b/>
          <w:bCs/>
          <w:sz w:val="24"/>
          <w:szCs w:val="24"/>
        </w:rPr>
        <w:t xml:space="preserve">Methods: </w:t>
      </w:r>
    </w:p>
    <w:p w14:paraId="365FBD40" w14:textId="67F03B3E" w:rsidR="009837B3" w:rsidRDefault="00A67270" w:rsidP="009837B3">
      <w:pPr>
        <w:ind w:firstLine="720"/>
        <w:rPr>
          <w:sz w:val="24"/>
          <w:szCs w:val="24"/>
        </w:rPr>
      </w:pPr>
      <w:r>
        <w:rPr>
          <w:sz w:val="24"/>
          <w:szCs w:val="24"/>
        </w:rPr>
        <w:t xml:space="preserve">A set of </w:t>
      </w:r>
      <w:r w:rsidR="009837B3">
        <w:rPr>
          <w:sz w:val="24"/>
          <w:szCs w:val="24"/>
        </w:rPr>
        <w:t xml:space="preserve">eco-labels for foods sold in the United States were assembled from the ecolabel index (cite). Inclusion criteria </w:t>
      </w:r>
      <w:proofErr w:type="gramStart"/>
      <w:r w:rsidR="009837B3">
        <w:rPr>
          <w:sz w:val="24"/>
          <w:szCs w:val="24"/>
        </w:rPr>
        <w:t>were</w:t>
      </w:r>
      <w:r w:rsidR="00FF67ED">
        <w:rPr>
          <w:sz w:val="24"/>
          <w:szCs w:val="24"/>
        </w:rPr>
        <w:t>:</w:t>
      </w:r>
      <w:proofErr w:type="gramEnd"/>
      <w:r w:rsidR="00FF67ED">
        <w:rPr>
          <w:sz w:val="24"/>
          <w:szCs w:val="24"/>
        </w:rPr>
        <w:t xml:space="preserve"> labels must</w:t>
      </w:r>
      <w:r w:rsidR="009837B3">
        <w:rPr>
          <w:sz w:val="24"/>
          <w:szCs w:val="24"/>
        </w:rPr>
        <w:t xml:space="preserve"> be used</w:t>
      </w:r>
      <w:r w:rsidR="00FF67ED">
        <w:rPr>
          <w:sz w:val="24"/>
          <w:szCs w:val="24"/>
        </w:rPr>
        <w:t xml:space="preserve"> (directly or indirectly)</w:t>
      </w:r>
      <w:r w:rsidR="009837B3">
        <w:rPr>
          <w:sz w:val="24"/>
          <w:szCs w:val="24"/>
        </w:rPr>
        <w:t xml:space="preserve"> in the United States, and that the certification </w:t>
      </w:r>
      <w:r w:rsidR="00FF67ED">
        <w:rPr>
          <w:sz w:val="24"/>
          <w:szCs w:val="24"/>
        </w:rPr>
        <w:t>protocol</w:t>
      </w:r>
      <w:r w:rsidR="009837B3">
        <w:rPr>
          <w:sz w:val="24"/>
          <w:szCs w:val="24"/>
        </w:rPr>
        <w:t xml:space="preserve"> must reference the framework of “Integrated Pest Management” in all, 2</w:t>
      </w:r>
      <w:r w:rsidR="00681BA3">
        <w:rPr>
          <w:sz w:val="24"/>
          <w:szCs w:val="24"/>
        </w:rPr>
        <w:t>0</w:t>
      </w:r>
      <w:r w:rsidR="009837B3">
        <w:rPr>
          <w:sz w:val="24"/>
          <w:szCs w:val="24"/>
        </w:rPr>
        <w:t xml:space="preserve"> certification programs were identified (Table 1). The certification protocols for these programs were inspected line by line and the criteria related to IPM were coded and categorized. Because some certifications included requirements relating to worker safety in handling pesticides under the rubric of IPM, these types of requirements were included for all certifications. </w:t>
      </w:r>
    </w:p>
    <w:p w14:paraId="3920B60D" w14:textId="77777777" w:rsidR="009837B3" w:rsidRDefault="009837B3" w:rsidP="009837B3">
      <w:pPr>
        <w:rPr>
          <w:sz w:val="24"/>
          <w:szCs w:val="24"/>
        </w:rPr>
      </w:pPr>
    </w:p>
    <w:p w14:paraId="45A529F3" w14:textId="77777777" w:rsidR="000668DA" w:rsidRDefault="000668DA" w:rsidP="009837B3">
      <w:pPr>
        <w:rPr>
          <w:b/>
          <w:bCs/>
          <w:sz w:val="24"/>
          <w:szCs w:val="24"/>
        </w:rPr>
      </w:pPr>
      <w:r>
        <w:rPr>
          <w:b/>
          <w:bCs/>
          <w:sz w:val="24"/>
          <w:szCs w:val="24"/>
        </w:rPr>
        <w:t>Results:</w:t>
      </w:r>
    </w:p>
    <w:p w14:paraId="68AC4874" w14:textId="336BB7A7" w:rsidR="00A67270" w:rsidRDefault="009837B3" w:rsidP="009837B3">
      <w:pPr>
        <w:rPr>
          <w:b/>
          <w:bCs/>
          <w:sz w:val="24"/>
          <w:szCs w:val="24"/>
        </w:rPr>
      </w:pPr>
      <w:r>
        <w:rPr>
          <w:sz w:val="24"/>
          <w:szCs w:val="24"/>
        </w:rPr>
        <w:lastRenderedPageBreak/>
        <w:t xml:space="preserve"> </w:t>
      </w:r>
      <w:r w:rsidR="00313ED7">
        <w:rPr>
          <w:b/>
          <w:bCs/>
          <w:sz w:val="24"/>
          <w:szCs w:val="24"/>
        </w:rPr>
        <w:t>Sample Description:</w:t>
      </w:r>
    </w:p>
    <w:p w14:paraId="467159EF" w14:textId="799DA0C8" w:rsidR="00313ED7" w:rsidRDefault="00313ED7" w:rsidP="009837B3">
      <w:pPr>
        <w:rPr>
          <w:b/>
          <w:bCs/>
          <w:sz w:val="24"/>
          <w:szCs w:val="24"/>
        </w:rPr>
      </w:pPr>
      <w:r>
        <w:rPr>
          <w:b/>
          <w:bCs/>
          <w:noProof/>
        </w:rPr>
        <w:drawing>
          <wp:inline distT="0" distB="0" distL="0" distR="0" wp14:anchorId="72DB6D2A" wp14:editId="7E14A8D3">
            <wp:extent cx="5943600" cy="300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04820"/>
                    </a:xfrm>
                    <a:prstGeom prst="rect">
                      <a:avLst/>
                    </a:prstGeom>
                    <a:noFill/>
                    <a:ln>
                      <a:noFill/>
                    </a:ln>
                  </pic:spPr>
                </pic:pic>
              </a:graphicData>
            </a:graphic>
          </wp:inline>
        </w:drawing>
      </w:r>
    </w:p>
    <w:p w14:paraId="2F2E1BDB" w14:textId="3537BD16" w:rsidR="00313ED7" w:rsidRDefault="00313ED7" w:rsidP="009837B3">
      <w:r>
        <w:rPr>
          <w:b/>
          <w:bCs/>
          <w:sz w:val="24"/>
          <w:szCs w:val="24"/>
        </w:rPr>
        <w:tab/>
      </w:r>
      <w:r>
        <w:t xml:space="preserve">The scope of certifications </w:t>
      </w:r>
      <w:proofErr w:type="gramStart"/>
      <w:r>
        <w:t>are</w:t>
      </w:r>
      <w:proofErr w:type="gramEnd"/>
      <w:r>
        <w:t xml:space="preserve"> categorized across two dimensions, geographic and commodity group. Geographically, certifications were either for all areas within the United States, domestic but confined to a particular region, or focused on producers in the global south. In commodity scope, certifications were either for a single commodity/commodity group or for a wide range of commodities. Of the six possible combinations, only 4 were represented, there were no regionally specific multi-commodity standards and no domestic nationally applicable standards for a single commodity group. </w:t>
      </w:r>
    </w:p>
    <w:p w14:paraId="365DC8D6" w14:textId="46EE9D66" w:rsidR="00313ED7" w:rsidRDefault="00313ED7" w:rsidP="009837B3"/>
    <w:p w14:paraId="57642CAE" w14:textId="53A96732" w:rsidR="00313ED7" w:rsidRDefault="00313ED7" w:rsidP="009837B3">
      <w:pPr>
        <w:rPr>
          <w:b/>
          <w:bCs/>
        </w:rPr>
      </w:pPr>
      <w:r>
        <w:tab/>
      </w:r>
      <w:r w:rsidRPr="007B6FA8">
        <w:rPr>
          <w:b/>
          <w:bCs/>
        </w:rPr>
        <w:t>Overall certification type</w:t>
      </w:r>
      <w:r w:rsidR="007B6FA8">
        <w:rPr>
          <w:b/>
          <w:bCs/>
        </w:rPr>
        <w:t>:</w:t>
      </w:r>
    </w:p>
    <w:p w14:paraId="24E8C6AD" w14:textId="343E625C" w:rsidR="007B6FA8" w:rsidRPr="007B6FA8" w:rsidRDefault="007B6FA8" w:rsidP="009837B3">
      <w:pPr>
        <w:rPr>
          <w:b/>
          <w:bCs/>
        </w:rPr>
      </w:pPr>
      <w:r>
        <w:rPr>
          <w:b/>
          <w:bCs/>
        </w:rPr>
        <w:t>Certification Structure:</w:t>
      </w:r>
    </w:p>
    <w:p w14:paraId="377E7FCF" w14:textId="4C976F25" w:rsidR="00313ED7" w:rsidRDefault="007B6FA8" w:rsidP="009837B3">
      <w:r>
        <w:tab/>
      </w:r>
      <w:r w:rsidR="00B85995">
        <w:t xml:space="preserve">The criteria used within certifications were coded as being ‘affirmative requirements’, which farms must meet all of to pass, “scorecard criteria” where farms must earn a certain number of points to pass, and ‘improvement criteria’ which are scorecards where the farm’s performance must increase over time. </w:t>
      </w:r>
      <w:r w:rsidR="0017415F">
        <w:t xml:space="preserve">6 standards were coded as “primarily scorecard” with relation to IPM, 5 were coded as solely requirement-based, and 8 were “mixed” between requirements and scorecards and/or improvement. </w:t>
      </w:r>
    </w:p>
    <w:p w14:paraId="688FACD0" w14:textId="6AE5A79D" w:rsidR="0017415F" w:rsidRDefault="0017415F" w:rsidP="009837B3"/>
    <w:p w14:paraId="075C1C23" w14:textId="73C6FE01" w:rsidR="0017415F" w:rsidRDefault="0017415F" w:rsidP="009837B3"/>
    <w:p w14:paraId="340B72C9" w14:textId="4608C0BF" w:rsidR="008F359D" w:rsidRDefault="008F359D" w:rsidP="009837B3">
      <w:pPr>
        <w:rPr>
          <w:b/>
          <w:bCs/>
        </w:rPr>
      </w:pPr>
      <w:r>
        <w:rPr>
          <w:b/>
          <w:bCs/>
        </w:rPr>
        <w:t>Summary:</w:t>
      </w:r>
    </w:p>
    <w:p w14:paraId="58D73F25" w14:textId="45EDDA86" w:rsidR="008F359D" w:rsidRDefault="008F359D" w:rsidP="009837B3">
      <w:pPr>
        <w:rPr>
          <w:b/>
          <w:bCs/>
        </w:rPr>
      </w:pPr>
      <w:r>
        <w:rPr>
          <w:b/>
          <w:bCs/>
        </w:rPr>
        <w:tab/>
      </w:r>
      <w:r w:rsidRPr="00164ED4">
        <w:rPr>
          <w:b/>
          <w:bCs/>
        </w:rPr>
        <w:t>Commonalities between certifications</w:t>
      </w:r>
      <w:r w:rsidR="00164ED4">
        <w:rPr>
          <w:b/>
          <w:bCs/>
        </w:rPr>
        <w:t>:</w:t>
      </w:r>
    </w:p>
    <w:p w14:paraId="37FCEC64" w14:textId="2D0A52E7" w:rsidR="008F359D" w:rsidRDefault="008F359D" w:rsidP="009837B3"/>
    <w:p w14:paraId="001B388C" w14:textId="2F54F10F" w:rsidR="00FF67ED" w:rsidRDefault="00FF67ED" w:rsidP="009837B3"/>
    <w:p w14:paraId="68B087A4" w14:textId="55C7D907" w:rsidR="00FF67ED" w:rsidRPr="00FF67ED" w:rsidRDefault="00FF67ED" w:rsidP="009837B3">
      <w:pPr>
        <w:rPr>
          <w:b/>
          <w:bCs/>
        </w:rPr>
      </w:pPr>
      <w:r>
        <w:rPr>
          <w:b/>
          <w:bCs/>
        </w:rPr>
        <w:lastRenderedPageBreak/>
        <w:t>Key Differences in Certifications:</w:t>
      </w:r>
    </w:p>
    <w:bookmarkEnd w:id="1"/>
    <w:p w14:paraId="3458295E" w14:textId="77777777" w:rsidR="00313ED7" w:rsidRPr="00313ED7" w:rsidRDefault="00313ED7" w:rsidP="009837B3"/>
    <w:sectPr w:rsidR="00313ED7" w:rsidRPr="00313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727354"/>
    <w:multiLevelType w:val="hybridMultilevel"/>
    <w:tmpl w:val="1A848EBA"/>
    <w:lvl w:ilvl="0" w:tplc="4C4C7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F37"/>
    <w:rsid w:val="00012537"/>
    <w:rsid w:val="000668DA"/>
    <w:rsid w:val="00164ED4"/>
    <w:rsid w:val="0017415F"/>
    <w:rsid w:val="00197E8D"/>
    <w:rsid w:val="001A1BE8"/>
    <w:rsid w:val="00313ED7"/>
    <w:rsid w:val="00340768"/>
    <w:rsid w:val="003D40F9"/>
    <w:rsid w:val="00452A6E"/>
    <w:rsid w:val="00493F64"/>
    <w:rsid w:val="00556F37"/>
    <w:rsid w:val="00611364"/>
    <w:rsid w:val="00681BA3"/>
    <w:rsid w:val="00702C9C"/>
    <w:rsid w:val="007B6FA8"/>
    <w:rsid w:val="008E22BA"/>
    <w:rsid w:val="008F359D"/>
    <w:rsid w:val="009837B3"/>
    <w:rsid w:val="00A67270"/>
    <w:rsid w:val="00B821DF"/>
    <w:rsid w:val="00B85995"/>
    <w:rsid w:val="00C675CB"/>
    <w:rsid w:val="00C9611F"/>
    <w:rsid w:val="00D20E24"/>
    <w:rsid w:val="00DB3479"/>
    <w:rsid w:val="00DE592F"/>
    <w:rsid w:val="00FB7D9B"/>
    <w:rsid w:val="00FF6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B07D"/>
  <w15:chartTrackingRefBased/>
  <w15:docId w15:val="{DEB7C7F4-0174-41C2-8189-92C206E3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537"/>
    <w:pPr>
      <w:ind w:left="720"/>
      <w:contextualSpacing/>
    </w:pPr>
  </w:style>
  <w:style w:type="paragraph" w:styleId="BalloonText">
    <w:name w:val="Balloon Text"/>
    <w:basedOn w:val="Normal"/>
    <w:link w:val="BalloonTextChar"/>
    <w:uiPriority w:val="99"/>
    <w:semiHidden/>
    <w:unhideWhenUsed/>
    <w:rsid w:val="00C675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75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9939</TotalTime>
  <Pages>4</Pages>
  <Words>2421</Words>
  <Characters>13802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dube</dc:creator>
  <cp:keywords/>
  <dc:description/>
  <cp:lastModifiedBy>benjamin dube</cp:lastModifiedBy>
  <cp:revision>5</cp:revision>
  <dcterms:created xsi:type="dcterms:W3CDTF">2020-11-10T20:44:00Z</dcterms:created>
  <dcterms:modified xsi:type="dcterms:W3CDTF">2021-03-02T00:12:00Z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id="yfhpCLy2"/&gt;&lt;style id="http://www.zotero.org/styles/apa" locale="en-US" hasBibliography="1" bibliographyStyleHasBeenSet="0"/&gt;&lt;prefs&gt;&lt;pref name="fieldType" value="Field"/&gt;&lt;/prefs&gt;&lt;/data&gt;</vt:lpwstr>
  </property>
</Properties>
</file>