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9019C" w14:textId="2EF0757C" w:rsidR="00682003" w:rsidRDefault="00380A0F"/>
    <w:p w14:paraId="309104C5" w14:textId="6C5D884B" w:rsidR="00F96395" w:rsidRDefault="00F96395">
      <w:r>
        <w:tab/>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(SRI)</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6F9E9367"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Scientific inquiry can become divided between researchers who study a strategy as a “recipe”</w:t>
      </w:r>
      <w:r w:rsidR="003B6BA9">
        <w:t xml:space="preserve"> through controlled trials</w:t>
      </w:r>
      <w:r w:rsidR="00D73C1F">
        <w:t xml:space="preserve"> </w:t>
      </w:r>
      <w:r w:rsidR="003B6BA9">
        <w:t xml:space="preserve">and those view it as a flexible set of principles to be examined through case studies of implementation on real farms. These divides are particularly large regarding Holistic Management Planned Grazing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System of Rice Intensification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768B6AA6" w14:textId="372C43C6" w:rsidR="00C503C4" w:rsidRDefault="003B6BA9">
      <w:r>
        <w:tab/>
        <w:t xml:space="preserve">Ecological certification of farming systems, which requires Boolean classification, has become increasingly important to food systems governance. </w:t>
      </w:r>
    </w:p>
    <w:p w14:paraId="3830D3EE" w14:textId="443F1280" w:rsidR="00C503C4" w:rsidRDefault="00C503C4"/>
    <w:p w14:paraId="42B58574" w14:textId="48CD7B85" w:rsidR="00C503C4" w:rsidRDefault="00C503C4"/>
    <w:p w14:paraId="0E0888FE" w14:textId="0D355A42" w:rsidR="00C503C4" w:rsidRDefault="00C503C4" w:rsidP="00C503C4">
      <w:pPr>
        <w:ind w:firstLine="720"/>
      </w:pPr>
      <w:r>
        <w:rPr>
          <w:sz w:val="24"/>
          <w:szCs w:val="24"/>
        </w:rPr>
        <w:t xml:space="preserve">Integrated Pest Management (IPM) is one of the most prominent frameworks for increasing eco-efficiency in agricultural systems. First formulated in ____, IPM is now promoted by a wide array of organizations throughout the world as a means of increasing yields while reducing harms from agrochemical use and ensuring the sustainability of food supplies. Like other </w:t>
      </w:r>
      <w:r w:rsidR="009F3212">
        <w:rPr>
          <w:sz w:val="24"/>
          <w:szCs w:val="24"/>
        </w:rPr>
        <w:t>strategies</w:t>
      </w:r>
      <w:r>
        <w:rPr>
          <w:sz w:val="24"/>
          <w:szCs w:val="24"/>
        </w:rPr>
        <w:t>, IPM is notoriously difficult to define</w:t>
      </w:r>
      <w:r w:rsidR="009F3212">
        <w:rPr>
          <w:sz w:val="24"/>
          <w:szCs w:val="24"/>
        </w:rPr>
        <w:t xml:space="preserve"> </w:t>
      </w:r>
      <w:r w:rsidR="009F3212">
        <w:rPr>
          <w:sz w:val="24"/>
          <w:szCs w:val="24"/>
        </w:rPr>
        <w:fldChar w:fldCharType="begin"/>
      </w:r>
      <w:r w:rsidR="009F3212">
        <w:rPr>
          <w:sz w:val="24"/>
          <w:szCs w:val="24"/>
        </w:rPr>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Pr>
          <w:sz w:val="24"/>
          <w:szCs w:val="24"/>
        </w:rPr>
        <w:fldChar w:fldCharType="separate"/>
      </w:r>
      <w:r w:rsidR="009F3212" w:rsidRPr="009F3212">
        <w:rPr>
          <w:rFonts w:ascii="Calibri" w:hAnsi="Calibri" w:cs="Calibri"/>
          <w:sz w:val="24"/>
        </w:rPr>
        <w:t>(Bajwa &amp; Kogan, 1996)</w:t>
      </w:r>
      <w:r w:rsidR="009F3212">
        <w:rPr>
          <w:sz w:val="24"/>
          <w:szCs w:val="24"/>
        </w:rPr>
        <w:fldChar w:fldCharType="end"/>
      </w:r>
      <w:r>
        <w:rPr>
          <w:sz w:val="24"/>
          <w:szCs w:val="24"/>
        </w:rPr>
        <w:t xml:space="preserve">, </w:t>
      </w:r>
      <w:r w:rsidR="009F3212">
        <w:rPr>
          <w:sz w:val="24"/>
          <w:szCs w:val="24"/>
        </w:rPr>
        <w:t>alternately referred to as a “</w:t>
      </w:r>
      <w:r w:rsidR="00446480">
        <w:rPr>
          <w:sz w:val="24"/>
          <w:szCs w:val="24"/>
        </w:rPr>
        <w:t>philosophy</w:t>
      </w:r>
      <w:r w:rsidR="009F3212">
        <w:rPr>
          <w:sz w:val="24"/>
          <w:szCs w:val="24"/>
        </w:rPr>
        <w:t>”</w:t>
      </w:r>
      <w:r w:rsidR="00446480">
        <w:rPr>
          <w:sz w:val="24"/>
          <w:szCs w:val="24"/>
        </w:rPr>
        <w:t xml:space="preserve"> </w:t>
      </w:r>
      <w:r w:rsidR="00446480">
        <w:rPr>
          <w:sz w:val="24"/>
          <w:szCs w:val="24"/>
        </w:rPr>
        <w:fldChar w:fldCharType="begin"/>
      </w:r>
      <w:r w:rsidR="00446480">
        <w:rPr>
          <w:sz w:val="24"/>
          <w:szCs w:val="24"/>
        </w:rPr>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Pr>
          <w:sz w:val="24"/>
          <w:szCs w:val="24"/>
        </w:rPr>
        <w:fldChar w:fldCharType="separate"/>
      </w:r>
      <w:r w:rsidR="00446480" w:rsidRPr="00446480">
        <w:rPr>
          <w:rFonts w:ascii="Calibri" w:hAnsi="Calibri" w:cs="Calibri"/>
          <w:sz w:val="24"/>
        </w:rPr>
        <w:t>(Sappington, 2014)</w:t>
      </w:r>
      <w:r w:rsidR="00446480">
        <w:rPr>
          <w:sz w:val="24"/>
          <w:szCs w:val="24"/>
        </w:rPr>
        <w:fldChar w:fldCharType="end"/>
      </w:r>
      <w:r w:rsidR="00446480">
        <w:rPr>
          <w:sz w:val="24"/>
          <w:szCs w:val="24"/>
        </w:rPr>
        <w:t xml:space="preserve">, </w:t>
      </w:r>
      <w:r w:rsidR="009F3212">
        <w:rPr>
          <w:sz w:val="24"/>
          <w:szCs w:val="24"/>
        </w:rPr>
        <w:t xml:space="preserve"> “a way of thinking” </w:t>
      </w:r>
      <w:r w:rsidR="009F3212">
        <w:rPr>
          <w:sz w:val="24"/>
          <w:szCs w:val="24"/>
        </w:rPr>
        <w:fldChar w:fldCharType="begin"/>
      </w:r>
      <w:r w:rsidR="009F3212">
        <w:rPr>
          <w:sz w:val="24"/>
          <w:szCs w:val="24"/>
        </w:rPr>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Pr>
          <w:sz w:val="24"/>
          <w:szCs w:val="24"/>
        </w:rPr>
        <w:fldChar w:fldCharType="separate"/>
      </w:r>
      <w:r w:rsidR="009F3212" w:rsidRPr="009F3212">
        <w:rPr>
          <w:rFonts w:ascii="Calibri" w:hAnsi="Calibri" w:cs="Calibri"/>
          <w:sz w:val="24"/>
        </w:rPr>
        <w:t>(Maupin &amp; Norton, 2010)</w:t>
      </w:r>
      <w:r w:rsidR="009F3212">
        <w:rPr>
          <w:sz w:val="24"/>
          <w:szCs w:val="24"/>
        </w:rPr>
        <w:fldChar w:fldCharType="end"/>
      </w:r>
      <w:r w:rsidR="009F3212">
        <w:rPr>
          <w:sz w:val="24"/>
          <w:szCs w:val="24"/>
        </w:rPr>
        <w:t xml:space="preserve"> or a</w:t>
      </w:r>
      <w:r w:rsidR="00DC2C16">
        <w:rPr>
          <w:sz w:val="24"/>
          <w:szCs w:val="24"/>
        </w:rPr>
        <w:t xml:space="preserve"> ”decision-support system” </w:t>
      </w:r>
      <w:r w:rsidR="00DC2C16">
        <w:rPr>
          <w:sz w:val="24"/>
          <w:szCs w:val="24"/>
        </w:rPr>
        <w:fldChar w:fldCharType="begin"/>
      </w:r>
      <w:r w:rsidR="00DC2C16">
        <w:rPr>
          <w:sz w:val="24"/>
          <w:szCs w:val="24"/>
        </w:rPr>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Pr>
          <w:sz w:val="24"/>
          <w:szCs w:val="24"/>
        </w:rPr>
        <w:fldChar w:fldCharType="separate"/>
      </w:r>
      <w:r w:rsidR="00DC2C16" w:rsidRPr="00DC2C16">
        <w:rPr>
          <w:rFonts w:ascii="Calibri" w:hAnsi="Calibri" w:cs="Calibri"/>
          <w:sz w:val="24"/>
        </w:rPr>
        <w:t>(Kogan, 1998)</w:t>
      </w:r>
      <w:r w:rsidR="00DC2C16">
        <w:rPr>
          <w:sz w:val="24"/>
          <w:szCs w:val="24"/>
        </w:rPr>
        <w:fldChar w:fldCharType="end"/>
      </w:r>
      <w:r w:rsidR="006B6B39">
        <w:rPr>
          <w:sz w:val="24"/>
          <w:szCs w:val="24"/>
        </w:rPr>
        <w:t>.</w:t>
      </w:r>
      <w:r w:rsidR="009F3212">
        <w:rPr>
          <w:sz w:val="24"/>
          <w:szCs w:val="24"/>
        </w:rPr>
        <w:t xml:space="preserve"> Difficulties in Boolean classification of IPM </w:t>
      </w:r>
      <w:r w:rsidR="00DC2C16">
        <w:rPr>
          <w:sz w:val="24"/>
          <w:szCs w:val="24"/>
        </w:rPr>
        <w:t>make it harder to</w:t>
      </w:r>
      <w:r w:rsidR="009F3212">
        <w:rPr>
          <w:sz w:val="24"/>
          <w:szCs w:val="24"/>
        </w:rPr>
        <w:t xml:space="preserve"> measur</w:t>
      </w:r>
      <w:r w:rsidR="00DC2C16">
        <w:rPr>
          <w:sz w:val="24"/>
          <w:szCs w:val="24"/>
        </w:rPr>
        <w:t>e</w:t>
      </w:r>
      <w:r w:rsidR="009F3212">
        <w:rPr>
          <w:sz w:val="24"/>
          <w:szCs w:val="24"/>
        </w:rPr>
        <w:t xml:space="preserve"> its adoption and impact </w:t>
      </w:r>
      <w:r w:rsidR="009F3212">
        <w:rPr>
          <w:sz w:val="24"/>
          <w:szCs w:val="24"/>
        </w:rPr>
        <w:fldChar w:fldCharType="begin"/>
      </w:r>
      <w:r w:rsidR="006B6B39">
        <w:rPr>
          <w:sz w:val="24"/>
          <w:szCs w:val="24"/>
        </w:rPr>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Pr>
          <w:sz w:val="24"/>
          <w:szCs w:val="24"/>
        </w:rPr>
        <w:fldChar w:fldCharType="separate"/>
      </w:r>
      <w:r w:rsidR="006B6B39" w:rsidRPr="006B6B39">
        <w:rPr>
          <w:rFonts w:ascii="Calibri" w:hAnsi="Calibri" w:cs="Calibri"/>
          <w:sz w:val="24"/>
        </w:rPr>
        <w:t>(Castle &amp; Naranjo, 2009; Ehler, 2006; Maupin &amp; Norton, 2010; Sappington, 2014; Zalucki et al., 2009)</w:t>
      </w:r>
      <w:r w:rsidR="009F3212">
        <w:rPr>
          <w:sz w:val="24"/>
          <w:szCs w:val="24"/>
        </w:rPr>
        <w:fldChar w:fldCharType="end"/>
      </w:r>
      <w:r w:rsidR="009F3212">
        <w:rPr>
          <w:sz w:val="24"/>
          <w:szCs w:val="24"/>
        </w:rPr>
        <w:t xml:space="preserve">. </w:t>
      </w:r>
    </w:p>
    <w:p w14:paraId="2D67EC26" w14:textId="3AA9787C" w:rsidR="00C503C4" w:rsidRDefault="009F3212">
      <w:r>
        <w:tab/>
      </w:r>
    </w:p>
    <w:p w14:paraId="1280028B" w14:textId="77777777" w:rsidR="006B6B39" w:rsidRDefault="006B6B39"/>
    <w:p w14:paraId="1647890F" w14:textId="12DFD393" w:rsidR="009F3212" w:rsidRDefault="006B6B39" w:rsidP="006B6B39">
      <w:pPr>
        <w:ind w:firstLine="720"/>
        <w:rPr>
          <w:sz w:val="24"/>
          <w:szCs w:val="24"/>
        </w:rPr>
      </w:pPr>
      <w:r>
        <w:rPr>
          <w:sz w:val="24"/>
          <w:szCs w:val="24"/>
        </w:rPr>
        <w:t>As a contested concept that nonetheless enjoys near-consensus support</w:t>
      </w:r>
      <w:r w:rsidR="009F3212">
        <w:rPr>
          <w:sz w:val="24"/>
          <w:szCs w:val="24"/>
        </w:rPr>
        <w:t xml:space="preserve"> There is a wide range of diversity of programs- certifications differ in their geographic scope, from small regions to international, and in their crop </w:t>
      </w:r>
      <w:proofErr w:type="gramStart"/>
      <w:r w:rsidR="009F3212">
        <w:rPr>
          <w:sz w:val="24"/>
          <w:szCs w:val="24"/>
        </w:rPr>
        <w:t>scope;</w:t>
      </w:r>
      <w:proofErr w:type="gramEnd"/>
      <w:r w:rsidR="009F3212">
        <w:rPr>
          <w:sz w:val="24"/>
          <w:szCs w:val="24"/>
        </w:rPr>
        <w:t xml:space="preserve"> from single commodity to any food commodity. Likewise, these programs differ in their origin and intentions, they may come from environmental or development NGOs, university extension services or some combination of the </w:t>
      </w:r>
      <w:r w:rsidR="009F3212">
        <w:rPr>
          <w:sz w:val="24"/>
          <w:szCs w:val="24"/>
        </w:rPr>
        <w:lastRenderedPageBreak/>
        <w:t>3. Examining this set of certifications can give insight into the universe of possibilities for certifying and delineating alternative agriculture systems.</w:t>
      </w:r>
    </w:p>
    <w:p w14:paraId="5161CBEE" w14:textId="77777777" w:rsidR="009F3212" w:rsidRDefault="009F3212" w:rsidP="009F3212">
      <w:pPr>
        <w:rPr>
          <w:b/>
          <w:bCs/>
          <w:sz w:val="24"/>
          <w:szCs w:val="24"/>
        </w:rPr>
      </w:pPr>
      <w:r>
        <w:rPr>
          <w:b/>
          <w:bCs/>
          <w:sz w:val="24"/>
          <w:szCs w:val="24"/>
        </w:rPr>
        <w:t xml:space="preserve">Methods: </w:t>
      </w:r>
    </w:p>
    <w:p w14:paraId="4199081F" w14:textId="77777777" w:rsidR="0021226D" w:rsidRDefault="009F3212" w:rsidP="0021226D">
      <w:pPr>
        <w:ind w:firstLine="720"/>
        <w:rPr>
          <w:sz w:val="24"/>
          <w:szCs w:val="24"/>
        </w:rPr>
      </w:pPr>
      <w:r>
        <w:rPr>
          <w:sz w:val="24"/>
          <w:szCs w:val="24"/>
        </w:rPr>
        <w:t xml:space="preserve">A set of eco-labels for foods sold in the United States were assembled from the ecolabel index (cite). Inclusion criteria </w:t>
      </w:r>
      <w:proofErr w:type="gramStart"/>
      <w:r>
        <w:rPr>
          <w:sz w:val="24"/>
          <w:szCs w:val="24"/>
        </w:rPr>
        <w:t>were:</w:t>
      </w:r>
      <w:proofErr w:type="gramEnd"/>
      <w:r>
        <w:rPr>
          <w:sz w:val="24"/>
          <w:szCs w:val="24"/>
        </w:rPr>
        <w:t xml:space="preserve"> labels must be used (directly or indirectly) in the United States, and that the certification protocol must reference the framework of “Integrated Pest Management” in all, 20 certification programs were identified (Table 1). The certification protocols for these programs were inspected line by line and the criteria related to IPM were coded and categorized.</w:t>
      </w:r>
      <w:r w:rsidR="0021226D">
        <w:rPr>
          <w:sz w:val="24"/>
          <w:szCs w:val="24"/>
        </w:rPr>
        <w:t xml:space="preserve"> Because some certifications included requirements relating to worker safety in handling pesticides under the rubric of IPM, these types of requirements were included for all certifications. </w:t>
      </w:r>
    </w:p>
    <w:p w14:paraId="7A21E6F9" w14:textId="77777777" w:rsidR="0021226D" w:rsidRDefault="0021226D" w:rsidP="0021226D">
      <w:pPr>
        <w:ind w:firstLine="720"/>
        <w:rPr>
          <w:sz w:val="24"/>
          <w:szCs w:val="24"/>
        </w:rPr>
      </w:pPr>
    </w:p>
    <w:p w14:paraId="3E9B5FC3" w14:textId="26D951BF" w:rsidR="009F3212" w:rsidRDefault="0021226D" w:rsidP="0021226D">
      <w:pPr>
        <w:ind w:firstLine="720"/>
        <w:rPr>
          <w:sz w:val="24"/>
          <w:szCs w:val="24"/>
        </w:rPr>
      </w:pPr>
      <w:r>
        <w:rPr>
          <w:sz w:val="24"/>
          <w:szCs w:val="24"/>
        </w:rPr>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49DD5F0D" w14:textId="77777777" w:rsidR="0021226D" w:rsidRDefault="0021226D" w:rsidP="009F3212">
      <w:pPr>
        <w:rPr>
          <w:sz w:val="24"/>
          <w:szCs w:val="24"/>
        </w:rPr>
      </w:pPr>
    </w:p>
    <w:p w14:paraId="69B5A15E" w14:textId="77777777" w:rsidR="009F3212" w:rsidRDefault="009F3212" w:rsidP="009F3212">
      <w:pPr>
        <w:rPr>
          <w:b/>
          <w:bCs/>
          <w:sz w:val="24"/>
          <w:szCs w:val="24"/>
        </w:rPr>
      </w:pPr>
      <w:r>
        <w:rPr>
          <w:b/>
          <w:bCs/>
          <w:sz w:val="24"/>
          <w:szCs w:val="24"/>
        </w:rPr>
        <w:t>Results:</w:t>
      </w:r>
    </w:p>
    <w:p w14:paraId="77FC71B4" w14:textId="77777777" w:rsidR="009F3212" w:rsidRDefault="009F3212" w:rsidP="009F3212">
      <w:pPr>
        <w:rPr>
          <w:b/>
          <w:bCs/>
          <w:sz w:val="24"/>
          <w:szCs w:val="24"/>
        </w:rPr>
      </w:pPr>
      <w:r>
        <w:rPr>
          <w:sz w:val="24"/>
          <w:szCs w:val="24"/>
        </w:rPr>
        <w:t xml:space="preserve"> </w:t>
      </w:r>
      <w:r>
        <w:rPr>
          <w:b/>
          <w:bCs/>
          <w:sz w:val="24"/>
          <w:szCs w:val="24"/>
        </w:rPr>
        <w:t>Sample Description:</w:t>
      </w:r>
    </w:p>
    <w:p w14:paraId="2AA30F70" w14:textId="77777777" w:rsidR="009F3212" w:rsidRDefault="009F3212" w:rsidP="009F3212">
      <w:pPr>
        <w:rPr>
          <w:b/>
          <w:bCs/>
          <w:sz w:val="24"/>
          <w:szCs w:val="24"/>
        </w:rPr>
      </w:pPr>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4C93F7B4" w14:textId="77777777" w:rsidR="009F3212" w:rsidRDefault="009F3212" w:rsidP="009F3212">
      <w:r>
        <w:rPr>
          <w:b/>
          <w:bCs/>
          <w:sz w:val="24"/>
          <w:szCs w:val="24"/>
        </w:rPr>
        <w:lastRenderedPageBreak/>
        <w:tab/>
      </w:r>
      <w:r>
        <w:t xml:space="preserve">The scope of certifications </w:t>
      </w:r>
      <w:proofErr w:type="gramStart"/>
      <w:r>
        <w:t>are</w:t>
      </w:r>
      <w:proofErr w:type="gramEnd"/>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 nationally applicable standards for a single commodity group. </w:t>
      </w:r>
    </w:p>
    <w:p w14:paraId="6392A12F" w14:textId="77777777" w:rsidR="009F3212" w:rsidRDefault="009F3212" w:rsidP="009F3212"/>
    <w:p w14:paraId="0B3E7E64" w14:textId="534795B4" w:rsidR="009F3212" w:rsidRDefault="009F3212" w:rsidP="009F3212"/>
    <w:p w14:paraId="49258C54" w14:textId="77777777" w:rsidR="00B16B95" w:rsidRDefault="00B16B95" w:rsidP="00B16B95">
      <w:pPr>
        <w:rPr>
          <w:b/>
          <w:bCs/>
        </w:rPr>
      </w:pPr>
      <w:r>
        <w:rPr>
          <w:b/>
          <w:bCs/>
        </w:rPr>
        <w:t>Results:</w:t>
      </w:r>
    </w:p>
    <w:p w14:paraId="7C46F4AD" w14:textId="77777777" w:rsidR="00B16B95" w:rsidRDefault="00B16B95"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77777777" w:rsidR="009F3212" w:rsidRDefault="009F3212" w:rsidP="009F3212"/>
    <w:p w14:paraId="60A9F4D3" w14:textId="3B5CA5AD" w:rsidR="009F3212" w:rsidRDefault="00DE6AB4" w:rsidP="009F3212">
      <w:pPr>
        <w:rPr>
          <w:b/>
          <w:bCs/>
        </w:rPr>
      </w:pPr>
      <w:r>
        <w:rPr>
          <w:b/>
          <w:bCs/>
        </w:rPr>
        <w:t>Differences Between Certification Clusters:</w:t>
      </w:r>
    </w:p>
    <w:p w14:paraId="6C4CBA75" w14:textId="05B2DD7D" w:rsidR="00DE6AB4" w:rsidRPr="00DE6AB4" w:rsidRDefault="00DE6AB4" w:rsidP="009F3212">
      <w:r>
        <w:tab/>
      </w:r>
    </w:p>
    <w:p w14:paraId="062A37FE" w14:textId="01A6CF74" w:rsidR="009F3212" w:rsidRDefault="009F3212" w:rsidP="00B872AB">
      <w:pPr>
        <w:rPr>
          <w:b/>
          <w:bCs/>
        </w:rPr>
      </w:pPr>
      <w:r>
        <w:rPr>
          <w:b/>
          <w:bCs/>
        </w:rPr>
        <w:tab/>
      </w:r>
    </w:p>
    <w:p w14:paraId="77714551" w14:textId="77777777" w:rsidR="0021226D" w:rsidRPr="00FF67ED" w:rsidRDefault="0021226D" w:rsidP="00B872AB">
      <w:pPr>
        <w:rPr>
          <w:b/>
          <w:bCs/>
        </w:rPr>
      </w:pP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89B6D0B" w:rsidR="00B16B95" w:rsidRPr="00B16B95" w:rsidRDefault="00C503C4">
      <w:pPr>
        <w:rPr>
          <w:rFonts w:eastAsiaTheme="minorEastAsia"/>
        </w:rPr>
      </w:pPr>
      <w:r>
        <w:tab/>
      </w:r>
      <w:r w:rsidR="008C0194">
        <w:t>Three certifications</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1F69F093" w:rsidR="00B16B95" w:rsidRP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cap. </w:t>
      </w:r>
    </w:p>
    <w:p w14:paraId="704810D5" w14:textId="4A3F3E4A" w:rsidR="00B16B95" w:rsidRDefault="00B16B95"/>
    <w:p w14:paraId="77457632" w14:textId="3ED449C9" w:rsidR="004C40B9" w:rsidRDefault="004C40B9"/>
    <w:p w14:paraId="711F73F7" w14:textId="77777777" w:rsidR="004C40B9" w:rsidRDefault="004C40B9"/>
    <w:p w14:paraId="2168C419" w14:textId="7C4EA620" w:rsidR="003B6BA9" w:rsidRDefault="003B6BA9">
      <w:r>
        <w:t xml:space="preserve"> </w:t>
      </w:r>
    </w:p>
    <w:p w14:paraId="2A838D54" w14:textId="6CA46742" w:rsidR="00CC25BE" w:rsidRDefault="00CC25BE">
      <w:pPr>
        <w:rPr>
          <w:b/>
          <w:bCs/>
        </w:rPr>
      </w:pPr>
      <w:r>
        <w:rPr>
          <w:b/>
          <w:bCs/>
        </w:rPr>
        <w:t xml:space="preserve">Discussion: </w:t>
      </w:r>
    </w:p>
    <w:p w14:paraId="7A1A523F" w14:textId="59031AEC" w:rsidR="00CC25BE" w:rsidRDefault="00CC25BE">
      <w:r>
        <w:tab/>
        <w:t xml:space="preserve"> </w:t>
      </w:r>
    </w:p>
    <w:p w14:paraId="6F69A7B0" w14:textId="596E6E30" w:rsidR="00694E3D" w:rsidRDefault="000D093F" w:rsidP="0067537A">
      <w:pPr>
        <w:ind w:firstLine="720"/>
      </w:pPr>
      <w:r>
        <w:t>Single-region single-commodity certifications stand out as different from other groupings. They include</w:t>
      </w:r>
      <w:r w:rsidR="00F01D6E">
        <w:t xml:space="preserve"> the most criteria overall,</w:t>
      </w:r>
      <w:r>
        <w:t xml:space="preserve"> more monitoring criteria, including action thresholds, more likely to promote MOA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F01D6E">
        <w:t xml:space="preserve"> These differences likely reflect two factors. First, standards for a specific crop in a specific agroecological zone can be more exhaustive and specific. Several of the standards in this group contained monitoring and/or threshold standards or suggestions for multiple different insects and diseases. Comprehensive description of monitoring and threshold techniques for “any</w:t>
      </w:r>
      <w:r w:rsidR="0067537A">
        <w:t xml:space="preserve"> pest, any</w:t>
      </w:r>
      <w:r w:rsidR="00F01D6E">
        <w:t xml:space="preserve"> crop, anywhere” </w:t>
      </w:r>
      <w:r w:rsidR="0067537A">
        <w:t xml:space="preserve">is obviously not possible within a single guidance document.  </w:t>
      </w:r>
    </w:p>
    <w:p w14:paraId="3200D541" w14:textId="6999C318" w:rsidR="00694E3D" w:rsidRDefault="00F01D6E" w:rsidP="00CC25BE">
      <w:pPr>
        <w:ind w:firstLine="720"/>
      </w:pPr>
      <w:r>
        <w:t xml:space="preserve">Additionally, these differences in standards reflect the collective-action </w:t>
      </w:r>
      <w:r w:rsidR="00694E3D">
        <w:t xml:space="preserve">and public-goods </w:t>
      </w:r>
      <w:r w:rsidR="00694E3D">
        <w:t>aspects of IPM</w:t>
      </w:r>
      <w:r w:rsidR="00694E3D">
        <w:t xml:space="preserve">.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xml:space="preserve">; individual efforts in these areas can </w:t>
      </w:r>
      <w:r w:rsidR="00DA6078">
        <w:t>have high positive externalities within the community of crop-producers, creating the potential for free-rider problems</w:t>
      </w:r>
      <w:r w:rsidR="00DA6078">
        <w:t xml:space="preserve">.  As such certification provides the opportunity not just for farmers to differentiate their products to consumers, but to coerce each other to undertake pro-social actions. </w:t>
      </w:r>
      <w:r w:rsidR="00DA6078">
        <w:t xml:space="preserve">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 xml:space="preserve">(Bottrell &amp; </w:t>
      </w:r>
      <w:proofErr w:type="spellStart"/>
      <w:r w:rsidR="00DA6078" w:rsidRPr="00B872AB">
        <w:rPr>
          <w:rFonts w:ascii="Calibri" w:hAnsi="Calibri" w:cs="Calibri"/>
        </w:rPr>
        <w:t>Schoenly</w:t>
      </w:r>
      <w:proofErr w:type="spellEnd"/>
      <w:r w:rsidR="00DA6078" w:rsidRPr="00B872AB">
        <w:rPr>
          <w:rFonts w:ascii="Calibri" w:hAnsi="Calibri" w:cs="Calibri"/>
        </w:rPr>
        <w:t xml:space="preserve">, 2018; </w:t>
      </w:r>
      <w:proofErr w:type="spellStart"/>
      <w:r w:rsidR="00DA6078" w:rsidRPr="00B872AB">
        <w:rPr>
          <w:rFonts w:ascii="Calibri" w:hAnsi="Calibri" w:cs="Calibri"/>
        </w:rPr>
        <w:t>Parsa</w:t>
      </w:r>
      <w:proofErr w:type="spellEnd"/>
      <w:r w:rsidR="00DA6078" w:rsidRPr="00B872AB">
        <w:rPr>
          <w:rFonts w:ascii="Calibri" w:hAnsi="Calibri" w:cs="Calibri"/>
        </w:rPr>
        <w:t xml:space="preserve"> et al., 2014)</w:t>
      </w:r>
      <w:r w:rsidR="00DA6078">
        <w:fldChar w:fldCharType="end"/>
      </w:r>
      <w:r w:rsidR="00DA6078">
        <w:t>.</w:t>
      </w:r>
    </w:p>
    <w:p w14:paraId="1449EECA" w14:textId="77777777" w:rsidR="00A1538B" w:rsidRDefault="00256113" w:rsidP="00CC25BE">
      <w:pPr>
        <w:ind w:firstLine="720"/>
      </w:pPr>
      <w:r>
        <w:t xml:space="preserve">Certifications focused-on low-income countries were different in two respects. First, the number of banned and restricted pesticides </w:t>
      </w:r>
      <w:r w:rsidR="00091642">
        <w:t>tends to be much greater. This likely reflects the fact that many of the banned pesticides are not allowed for use on crops in some countries but not others. Mor</w:t>
      </w:r>
      <w:r w:rsidR="00A1538B">
        <w:t>e interestingly</w:t>
      </w:r>
      <w:r w:rsidR="00091642">
        <w:t xml:space="preserve">, these </w:t>
      </w:r>
      <w:r w:rsidR="00B872AB">
        <w:t>standards place much more emphasis on worker safety and hazardous materials handling. This not only reflects the different missions of some of the certifications</w:t>
      </w:r>
      <w:r w:rsidR="00A1538B">
        <w:t>, which often foreground social concerns,</w:t>
      </w:r>
      <w:r w:rsidR="00B872AB">
        <w:t xml:space="preserve"> but also the role that these certifications play in substituting for and supplementing legal standards in these areas.</w:t>
      </w:r>
      <w:r w:rsidR="00A1538B">
        <w:t xml:space="preserve"> </w:t>
      </w:r>
    </w:p>
    <w:p w14:paraId="7FCD55D2" w14:textId="7C860911" w:rsidR="00256113" w:rsidRPr="00CC25BE" w:rsidRDefault="00A1538B" w:rsidP="00271A83">
      <w:pPr>
        <w:ind w:firstLine="720"/>
      </w:pPr>
      <w:r>
        <w:t xml:space="preserve">One-commodity regional domestic certifications generally included some worker protections. Most of these commodities commonly utilize migrant agricultural labor. Wisconsin Healthy-Grown Potatoes is the only one of these certifications not including any worker protection criteria; migrant farmworkers do not commonly work in this crop-sector. </w:t>
      </w:r>
    </w:p>
    <w:sectPr w:rsidR="00256113" w:rsidRPr="00CC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91642"/>
    <w:rsid w:val="000D093F"/>
    <w:rsid w:val="0021226D"/>
    <w:rsid w:val="00256113"/>
    <w:rsid w:val="00271A83"/>
    <w:rsid w:val="002D2515"/>
    <w:rsid w:val="00380A0F"/>
    <w:rsid w:val="003B6BA9"/>
    <w:rsid w:val="00446480"/>
    <w:rsid w:val="00493F64"/>
    <w:rsid w:val="004C40B9"/>
    <w:rsid w:val="005343FD"/>
    <w:rsid w:val="0067537A"/>
    <w:rsid w:val="00694E3D"/>
    <w:rsid w:val="006B6B39"/>
    <w:rsid w:val="007300E8"/>
    <w:rsid w:val="007A5F2F"/>
    <w:rsid w:val="008C0194"/>
    <w:rsid w:val="009F3212"/>
    <w:rsid w:val="00A1538B"/>
    <w:rsid w:val="00B16B95"/>
    <w:rsid w:val="00B821DF"/>
    <w:rsid w:val="00B872AB"/>
    <w:rsid w:val="00C503C4"/>
    <w:rsid w:val="00C90136"/>
    <w:rsid w:val="00CC25BE"/>
    <w:rsid w:val="00CD128B"/>
    <w:rsid w:val="00D73C1F"/>
    <w:rsid w:val="00DA6078"/>
    <w:rsid w:val="00DC2C16"/>
    <w:rsid w:val="00DE6AB4"/>
    <w:rsid w:val="00F01D6E"/>
    <w:rsid w:val="00F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 w:type="paragraph" w:styleId="BalloonText">
    <w:name w:val="Balloon Text"/>
    <w:basedOn w:val="Normal"/>
    <w:link w:val="BalloonTextChar"/>
    <w:uiPriority w:val="99"/>
    <w:semiHidden/>
    <w:unhideWhenUsed/>
    <w:rsid w:val="006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4877</TotalTime>
  <Pages>4</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4</cp:revision>
  <dcterms:created xsi:type="dcterms:W3CDTF">2021-02-26T18:13:00Z</dcterms:created>
  <dcterms:modified xsi:type="dcterms:W3CDTF">2021-04-14T15:52:00Z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id="496gcEPI"/&gt;&lt;style id="http://www.zotero.org/styles/apa" locale="en-US" hasBibliography="1" bibliographyStyleHasBeenSet="1"/&gt;&lt;prefs&gt;&lt;pref name="fieldType" value="Field"/&gt;&lt;/prefs&gt;&lt;/data&gt;</vt:lpwstr>
  </property>
</Properties>
</file>