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X82f889bd40af30246c79742c081ce452a8d6a19"/>
    <w:p>
      <w:pPr>
        <w:pStyle w:val="Heading1"/>
      </w:pPr>
      <w:r>
        <w:t xml:space="preserve">Рекомендации по редакторам для SEO‑витрины ZaimKarta</w:t>
      </w:r>
    </w:p>
    <w:bookmarkStart w:id="27" w:name="цели-разных-типов-страниц"/>
    <w:p>
      <w:pPr>
        <w:pStyle w:val="Heading2"/>
      </w:pPr>
      <w:r>
        <w:t xml:space="preserve">1. Цели разных типов страниц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страницы</w:t>
            </w:r>
          </w:p>
        </w:tc>
        <w:tc>
          <w:tcPr/>
          <w:p>
            <w:pPr>
              <w:pStyle w:val="Compact"/>
            </w:pPr>
            <w:r>
              <w:t xml:space="preserve">SEO‑цель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цель</w:t>
            </w:r>
          </w:p>
        </w:tc>
        <w:tc>
          <w:tcPr/>
          <w:p>
            <w:pPr>
              <w:pStyle w:val="Compact"/>
            </w:pPr>
            <w:r>
              <w:t xml:space="preserve">Бизнес‑цель</w:t>
            </w:r>
          </w:p>
        </w:tc>
        <w:tc>
          <w:tcPr/>
          <w:p>
            <w:pPr>
              <w:pStyle w:val="Compact"/>
            </w:pPr>
            <w:r>
              <w:t xml:space="preserve">Цель редактора в админке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Подборка (commercial intent)</w:t>
            </w:r>
          </w:p>
        </w:tc>
        <w:tc>
          <w:tcPr/>
          <w:p>
            <w:pPr>
              <w:pStyle w:val="Compact"/>
            </w:pPr>
            <w:r>
              <w:t xml:space="preserve">занять выдачу по коммерческим запросам («микрозайм без справок», «онлайн займ срочно»), быстро удовлетворить намерение пользователя и привести на МФО; собирать трафик и удерживать позиции; делать страницу структурированной (хабы → колонки → спики и FAQ) и соответствовать политикам партнеров. Страница должна содержать краткое резюме, блок о платежах, таблицу/список МФО и FAQ, как рекомендует игровая система Leadgid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найти и сравнить подходящие микрозаймы, понять критерии отбора, быстро перейти на сайт МФО; принять решение на основании характеристик (ставка, сумма, срок, условия).</w:t>
            </w:r>
          </w:p>
        </w:tc>
        <w:tc>
          <w:tcPr/>
          <w:p>
            <w:pPr>
              <w:pStyle w:val="Compact"/>
            </w:pPr>
            <w:r>
              <w:t xml:space="preserve">получить высокую конверсию в клики и заявки; повысить доверие к бренду, соблюсти требования CPA‑партнёров (пролить трафик через пре‑лендер и раскрыть риски)</w:t>
            </w:r>
            <w:hyperlink r:id="rId21">
              <w:r>
                <w:rPr>
                  <w:rStyle w:val="Hyperlink"/>
                </w:rPr>
                <w:t xml:space="preserve">[2]</w:t>
              </w:r>
            </w:hyperlink>
            <w:r>
              <w:t xml:space="preserve">; управлять порядком и содержанием офферов; иметь гибкость для A/B‑тестов.</w:t>
            </w:r>
          </w:p>
        </w:tc>
        <w:tc>
          <w:tcPr/>
          <w:p>
            <w:pPr>
              <w:pStyle w:val="Compact"/>
            </w:pPr>
            <w:r>
              <w:t xml:space="preserve">упростить создание коммерческих подборок: легко выбирать и сортировать офферы, добавлять пояснительный текст, предупреждения и FAQ; контролировать критерии включения; избегать дублирования обязательных полей.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Статья (information intent)</w:t>
            </w:r>
          </w:p>
        </w:tc>
        <w:tc>
          <w:tcPr/>
          <w:p>
            <w:pPr>
              <w:pStyle w:val="Compact"/>
            </w:pPr>
            <w:r>
              <w:t xml:space="preserve">привлекать трафик по информационным запросам («как выбрать микрозайм», «что такое просрочка»); строить авторитетность сайта; отвечать на «People Also Ask» и включать тематические FAQ; обеспечивать структурированность, внутреннюю перелинковку и данные E‑E‑A‑T (авторство, даты, источники).</w:t>
            </w:r>
          </w:p>
        </w:tc>
        <w:tc>
          <w:tcPr/>
          <w:p>
            <w:pPr>
              <w:pStyle w:val="Compact"/>
            </w:pPr>
            <w:r>
              <w:t xml:space="preserve">получить развернутую информацию: прочитать вводный абзац, изучить оглавление, перейти по внутренним ссылкам; понять риски и примеры; как дополнение – увидеть релевантные офферы.</w:t>
            </w:r>
          </w:p>
        </w:tc>
        <w:tc>
          <w:tcPr/>
          <w:p>
            <w:pPr>
              <w:pStyle w:val="Compact"/>
            </w:pPr>
            <w:r>
              <w:t xml:space="preserve">увеличивать органический трафик, формировать доверие (автор, дата, обновления); собирать лиды через вторичные CTA и перелинковку; повышать цитируемость контента AI‑ассистентами (Omnia советует показывать автора, краткую биографию и дату обновления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давать редактору удобный инструмент для написания длинного текста с заголовками H1–H3, оглавлением, вставкой блоков «Важно», «Пример», «Предупреждение»; задавать дату публикации и обновления; указывать автора и примечание редактора; выбирать связанные подборки и офферы.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Сервис (utility intent)</w:t>
            </w:r>
          </w:p>
        </w:tc>
        <w:tc>
          <w:tcPr/>
          <w:p>
            <w:pPr>
              <w:pStyle w:val="Compact"/>
            </w:pPr>
            <w:r>
              <w:t xml:space="preserve">занять высокие позиции по запросам «калькулятор переплаты», «подбор займа по параметрам» и т. п.; облегчить пользователю решение задачи, что повышает поведенческие факторы; оптимизировать страницы под ключи «калькулятор», «квиз», «подборщик» (NN/G рекомендует включать слова «calculator»/«quiz» в заголовок</w:t>
            </w:r>
            <w:hyperlink r:id="rId23">
              <w:r>
                <w:rPr>
                  <w:rStyle w:val="Hyperlink"/>
                </w:rPr>
                <w:t xml:space="preserve">[4]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воспользоваться интерактивным инструментом для расчёта переплаты, сравнения вариантов или проверки готовности к заявке; получить результат сразу, без регистрации (NN/G отмечает, что пользователи не любят регистрацию и хотят видеть результат на странице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повысить вовлечённость и время на сайте, собрать лиды через CTA после результата; использовать сервисы для сборки персонализированных подборок; стимулировать доверие и возвращаемость.</w:t>
            </w:r>
          </w:p>
        </w:tc>
        <w:tc>
          <w:tcPr/>
          <w:p>
            <w:pPr>
              <w:pStyle w:val="Compact"/>
            </w:pPr>
            <w:r>
              <w:t xml:space="preserve">предоставить простой редактор конфигурации сервиса: задать тип сервиса (калькулятор, подборщик, чек‑лист), настроить входные параметры (ползунки, поля ввода) и тексты, выбрать, где и как показывать офферы; избежать сложной логики и программирования.</w:t>
            </w:r>
          </w:p>
        </w:tc>
      </w:tr>
    </w:tbl>
    <w:bookmarkStart w:id="26" w:name="важные-наблюдения"/>
    <w:p>
      <w:pPr>
        <w:pStyle w:val="Heading3"/>
      </w:pPr>
      <w:r>
        <w:t xml:space="preserve">Важные наблюдения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Коммерческие подборки</w:t>
      </w:r>
      <w:r>
        <w:t xml:space="preserve"> </w:t>
      </w:r>
      <w:r>
        <w:t xml:space="preserve">должны следовать прозрачным критериям и содержать краткий блок о ставках, комиссиях и сроках, чтобы соответствовать требованиям CPA‑партнёров</w:t>
      </w:r>
      <w:hyperlink r:id="rId21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Статьи</w:t>
      </w:r>
      <w:r>
        <w:t xml:space="preserve"> </w:t>
      </w:r>
      <w:r>
        <w:t xml:space="preserve">должны содержать чёткую структуру, оглавление и callout‑блоки; указывать автора, биографию и дату последнего обновления, т.к. это усиливает доверие и вероятность цитирования AI‑моделями</w:t>
      </w:r>
      <w:hyperlink r:id="rId22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Сервисные страницы</w:t>
      </w:r>
      <w:r>
        <w:t xml:space="preserve"> </w:t>
      </w:r>
      <w:r>
        <w:t xml:space="preserve">должны быть встроены прямо в страницу (не в отдельном попапе) и позволять гибко вводить данные, не требовать регистрации и показывать результат сразу</w:t>
      </w:r>
      <w:hyperlink r:id="rId23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FAQ‑блоки помогают отвечать на типовые вопросы и удовлетворяют intent «People Also Ask», но Google в 2026 г. перестал показывать rich‑результаты FAQ для большинства сайтов</w:t>
      </w:r>
      <w:hyperlink r:id="rId25">
        <w:r>
          <w:rPr>
            <w:rStyle w:val="Hyperlink"/>
          </w:rPr>
          <w:t xml:space="preserve">[7]</w:t>
        </w:r>
      </w:hyperlink>
      <w:r>
        <w:t xml:space="preserve">. Поэтому FAQ остаётся полезным для пользователя, но не стоит рассчитывать на усиленный сниппет.</w:t>
      </w:r>
    </w:p>
    <w:bookmarkEnd w:id="26"/>
    <w:bookmarkEnd w:id="27"/>
    <w:bookmarkStart w:id="40" w:name="поля-для-редакторов"/>
    <w:p>
      <w:pPr>
        <w:pStyle w:val="Heading2"/>
      </w:pPr>
      <w:r>
        <w:t xml:space="preserve">2. Поля для редакторов</w:t>
      </w:r>
    </w:p>
    <w:bookmarkStart w:id="28" w:name="общие-поля"/>
    <w:p>
      <w:pPr>
        <w:pStyle w:val="Heading3"/>
      </w:pPr>
      <w:r>
        <w:t xml:space="preserve">Общие поля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slug</w:t>
      </w:r>
      <w:r>
        <w:t xml:space="preserve"> </w:t>
      </w:r>
      <w:r>
        <w:t xml:space="preserve">– URL‑путь.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– заголовок (используется как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и H1 для категории/сервиса).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– meta‑описание.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</w:t>
      </w:r>
      <w:r>
        <w:t xml:space="preserve"> </w:t>
      </w:r>
      <w:r>
        <w:t xml:space="preserve">– вступительный абзац/описание.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riskNotice</w:t>
      </w:r>
      <w:r>
        <w:t xml:space="preserve"> </w:t>
      </w:r>
      <w:r>
        <w:t xml:space="preserve">– текст предупреждения о рисках и дисклэймер (обязательно для финансовых продуктов).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editorNote</w:t>
      </w:r>
      <w:r>
        <w:t xml:space="preserve"> </w:t>
      </w:r>
      <w:r>
        <w:t xml:space="preserve">– заметка редактора или примечание об обновлении.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FAQ</w:t>
      </w:r>
      <w:r>
        <w:t xml:space="preserve"> </w:t>
      </w:r>
      <w:r>
        <w:t xml:space="preserve">– список вопросов и ответов; полезно для пользователей, но больше не даёт rich‑результатов.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– DRAFT / PUBLISHED / PAUSED / ARCHIVED.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selectedOffers</w:t>
      </w:r>
      <w:r>
        <w:t xml:space="preserve"> </w:t>
      </w:r>
      <w:r>
        <w:t xml:space="preserve">– связь с выбранными офферами (включая порядок).</w:t>
      </w:r>
    </w:p>
    <w:bookmarkEnd w:id="28"/>
    <w:bookmarkStart w:id="30" w:name="поля-подборки"/>
    <w:p>
      <w:pPr>
        <w:pStyle w:val="Heading3"/>
      </w:pPr>
      <w:r>
        <w:t xml:space="preserve">Поля подборки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Обязательные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Чёткое название подборки (напр. «Лучшие микрозаймы без справок»).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criteriaDescription</w:t>
            </w:r>
          </w:p>
        </w:tc>
        <w:tc>
          <w:tcPr/>
          <w:p>
            <w:pPr>
              <w:pStyle w:val="Compact"/>
            </w:pPr>
            <w:r>
              <w:t xml:space="preserve">текст о критериях включения: какие МФО отбирались и почему; помогает пользователю понять логику и повышает доверие.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offerOrder</w:t>
            </w:r>
          </w:p>
        </w:tc>
        <w:tc>
          <w:tcPr/>
          <w:p>
            <w:pPr>
              <w:pStyle w:val="Compact"/>
            </w:pPr>
            <w:r>
              <w:t xml:space="preserve">упорядоченный список ID офферов (возможность drag‑&amp;‑drop в интерфейсе). NN/G отмечает, что для сравнения лучше ограничиться 3–5 опциями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preOffersText</w:t>
            </w:r>
          </w:p>
        </w:tc>
        <w:tc>
          <w:tcPr/>
          <w:p>
            <w:pPr>
              <w:pStyle w:val="Compact"/>
            </w:pPr>
            <w:r>
              <w:t xml:space="preserve">краткий текст перед карточками: описывает, что увидит пользователь, условия и важные нюансы (например, проценты, сроки).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postOffersSeoBlock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SEO‑текст или FAQ после списка офферов; может состоять из нескольких абзацев и ссылок на статьи.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Необязательные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вручную назначаемые бейджи для каждого оффера (например, «Низкая ставка», «Первый займ 0%»); позволяет выделить преимущества на конкретной странице.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offerNotes</w:t>
            </w:r>
          </w:p>
        </w:tc>
        <w:tc>
          <w:tcPr/>
          <w:p>
            <w:pPr>
              <w:pStyle w:val="Compact"/>
            </w:pPr>
            <w:r>
              <w:t xml:space="preserve">текстовые примечания к конкретным офферам (напр. «Акция действует до 30 июня»).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seoTable</w:t>
            </w:r>
          </w:p>
        </w:tc>
        <w:tc>
          <w:tcPr/>
          <w:p>
            <w:pPr>
              <w:pStyle w:val="Compact"/>
            </w:pPr>
            <w:r>
              <w:t xml:space="preserve">возможность добавить статическую таблицу сравнения ключевых параметров (пример: APR, срок, сумма); таблица должна быть до 5 колонок, чтобы сохранить читаемость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список Q&amp;A, специфичный для подборки (может пересекаться с общим FAQ).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callToActionText</w:t>
            </w:r>
          </w:p>
        </w:tc>
        <w:tc>
          <w:tcPr/>
          <w:p>
            <w:pPr>
              <w:pStyle w:val="Compact"/>
            </w:pPr>
            <w:r>
              <w:t xml:space="preserve">текст кнопки/баннера (например, «Подать заявку»).</w:t>
            </w:r>
          </w:p>
        </w:tc>
      </w:tr>
    </w:tbl>
    <w:bookmarkEnd w:id="30"/>
    <w:bookmarkStart w:id="34" w:name="поля-статьи"/>
    <w:p>
      <w:pPr>
        <w:pStyle w:val="Heading3"/>
      </w:pPr>
      <w:r>
        <w:t xml:space="preserve">Поля статьи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Обязательные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заголовок статьи.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лид — короткий абзац, поясняющий тему (вступление).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contentBlocks</w:t>
            </w:r>
          </w:p>
        </w:tc>
        <w:tc>
          <w:tcPr/>
          <w:p>
            <w:pPr>
              <w:pStyle w:val="Compact"/>
            </w:pPr>
            <w:r>
              <w:t xml:space="preserve">массив блоков (параграф, заголовок H2/H3, изображение, список, таблица). Позволяет модульно собирать статью.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callouts</w:t>
            </w:r>
          </w:p>
        </w:tc>
        <w:tc>
          <w:tcPr/>
          <w:p>
            <w:pPr>
              <w:pStyle w:val="Compact"/>
            </w:pPr>
            <w:r>
              <w:t xml:space="preserve">коллекция специальных блоков (Важно, Пример, Предупреждение). Важно, чтобы сигнал слова («Важно:», «Пример:») автоматически вставлялись и не требовали ввода автором, как советует руководство по стилям для технической документации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toc</w:t>
            </w:r>
          </w:p>
        </w:tc>
        <w:tc>
          <w:tcPr/>
          <w:p>
            <w:pPr>
              <w:pStyle w:val="Compact"/>
            </w:pPr>
            <w:r>
              <w:t xml:space="preserve">авто‑генерируемое оглавление по заголовкам H2/H3.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authorName</w:t>
            </w:r>
          </w:p>
        </w:tc>
        <w:tc>
          <w:tcPr/>
          <w:p>
            <w:pPr>
              <w:pStyle w:val="Compact"/>
            </w:pPr>
            <w:r>
              <w:t xml:space="preserve">имя автора.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authorBio</w:t>
            </w:r>
          </w:p>
        </w:tc>
        <w:tc>
          <w:tcPr/>
          <w:p>
            <w:pPr>
              <w:pStyle w:val="Compact"/>
            </w:pPr>
            <w:r>
              <w:t xml:space="preserve">краткая биография и ссылка на авторскую страницу; Omnia рекомендует всегда включать авторскую информацию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publishedDate</w:t>
            </w:r>
          </w:p>
        </w:tc>
        <w:tc>
          <w:tcPr/>
          <w:p>
            <w:pPr>
              <w:pStyle w:val="Compact"/>
            </w:pPr>
            <w:r>
              <w:t xml:space="preserve">дата первой публикации.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updatedDate</w:t>
            </w:r>
          </w:p>
        </w:tc>
        <w:tc>
          <w:tcPr/>
          <w:p>
            <w:pPr>
              <w:pStyle w:val="Compact"/>
            </w:pPr>
            <w:r>
              <w:t xml:space="preserve">дата последнего обновления; отображается рядом с заголовком и усиливает доверие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relatedSelections</w:t>
            </w:r>
          </w:p>
        </w:tc>
        <w:tc>
          <w:tcPr/>
          <w:p>
            <w:pPr>
              <w:pStyle w:val="Compact"/>
            </w:pPr>
            <w:r>
              <w:t xml:space="preserve">список связанных подборок для внутренней перелинковки.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recommendedOffers</w:t>
            </w:r>
          </w:p>
        </w:tc>
        <w:tc>
          <w:tcPr/>
          <w:p>
            <w:pPr>
              <w:pStyle w:val="Compact"/>
            </w:pPr>
            <w:r>
              <w:t xml:space="preserve">вторичный блок офферов (1–3 позиции).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Необязательные/специфичные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ссылки на источники (активные, с анкором).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schemaMarkup</w:t>
            </w:r>
          </w:p>
        </w:tc>
        <w:tc>
          <w:tcPr/>
          <w:p>
            <w:pPr>
              <w:pStyle w:val="Compact"/>
            </w:pPr>
            <w:r>
              <w:t xml:space="preserve">JSON‑LD для Article, Person и BreadcrumbList, чтобы обеспечить структурированные данные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readingTime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расчёт времени чтения.</w:t>
            </w:r>
          </w:p>
        </w:tc>
      </w:tr>
    </w:tbl>
    <w:bookmarkEnd w:id="34"/>
    <w:bookmarkStart w:id="39" w:name="поля-сервиса"/>
    <w:p>
      <w:pPr>
        <w:pStyle w:val="Heading3"/>
      </w:pPr>
      <w:r>
        <w:t xml:space="preserve">Поля сервиса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Обязательные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название сервиса (например, «Калькулятор переплаты»).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serviceType</w:t>
            </w:r>
          </w:p>
        </w:tc>
        <w:tc>
          <w:tcPr/>
          <w:p>
            <w:pPr>
              <w:pStyle w:val="Compact"/>
            </w:pPr>
            <w:r>
              <w:t xml:space="preserve">тип инструмента:</w:t>
            </w:r>
            <w:r>
              <w:t xml:space="preserve"> </w:t>
            </w:r>
            <w:r>
              <w:rPr>
                <w:rStyle w:val="VerbatimChar"/>
              </w:rPr>
              <w:t xml:space="preserve">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selectionWizard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readinessTest</w:t>
            </w:r>
            <w:r>
              <w:t xml:space="preserve"> </w:t>
            </w:r>
            <w:r>
              <w:t xml:space="preserve">(перечень поддерживаемых MVP‑сервисов).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inputFields</w:t>
            </w:r>
          </w:p>
        </w:tc>
        <w:tc>
          <w:tcPr/>
          <w:p>
            <w:pPr>
              <w:pStyle w:val="Compact"/>
            </w:pPr>
            <w:r>
              <w:t xml:space="preserve">описание входных параметров (тип поля: number, range/slider, select, checkbox; название; единицы измерения; обязательность; подсказка). NN/G советует делать обязательными только те поля, которые действительно нужны и позволять задавать значение свободно, используя поле ввода или комбинировать со слайдерами</w:t>
            </w:r>
            <w:hyperlink r:id="rId35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defaultValues</w:t>
            </w:r>
          </w:p>
        </w:tc>
        <w:tc>
          <w:tcPr/>
          <w:p>
            <w:pPr>
              <w:pStyle w:val="Compact"/>
            </w:pPr>
            <w:r>
              <w:t xml:space="preserve">дефолтные значения для полей; следует избегать вводящих в заблуждение дефолтов (не завышать налоги или суммы, как отмечает NN/G</w:t>
            </w:r>
            <w:hyperlink r:id="rId36">
              <w:r>
                <w:rPr>
                  <w:rStyle w:val="Hyperlink"/>
                </w:rPr>
                <w:t xml:space="preserve">[14]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resultTemplate</w:t>
            </w:r>
          </w:p>
        </w:tc>
        <w:tc>
          <w:tcPr/>
          <w:p>
            <w:pPr>
              <w:pStyle w:val="Compact"/>
            </w:pPr>
            <w:r>
              <w:t xml:space="preserve">шаблон вывода результата: что показывать после расчёта; должен давать полезный контекст (например, «Вы переплатите X ₽, это примерно Y% от суммы»)</w:t>
            </w:r>
            <w:hyperlink r:id="rId36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ctaAfterResult</w:t>
            </w:r>
          </w:p>
        </w:tc>
        <w:tc>
          <w:tcPr/>
          <w:p>
            <w:pPr>
              <w:pStyle w:val="Compact"/>
            </w:pPr>
            <w:r>
              <w:t xml:space="preserve">текст и ссылка на CTA после результатов («Подобрать займ», «Перейти в МФО»).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offerPlacement</w:t>
            </w:r>
          </w:p>
        </w:tc>
        <w:tc>
          <w:tcPr/>
          <w:p>
            <w:pPr>
              <w:pStyle w:val="Compact"/>
            </w:pPr>
            <w:r>
              <w:t xml:space="preserve">настройка, где показывать офферы: до калькулятора, после результата или в боковой колонке.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Необязательные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inputExplanation</w:t>
            </w:r>
          </w:p>
        </w:tc>
        <w:tc>
          <w:tcPr/>
          <w:p>
            <w:pPr>
              <w:pStyle w:val="Compact"/>
            </w:pPr>
            <w:r>
              <w:t xml:space="preserve">текстовые подсказки, объясняющие, почему запрашиваются определённые данные и как они влияют на результат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algorithmNote</w:t>
            </w:r>
          </w:p>
        </w:tc>
        <w:tc>
          <w:tcPr/>
          <w:p>
            <w:pPr>
              <w:pStyle w:val="Compact"/>
            </w:pPr>
            <w:r>
              <w:t xml:space="preserve">описание алгоритма расчёта (может быть скрытым под спойлером); повышает доверие пользователей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частые вопросы по сервису.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i/>
                <w:iCs/>
              </w:rPr>
              <w:t xml:space="preserve">postServiceContent</w:t>
            </w:r>
          </w:p>
        </w:tc>
        <w:tc>
          <w:tcPr/>
          <w:p>
            <w:pPr>
              <w:pStyle w:val="Compact"/>
            </w:pPr>
            <w:r>
              <w:t xml:space="preserve">текстовый SEO‑блок после инструмента (например, советы по выбору займа).</w:t>
            </w:r>
          </w:p>
        </w:tc>
      </w:tr>
    </w:tbl>
    <w:bookmarkEnd w:id="39"/>
    <w:bookmarkEnd w:id="40"/>
    <w:bookmarkStart w:id="48" w:name="структура-редактора-и-подсказки"/>
    <w:p>
      <w:pPr>
        <w:pStyle w:val="Heading2"/>
      </w:pPr>
      <w:r>
        <w:t xml:space="preserve">3. Структура редактора и подсказки</w:t>
      </w:r>
    </w:p>
    <w:bookmarkStart w:id="44" w:name="подборка"/>
    <w:p>
      <w:pPr>
        <w:pStyle w:val="Heading3"/>
      </w:pPr>
      <w:r>
        <w:t xml:space="preserve">3.1. Подборка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Базовые настройки</w:t>
      </w:r>
      <w:r>
        <w:t xml:space="preserve">: slug, статус, тип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категория или родительская страница.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Заголовки</w:t>
      </w:r>
      <w:r>
        <w:t xml:space="preserve">: Title, H1, Description, Intro.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Критерии и пояснения</w:t>
      </w:r>
      <w:r>
        <w:t xml:space="preserve">: поле</w:t>
      </w:r>
      <w:r>
        <w:t xml:space="preserve"> </w:t>
      </w:r>
      <w:r>
        <w:rPr>
          <w:rStyle w:val="VerbatimChar"/>
        </w:rPr>
        <w:t xml:space="preserve">criteriaDescription</w:t>
      </w:r>
      <w:r>
        <w:t xml:space="preserve"> </w:t>
      </w:r>
      <w:r>
        <w:t xml:space="preserve">с подсказкой «Опишите, почему эти офферы попали в подборку; укажите основные критерии (сумма, ставка, требования)».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Выбор офферов</w:t>
      </w:r>
      <w:r>
        <w:t xml:space="preserve">: интерфейс с поиском по офферам (по названию/ID), возможностью выбрать 3–10 офферов (UI с drag‑&amp;‑drop), возможностью назначать бейджи и примечания. Показать ключевые параметры (APR, сумма, срок) для контроля полноты данных; напомнить о необходимости единообразия, поскольку в таблицах сравнения отсутствие данных делает сравнение бесполезным</w:t>
      </w:r>
      <w:hyperlink r:id="rId41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Порядок офферов</w:t>
      </w:r>
      <w:r>
        <w:t xml:space="preserve">: drag‑&amp;‑drop для сортировки; рекомендация не больше 5–6 основных карточек одновременно.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Текстовые блоки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preOffersText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postOffersSeoBlock</w:t>
      </w:r>
      <w:r>
        <w:t xml:space="preserve"> </w:t>
      </w:r>
      <w:r>
        <w:t xml:space="preserve">с Markdown‑редактором; подсказка не использовать длинные абзацы, разбивать текст на подпункты.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SEO‑таблица</w:t>
      </w:r>
      <w:r>
        <w:t xml:space="preserve">: возможность добавить таблицу атрибутов (до 5 колонок и 5–7 строк) – она должна быть адаптивной; предусмотреть sticky‑заголовки для длительных таблиц, чтобы пользователь не терял ориентиры</w:t>
      </w:r>
      <w:hyperlink r:id="rId42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FAQ</w:t>
      </w:r>
      <w:r>
        <w:t xml:space="preserve">: добавление вопросов и коротких ответов; подсказка «Старайтесь отвечать на вопросы кратко и понятно (1‑2 предложения)»</w:t>
      </w:r>
      <w:hyperlink r:id="rId43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Проверки перед публикацией</w:t>
      </w:r>
      <w:r>
        <w:t xml:space="preserve">:</w:t>
      </w:r>
    </w:p>
    <w:p>
      <w:pPr>
        <w:numPr>
          <w:ilvl w:val="0"/>
          <w:numId w:val="1003"/>
        </w:numPr>
      </w:pPr>
      <w:r>
        <w:t xml:space="preserve">заполнен H1 и slug;</w:t>
      </w:r>
    </w:p>
    <w:p>
      <w:pPr>
        <w:pStyle w:val="Compact"/>
        <w:numPr>
          <w:ilvl w:val="0"/>
          <w:numId w:val="1003"/>
        </w:numPr>
      </w:pPr>
      <w:r>
        <w:t xml:space="preserve">выбрано ≥3 оффера;</w:t>
      </w:r>
    </w:p>
    <w:p>
      <w:pPr>
        <w:pStyle w:val="Compact"/>
        <w:numPr>
          <w:ilvl w:val="0"/>
          <w:numId w:val="1003"/>
        </w:numPr>
      </w:pPr>
      <w:r>
        <w:t xml:space="preserve">указан критерий отбора;</w:t>
      </w:r>
    </w:p>
    <w:p>
      <w:pPr>
        <w:pStyle w:val="Compact"/>
        <w:numPr>
          <w:ilvl w:val="0"/>
          <w:numId w:val="1003"/>
        </w:numPr>
      </w:pPr>
      <w:r>
        <w:t xml:space="preserve">присутствует предупреждение о рисках;</w:t>
      </w:r>
    </w:p>
    <w:p>
      <w:pPr>
        <w:pStyle w:val="Compact"/>
        <w:numPr>
          <w:ilvl w:val="0"/>
          <w:numId w:val="1003"/>
        </w:numPr>
      </w:pPr>
      <w:r>
        <w:t xml:space="preserve">убедиться, что у каждого оффера есть все необходимые метаданные (APR, срок, сумма), иначе напомнить редактору.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Дополнительные настройки</w:t>
      </w:r>
      <w:r>
        <w:t xml:space="preserve">: возможность скрыть страницу из sitemap, настроить canonical/robots для тестирования.</w:t>
      </w:r>
    </w:p>
    <w:bookmarkEnd w:id="44"/>
    <w:bookmarkStart w:id="46" w:name="статья"/>
    <w:p>
      <w:pPr>
        <w:pStyle w:val="Heading3"/>
      </w:pPr>
      <w:r>
        <w:t xml:space="preserve">3.2. Статья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Базовые настройки</w:t>
      </w:r>
      <w:r>
        <w:t xml:space="preserve">: slug, статус, тип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родительские категории и теги.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Заголовок и лид</w:t>
      </w:r>
      <w:r>
        <w:t xml:space="preserve">: Title, H1, Description, Lead. Подсказка: «В первом абзаце кратко расскажите, о чём статья и какие вопросы она решает».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Оглавление</w:t>
      </w:r>
      <w:r>
        <w:t xml:space="preserve">: авто‑генерируемый список H2/H3, управляемая опция «Показывать оглавление».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Контентные блоки</w:t>
      </w:r>
      <w:r>
        <w:t xml:space="preserve">: редактор с возможностью добавлять блоки: заголовок, параграф, список, изображение, таблица, код, цитата.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Callouts</w:t>
      </w:r>
      <w:r>
        <w:t xml:space="preserve">: выбор типа callout («Важно», «Предупреждение», «Пример», «Совет») и ввод текста; система автоматически добавляет сигнальное слово и стилизация; благодаря CSS‑стилю, автору не нужно писать «Важно:» вручную</w:t>
      </w:r>
      <w:hyperlink r:id="rId45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FAQ</w:t>
      </w:r>
      <w:r>
        <w:t xml:space="preserve">: добавить блок «Часто задаваемые вопросы»; подсказка: «Не рассчитывайте на rich‑сниппеты FAQ: используйте вопросы для раскрытия темы».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Рекомендованные офферы</w:t>
      </w:r>
      <w:r>
        <w:t xml:space="preserve">: выбрать до 3 офферов, которые вписаны в контекст (например, если статья про займы без залога).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Связанные подборки</w:t>
      </w:r>
      <w:r>
        <w:t xml:space="preserve">: выбрать 1–3 подборки для внутренней перелинковки; подсказка: «Выбирайте подборки по смежным темам для усиления topical authority».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Автор и редакция</w:t>
      </w:r>
      <w:r>
        <w:t xml:space="preserve">: поля для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authorBio</w:t>
      </w:r>
      <w:r>
        <w:t xml:space="preserve">, ссылка на страницу автора; дата публикации и дата обновления. В справке указать, что наличие авторской информации и даты обновления улучшает доверие и AI‑цитируемость</w:t>
      </w:r>
      <w:hyperlink r:id="rId22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Примечание редактора</w:t>
      </w:r>
      <w:r>
        <w:t xml:space="preserve">: краткий комментарий о целях статьи, обновлениях или раскрытие источников.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Проверки перед публикацией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заполнены поля Author и даты;</w:t>
      </w:r>
    </w:p>
    <w:p>
      <w:pPr>
        <w:pStyle w:val="Compact"/>
        <w:numPr>
          <w:ilvl w:val="1"/>
          <w:numId w:val="1005"/>
        </w:numPr>
      </w:pPr>
      <w:r>
        <w:t xml:space="preserve">есть как минимум один H2;</w:t>
      </w:r>
    </w:p>
    <w:p>
      <w:pPr>
        <w:pStyle w:val="Compact"/>
        <w:numPr>
          <w:ilvl w:val="1"/>
          <w:numId w:val="1005"/>
        </w:numPr>
      </w:pPr>
      <w:r>
        <w:t xml:space="preserve">нет длинных абзацев (&gt;400 символов без разрыва);</w:t>
      </w:r>
    </w:p>
    <w:p>
      <w:pPr>
        <w:pStyle w:val="Compact"/>
        <w:numPr>
          <w:ilvl w:val="1"/>
          <w:numId w:val="1005"/>
        </w:numPr>
      </w:pPr>
      <w:r>
        <w:t xml:space="preserve">указаны ссылки на источники, если приводятся данные.</w:t>
      </w:r>
    </w:p>
    <w:bookmarkEnd w:id="46"/>
    <w:bookmarkStart w:id="47" w:name="сервис"/>
    <w:p>
      <w:pPr>
        <w:pStyle w:val="Heading3"/>
      </w:pPr>
      <w:r>
        <w:t xml:space="preserve">3.3. Сервис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Базовые настройки</w:t>
      </w:r>
      <w:r>
        <w:t xml:space="preserve">: slug, статус, тип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Названия и описания</w:t>
      </w:r>
      <w:r>
        <w:t xml:space="preserve">: Title, H1, Description, Intro; поле</w:t>
      </w:r>
      <w:r>
        <w:t xml:space="preserve"> </w:t>
      </w:r>
      <w:r>
        <w:rPr>
          <w:rStyle w:val="VerbatimChar"/>
        </w:rPr>
        <w:t xml:space="preserve">servicePurpose</w:t>
      </w:r>
      <w:r>
        <w:t xml:space="preserve"> </w:t>
      </w:r>
      <w:r>
        <w:t xml:space="preserve">для объяснения, что делает сервис, и какие вопросы решает.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Тип сервиса</w:t>
      </w:r>
      <w:r>
        <w:t xml:space="preserve">: выбор из поддерживаемых видов (калькулятор переплаты, подборщик займа по параметрам, чек‑лист подготовки, тест готовности). Для MVP достаточно одной функции (например, калькулятор переплаты).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Конфигурация входных полей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список параметров с типами (number, select, range);</w:t>
      </w:r>
    </w:p>
    <w:p>
      <w:pPr>
        <w:pStyle w:val="Compact"/>
        <w:numPr>
          <w:ilvl w:val="0"/>
          <w:numId w:val="1006"/>
        </w:numPr>
      </w:pPr>
      <w:r>
        <w:t xml:space="preserve">метка, placeholder;</w:t>
      </w:r>
    </w:p>
    <w:p>
      <w:pPr>
        <w:pStyle w:val="Compact"/>
        <w:numPr>
          <w:ilvl w:val="0"/>
          <w:numId w:val="1006"/>
        </w:numPr>
      </w:pPr>
      <w:r>
        <w:t xml:space="preserve">минимальное/максимальное значение;</w:t>
      </w:r>
    </w:p>
    <w:p>
      <w:pPr>
        <w:pStyle w:val="Compact"/>
        <w:numPr>
          <w:ilvl w:val="0"/>
          <w:numId w:val="1006"/>
        </w:numPr>
      </w:pPr>
      <w:r>
        <w:t xml:space="preserve">флаг «обязательно»;</w:t>
      </w:r>
    </w:p>
    <w:p>
      <w:pPr>
        <w:pStyle w:val="Compact"/>
        <w:numPr>
          <w:ilvl w:val="0"/>
          <w:numId w:val="1006"/>
        </w:numPr>
      </w:pPr>
      <w:r>
        <w:t xml:space="preserve">подсказка (объяснение значения)</w:t>
      </w:r>
      <w:hyperlink r:id="rId37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Шаблон результата</w:t>
      </w:r>
      <w:r>
        <w:t xml:space="preserve">: редактор для текста с переменными (</w:t>
      </w:r>
      <w:r>
        <w:rPr>
          <w:rStyle w:val="VerbatimChar"/>
        </w:rPr>
        <w:t xml:space="preserve">{{payment}}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{{overpayment}}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{{rate}}</w:t>
      </w:r>
      <w:r>
        <w:t xml:space="preserve">), позволяющий показать интерпретацию результата (например, «Переплата составляет 3 000 ₽, что эквивалентно стоимости двух чашек кофе в день»).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CTA после результата</w:t>
      </w:r>
      <w:r>
        <w:t xml:space="preserve">: настройка текста кнопки и ссылки.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Размещение офферов</w:t>
      </w:r>
      <w:r>
        <w:t xml:space="preserve">: выбрать, где показывать карточки МФО: до калькулятора, после результатов или сбоку; устанавливать лимит (максимум 3 оффера).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FAQ</w:t>
      </w:r>
      <w:r>
        <w:t xml:space="preserve">: добавить вопросы и ответы, связанные с сервисом.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Дополнительные настройки</w:t>
      </w:r>
      <w:r>
        <w:t xml:space="preserve">: возможность скрыть или показать код алгоритма (для доверия</w:t>
      </w:r>
      <w:hyperlink r:id="rId38">
        <w:r>
          <w:rPr>
            <w:rStyle w:val="Hyperlink"/>
          </w:rPr>
          <w:t xml:space="preserve">[17]</w:t>
        </w:r>
      </w:hyperlink>
      <w:r>
        <w:t xml:space="preserve">); режим «только просмотр» (фиксированные результаты без расчёта).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Проверки перед публикацией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настроен хотя бы один входной параметр;</w:t>
      </w:r>
    </w:p>
    <w:p>
      <w:pPr>
        <w:pStyle w:val="Compact"/>
        <w:numPr>
          <w:ilvl w:val="1"/>
          <w:numId w:val="1007"/>
        </w:numPr>
      </w:pPr>
      <w:r>
        <w:t xml:space="preserve">добавлен шаблон результата;</w:t>
      </w:r>
    </w:p>
    <w:p>
      <w:pPr>
        <w:pStyle w:val="Compact"/>
        <w:numPr>
          <w:ilvl w:val="1"/>
          <w:numId w:val="1007"/>
        </w:numPr>
      </w:pPr>
      <w:r>
        <w:t xml:space="preserve">определены CTA и размещение офферов;</w:t>
      </w:r>
    </w:p>
    <w:p>
      <w:pPr>
        <w:pStyle w:val="Compact"/>
        <w:numPr>
          <w:ilvl w:val="1"/>
          <w:numId w:val="1007"/>
        </w:numPr>
      </w:pPr>
      <w:r>
        <w:t xml:space="preserve">введены предупреждения о рисках;</w:t>
      </w:r>
    </w:p>
    <w:p>
      <w:pPr>
        <w:pStyle w:val="Compact"/>
        <w:numPr>
          <w:ilvl w:val="1"/>
          <w:numId w:val="1007"/>
        </w:numPr>
      </w:pPr>
      <w:r>
        <w:t xml:space="preserve">протестировать, что калькулятор выдаёт корректный результат и не имеет вводящих в заблуждение дефолтов</w:t>
      </w:r>
      <w:hyperlink r:id="rId36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47"/>
    <w:bookmarkEnd w:id="48"/>
    <w:bookmarkStart w:id="50" w:name="публичная-страница-и-её-отличие"/>
    <w:p>
      <w:pPr>
        <w:pStyle w:val="Heading2"/>
      </w:pPr>
      <w:r>
        <w:t xml:space="preserve">4. Публичная страница и её отличие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Подборка</w:t>
            </w:r>
          </w:p>
        </w:tc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Сервис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Основной акцент на список/таблицу офферов; сравнение или карточки (3–5 в ряду). Над офферами — краткий текст и критерии; под офферами — SEO‑блок и FAQ. Sticky‑заголовок и фильтры могут быть добавлены.</w:t>
            </w:r>
          </w:p>
        </w:tc>
        <w:tc>
          <w:tcPr/>
          <w:p>
            <w:pPr>
              <w:pStyle w:val="Compact"/>
            </w:pPr>
            <w:r>
              <w:t xml:space="preserve">Много текста, делённого на секции; оглавление сбоку; callout‑блоки (Важно/Предупреждение/Пример). Рекомендованные офферы встроены боковой колонкой или в середине текста, чтобы не отвлекать.</w:t>
            </w:r>
          </w:p>
        </w:tc>
        <w:tc>
          <w:tcPr/>
          <w:p>
            <w:pPr>
              <w:pStyle w:val="Compact"/>
            </w:pPr>
            <w:r>
              <w:t xml:space="preserve">Интерактивный блок сервиса на видимом месте (не в попапе)</w:t>
            </w:r>
            <w:hyperlink r:id="rId49">
              <w:r>
                <w:rPr>
                  <w:rStyle w:val="Hyperlink"/>
                </w:rPr>
                <w:t xml:space="preserve">[22]</w:t>
              </w:r>
            </w:hyperlink>
            <w:r>
              <w:t xml:space="preserve">; результат сразу под калькулятором; офферы — после результата или сбоку; ниже — информационный блок (как в статье).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 офферов</w:t>
            </w:r>
          </w:p>
        </w:tc>
        <w:tc>
          <w:tcPr/>
          <w:p>
            <w:pPr>
              <w:pStyle w:val="Compact"/>
            </w:pPr>
            <w:r>
              <w:t xml:space="preserve">Основной контент; карточки и таблицы; ссылки ведут на пре‑лендер CPA сети; можно добавлять бейджи и примечания.</w:t>
            </w:r>
          </w:p>
        </w:tc>
        <w:tc>
          <w:tcPr/>
          <w:p>
            <w:pPr>
              <w:pStyle w:val="Compact"/>
            </w:pPr>
            <w:r>
              <w:t xml:space="preserve">Второстепенный контент; 1–3 карточки, встроенные ненавязчиво; могут быть в конце главы или в сайдбаре.</w:t>
            </w:r>
          </w:p>
        </w:tc>
        <w:tc>
          <w:tcPr/>
          <w:p>
            <w:pPr>
              <w:pStyle w:val="Compact"/>
            </w:pPr>
            <w:r>
              <w:t xml:space="preserve">Служат как предложения после получения результата; ограничить до 3; сделать CTA ясной («Подать заявку»).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Находится после списка офферов; краткие ответы (1–2 предложения)</w:t>
            </w:r>
            <w:hyperlink r:id="rId43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В конце статьи; охватывает вопросы, которые не вошли в основные блоки; может ссылаться на подборки.</w:t>
            </w:r>
          </w:p>
        </w:tc>
        <w:tc>
          <w:tcPr/>
          <w:p>
            <w:pPr>
              <w:pStyle w:val="Compact"/>
            </w:pPr>
            <w:r>
              <w:t xml:space="preserve">После сервиса; вопросы о расчёте, параметрах, правовых ограничениях; короткие ответы.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Текстовый контент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+ SEO‑блок после списка; избегать длинных абзацев.</w:t>
            </w:r>
          </w:p>
        </w:tc>
        <w:tc>
          <w:tcPr/>
          <w:p>
            <w:pPr>
              <w:pStyle w:val="Compact"/>
            </w:pPr>
            <w:r>
              <w:t xml:space="preserve">Основной текст (1500–3000 слов); разбит на H2/H3; callouts; ссылки на источники.</w:t>
            </w:r>
          </w:p>
        </w:tc>
        <w:tc>
          <w:tcPr/>
          <w:p>
            <w:pPr>
              <w:pStyle w:val="Compact"/>
            </w:pPr>
            <w:r>
              <w:t xml:space="preserve">Объяснение того, как пользоваться инструментом; блок интерпретации результатов.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Каждая карточка имеет CTA («Получить займ»); общий CTA может располагаться в начале и конце.</w:t>
            </w:r>
          </w:p>
        </w:tc>
        <w:tc>
          <w:tcPr/>
          <w:p>
            <w:pPr>
              <w:pStyle w:val="Compact"/>
            </w:pPr>
            <w:r>
              <w:t xml:space="preserve">CTA размещён в боковой колонке (перейти к подборке, подписаться на рассылку) или в середине статьи.</w:t>
            </w:r>
          </w:p>
        </w:tc>
        <w:tc>
          <w:tcPr/>
          <w:p>
            <w:pPr>
              <w:pStyle w:val="Compact"/>
            </w:pPr>
            <w:r>
              <w:t xml:space="preserve">CTA появляется после вывода результата; может быть также внизу страницы.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Блоки доверия/рисков</w:t>
            </w:r>
          </w:p>
        </w:tc>
        <w:tc>
          <w:tcPr/>
          <w:p>
            <w:pPr>
              <w:pStyle w:val="Compact"/>
            </w:pPr>
            <w:r>
              <w:t xml:space="preserve">Обязательный риск‑дисклеймер перед офферами; можно добавить бейдж «Надёжная МФО»; раскрывать условия (ставки, сроки).</w:t>
            </w:r>
          </w:p>
        </w:tc>
        <w:tc>
          <w:tcPr/>
          <w:p>
            <w:pPr>
              <w:pStyle w:val="Compact"/>
            </w:pPr>
            <w:r>
              <w:t xml:space="preserve">В начале статьи (после lead) краткий дисклеймер о рисках; прозрачные ссылки на источники; отображать дату обновления и авторство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В блоке результатов пояснять, что расчёт приблизительный; объяснять алгоритм (по желанию). Также размещать общую информацию о рисках кредитов.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Внутренняя перелинковка</w:t>
            </w:r>
          </w:p>
        </w:tc>
        <w:tc>
          <w:tcPr/>
          <w:p>
            <w:pPr>
              <w:pStyle w:val="Compact"/>
            </w:pPr>
            <w:r>
              <w:t xml:space="preserve">Ссылки на связанные подборки и статьи в SEO‑блоке и FAQ; строить hub → pillar → spoke структуру (Leadgid рекомендует ссылаться на хабы и соседние спики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В тексте вставлять ссылки на другие статьи и подборки; использовать связанный список в сайдбаре; хлебные крошки (BreadcrumbList).</w:t>
            </w:r>
          </w:p>
        </w:tc>
        <w:tc>
          <w:tcPr/>
          <w:p>
            <w:pPr>
              <w:pStyle w:val="Compact"/>
            </w:pPr>
            <w:r>
              <w:t xml:space="preserve">В тексте после сервиса ссылаться на статьи по теме («Как выбрать займ») и на подборки; оглавление внутри сервиса не требуется.</w:t>
            </w:r>
          </w:p>
        </w:tc>
      </w:tr>
    </w:tbl>
    <w:bookmarkEnd w:id="50"/>
    <w:bookmarkStart w:id="52" w:name="mvpидеи-для-сервисов"/>
    <w:p>
      <w:pPr>
        <w:pStyle w:val="Heading2"/>
      </w:pPr>
      <w:r>
        <w:t xml:space="preserve">5. MVP‑идеи для сервисов</w:t>
      </w:r>
    </w:p>
    <w:p>
      <w:pPr>
        <w:pStyle w:val="FirstParagraph"/>
      </w:pPr>
      <w:r>
        <w:t xml:space="preserve">Для первого релиза стоит ограничиться одним типом сервиса —</w:t>
      </w:r>
      <w:r>
        <w:t xml:space="preserve"> </w:t>
      </w:r>
      <w:r>
        <w:rPr>
          <w:b/>
          <w:bCs/>
        </w:rPr>
        <w:t xml:space="preserve">калькулятор переплаты</w:t>
      </w:r>
      <w:r>
        <w:t xml:space="preserve">, поскольку он легко реализуется и соответствует популярным запросам («калькулятор микрозайма»). Возможные расширения: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Калькулятор переплаты/стоимости займа</w:t>
      </w:r>
      <w:r>
        <w:t xml:space="preserve">: пользователь вводит сумму и срок; калькулятор показывает размер ежемесячного платежа и переплату, а также ставку; результат снабжён пояснением (например, сравнение переплаты с ценой повседневных товаров) для лучшего понимания</w:t>
      </w:r>
      <w:hyperlink r:id="rId36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Подборщик займа по параметрам</w:t>
      </w:r>
      <w:r>
        <w:t xml:space="preserve">: упрощённый фильтр: пользователю предлагается выбрать сумму и срок (range‑слайдеры), желаемый тип займа (первый займ, без залога, пенсионный). На основе выбранного набора выдаётся список офферов с подходящими параметрами и кнопками «Оформить». Предлагать несколько фильтров, но не более 3–4, чтобы интерфейс оставался простым</w:t>
      </w:r>
      <w:hyperlink r:id="rId35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Чек‑лист перед подачей заявки</w:t>
      </w:r>
      <w:r>
        <w:t xml:space="preserve">: серия вопросов с вариантами ответа (например, «Есть ли у вас просрочки?», «Какая сумма дохода?»). По завершении пользователь получает список советов (как улучшить шансы), и блок офферов.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Тест готовности к заявке</w:t>
      </w:r>
      <w:r>
        <w:t xml:space="preserve">: аналог чек‑листа, но формализованный; результат показывает условную «готовность» (например, процент) и советы по улучшению.</w:t>
      </w:r>
    </w:p>
    <w:p>
      <w:pPr>
        <w:pStyle w:val="FirstParagraph"/>
      </w:pPr>
      <w:r>
        <w:t xml:space="preserve">Редактор сервиса должен позволять выбрать один из этих типов, настроить поля, задать текст результата и добавить офферы. При разработке учитывайте следующие требования NN/G:</w:t>
      </w:r>
    </w:p>
    <w:p>
      <w:pPr>
        <w:pStyle w:val="Compact"/>
        <w:numPr>
          <w:ilvl w:val="0"/>
          <w:numId w:val="1009"/>
        </w:numPr>
      </w:pPr>
      <w:r>
        <w:t xml:space="preserve">Встраивайте калькулятор прямо в страницу, а не в попап</w:t>
      </w:r>
      <w:hyperlink r:id="rId49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Делайте обязательными только необходимые поля; обеспечьте гибкий ввод (числовые поля + слайдеры)</w:t>
      </w:r>
      <w:hyperlink r:id="rId35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Не заставляйте регистрироваться и выводите результат сразу</w:t>
      </w:r>
      <w:hyperlink r:id="rId24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Позволяйте пользователю изменять значения без повторного ввода всех данных</w:t>
      </w:r>
      <w:hyperlink r:id="rId51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Объясняйте назначение каждого ввода и алгоритм расчёта</w:t>
      </w:r>
      <w:hyperlink r:id="rId37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Не используйте вводящие в заблуждение дефолты</w:t>
      </w:r>
      <w:hyperlink r:id="rId36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52"/>
    <w:bookmarkStart w:id="53" w:name="предлагаемая-архитектура-и-модели"/>
    <w:p>
      <w:pPr>
        <w:pStyle w:val="Heading2"/>
      </w:pPr>
      <w:r>
        <w:t xml:space="preserve">6. Предлагаемая архитектура и модели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SeoPage (общая модель)</w:t>
      </w:r>
      <w:r>
        <w:t xml:space="preserve"> </w:t>
      </w:r>
      <w:r>
        <w:t xml:space="preserve">— сохраняется как базовая сущность. Поля: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intro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faq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selectedOffers</w:t>
      </w:r>
      <w:r>
        <w:t xml:space="preserve"> </w:t>
      </w:r>
      <w:r>
        <w:t xml:space="preserve">(связь</w:t>
      </w:r>
      <w:r>
        <w:t xml:space="preserve"> </w:t>
      </w:r>
      <w:r>
        <w:rPr>
          <w:i/>
          <w:iCs/>
        </w:rPr>
        <w:t xml:space="preserve">many‑to‑many</w:t>
      </w:r>
      <w:r>
        <w:t xml:space="preserve"> </w:t>
      </w:r>
      <w:r>
        <w:t xml:space="preserve">через таблицу</w:t>
      </w:r>
      <w:r>
        <w:t xml:space="preserve"> </w:t>
      </w:r>
      <w:r>
        <w:rPr>
          <w:rStyle w:val="VerbatimChar"/>
        </w:rPr>
        <w:t xml:space="preserve">SeoPageOffer</w:t>
      </w:r>
      <w:r>
        <w:t xml:space="preserve">, в которой хранится порядок и дополнительные параметры). Добавить поля</w:t>
      </w:r>
      <w:r>
        <w:t xml:space="preserve"> </w:t>
      </w:r>
      <w:r>
        <w:rPr>
          <w:rStyle w:val="VerbatimChar"/>
        </w:rPr>
        <w:t xml:space="preserve">publishedDate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authorBio</w:t>
      </w:r>
      <w:r>
        <w:t xml:space="preserve"> </w:t>
      </w:r>
      <w:r>
        <w:t xml:space="preserve">(только для статьи),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 </w:t>
      </w:r>
      <w:r>
        <w:t xml:space="preserve">(для сервисов). Использовать JSON‑колонку</w:t>
      </w:r>
      <w:r>
        <w:t xml:space="preserve"> </w:t>
      </w:r>
      <w:r>
        <w:rPr>
          <w:rStyle w:val="VerbatimChar"/>
        </w:rPr>
        <w:t xml:space="preserve">contentBlocks</w:t>
      </w:r>
      <w:r>
        <w:t xml:space="preserve"> </w:t>
      </w:r>
      <w:r>
        <w:t xml:space="preserve">для статей и</w:t>
      </w:r>
      <w:r>
        <w:t xml:space="preserve"> </w:t>
      </w:r>
      <w:r>
        <w:rPr>
          <w:rStyle w:val="VerbatimChar"/>
        </w:rPr>
        <w:t xml:space="preserve">serviceConfig</w:t>
      </w:r>
      <w:r>
        <w:t xml:space="preserve"> </w:t>
      </w:r>
      <w:r>
        <w:t xml:space="preserve">для сервисов.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SeoPageOffer</w:t>
      </w:r>
      <w:r>
        <w:t xml:space="preserve"> </w:t>
      </w:r>
      <w:r>
        <w:t xml:space="preserve">— связывает SeoPage с оффером; содержит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badges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(текст) и</w:t>
      </w:r>
      <w:r>
        <w:t xml:space="preserve"> </w:t>
      </w:r>
      <w:r>
        <w:rPr>
          <w:rStyle w:val="VerbatimChar"/>
        </w:rPr>
        <w:t xml:space="preserve">highlight</w:t>
      </w:r>
      <w:r>
        <w:t xml:space="preserve"> </w:t>
      </w:r>
      <w:r>
        <w:t xml:space="preserve">(флаг «рекомендуемый»). Это позволяет назначать специальные пометки для офферов на конкретной странице, не изменяя исходный оффер.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ArticleBlock</w:t>
      </w:r>
      <w:r>
        <w:t xml:space="preserve"> </w:t>
      </w:r>
      <w:r>
        <w:t xml:space="preserve">(опционально как отдельная модель) — если потребуется хранить каждый блок статьи отдельно для аналитики; в MVP можно использовать JSON‑массив в</w:t>
      </w:r>
      <w:r>
        <w:t xml:space="preserve"> </w:t>
      </w:r>
      <w:r>
        <w:rPr>
          <w:rStyle w:val="VerbatimChar"/>
        </w:rPr>
        <w:t xml:space="preserve">SeoPage.contentBlocks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ServiceConfig</w:t>
      </w:r>
      <w:r>
        <w:t xml:space="preserve"> </w:t>
      </w:r>
      <w:r>
        <w:t xml:space="preserve">— JSON‑поле в SeoPage, описывающее поля калькулятора и шаблон результата; структура:</w:t>
      </w:r>
      <w:r>
        <w:t xml:space="preserve"> </w:t>
      </w:r>
      <w:r>
        <w:rPr>
          <w:rStyle w:val="VerbatimChar"/>
        </w:rPr>
        <w:t xml:space="preserve">{inputs: [...], resultTemplate: string, ctaAfterResult: {...}, offerPlacement: 'before'|'after'|'sidebar', algorithmNote: string}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Offer</w:t>
      </w:r>
      <w:r>
        <w:t xml:space="preserve"> </w:t>
      </w:r>
      <w:r>
        <w:t xml:space="preserve">(отдельная сущность) — список МФО со статическими характеристиками (название, ставка, сумма, срок, ссылки, лого). Данные офферов остаются общими для всех страниц.</w:t>
      </w:r>
    </w:p>
    <w:p>
      <w:pPr>
        <w:pStyle w:val="FirstParagraph"/>
      </w:pPr>
      <w:r>
        <w:t xml:space="preserve">Такой подход позволяет не плодить множества таблиц, а использовать JSON‑поля для гибкости. В будущем можно вынести ArticleBlock и ServiceInput в отдельные таблицы для сложного анализа.</w:t>
      </w:r>
    </w:p>
    <w:bookmarkEnd w:id="53"/>
    <w:bookmarkStart w:id="54" w:name="план-внедрения-mvp-backlog"/>
    <w:p>
      <w:pPr>
        <w:pStyle w:val="Heading2"/>
      </w:pPr>
      <w:r>
        <w:t xml:space="preserve">7. План внедрения (MVP backlog)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Быстрые улучшения текущей админки</w:t>
      </w:r>
      <w:r>
        <w:t xml:space="preserve"> </w:t>
      </w:r>
      <w:r>
        <w:t xml:space="preserve">(1–2 недели):</w:t>
      </w:r>
    </w:p>
    <w:p>
      <w:pPr>
        <w:numPr>
          <w:ilvl w:val="0"/>
          <w:numId w:val="1011"/>
        </w:numPr>
      </w:pPr>
      <w:r>
        <w:t xml:space="preserve">Добавить поле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с вариантами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/</w:t>
      </w:r>
      <w:r>
        <w:rPr>
          <w:rStyle w:val="VerbatimChar"/>
        </w:rPr>
        <w:t xml:space="preserve">ARTICLE</w:t>
      </w:r>
      <w:r>
        <w:t xml:space="preserve">/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и фильтр по типу.</w:t>
      </w:r>
    </w:p>
    <w:p>
      <w:pPr>
        <w:pStyle w:val="Compact"/>
        <w:numPr>
          <w:ilvl w:val="0"/>
          <w:numId w:val="1011"/>
        </w:numPr>
      </w:pPr>
      <w:r>
        <w:t xml:space="preserve">Перегруппировать существующие поля в секции: базовые данные, контент, офферы, SEO‑данные.</w:t>
      </w:r>
    </w:p>
    <w:p>
      <w:pPr>
        <w:pStyle w:val="Compact"/>
        <w:numPr>
          <w:ilvl w:val="0"/>
          <w:numId w:val="1011"/>
        </w:numPr>
      </w:pPr>
      <w:r>
        <w:t xml:space="preserve">Для статей — добавить поля</w:t>
      </w:r>
      <w:r>
        <w:t xml:space="preserve"> </w:t>
      </w:r>
      <w:r>
        <w:rPr>
          <w:rStyle w:val="VerbatimChar"/>
        </w:rPr>
        <w:t xml:space="preserve">publishedDate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authorBio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Для всех типов — позволить добавлять</w:t>
      </w:r>
      <w:r>
        <w:t xml:space="preserve"> </w:t>
      </w:r>
      <w:r>
        <w:rPr>
          <w:rStyle w:val="VerbatimChar"/>
        </w:rPr>
        <w:t xml:space="preserve">FAQ</w:t>
      </w:r>
      <w:r>
        <w:t xml:space="preserve"> </w:t>
      </w:r>
      <w:r>
        <w:t xml:space="preserve">как набор Q&amp;A.</w:t>
      </w:r>
    </w:p>
    <w:p>
      <w:pPr>
        <w:pStyle w:val="Compact"/>
        <w:numPr>
          <w:ilvl w:val="0"/>
          <w:numId w:val="1011"/>
        </w:numPr>
      </w:pPr>
      <w:r>
        <w:t xml:space="preserve">В интерфейсе выбора офферов реализовать drag‑&amp;‑drop и отображение ключевых характеристик.</w:t>
      </w:r>
    </w:p>
    <w:p>
      <w:pPr>
        <w:numPr>
          <w:ilvl w:val="0"/>
          <w:numId w:val="1011"/>
        </w:numPr>
      </w:pPr>
      <w:r>
        <w:t xml:space="preserve">Проверки: минимальное число офферов для подборок; наличие riskNotice; заполнение обязательных полей.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Этап 2 (1–2 месяца)</w:t>
      </w:r>
      <w:r>
        <w:t xml:space="preserve">:</w:t>
      </w:r>
    </w:p>
    <w:p>
      <w:pPr>
        <w:numPr>
          <w:ilvl w:val="0"/>
          <w:numId w:val="1011"/>
        </w:numPr>
      </w:pPr>
      <w:r>
        <w:t xml:space="preserve">Реализовать редактор статей с модульными блоками (JSON‑структура); добавить callout‑блоки и авто‑оглавление.</w:t>
      </w:r>
    </w:p>
    <w:p>
      <w:pPr>
        <w:pStyle w:val="Compact"/>
        <w:numPr>
          <w:ilvl w:val="0"/>
          <w:numId w:val="1011"/>
        </w:numPr>
      </w:pPr>
      <w:r>
        <w:t xml:space="preserve">Реализовать редактор сервисов: пока только калькулятор переплаты с конфигурацией входных полей и шаблона результата.</w:t>
      </w:r>
    </w:p>
    <w:p>
      <w:pPr>
        <w:pStyle w:val="Compact"/>
        <w:numPr>
          <w:ilvl w:val="0"/>
          <w:numId w:val="1011"/>
        </w:numPr>
      </w:pPr>
      <w:r>
        <w:t xml:space="preserve">Ввести модель</w:t>
      </w:r>
      <w:r>
        <w:t xml:space="preserve"> </w:t>
      </w:r>
      <w:r>
        <w:rPr>
          <w:rStyle w:val="VerbatimChar"/>
        </w:rPr>
        <w:t xml:space="preserve">SeoPageOffer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Обновить публичные страницы:</w:t>
      </w:r>
    </w:p>
    <w:p>
      <w:pPr>
        <w:pStyle w:val="Compact"/>
        <w:numPr>
          <w:ilvl w:val="1"/>
          <w:numId w:val="1012"/>
        </w:numPr>
      </w:pPr>
      <w:r>
        <w:t xml:space="preserve">применить разные layout для подборок, статей и сервисов;</w:t>
      </w:r>
    </w:p>
    <w:p>
      <w:pPr>
        <w:pStyle w:val="Compact"/>
        <w:numPr>
          <w:ilvl w:val="1"/>
          <w:numId w:val="1012"/>
        </w:numPr>
      </w:pPr>
      <w:r>
        <w:t xml:space="preserve">добавить авторскую строку и дату обновления для статей;</w:t>
      </w:r>
    </w:p>
    <w:p>
      <w:pPr>
        <w:pStyle w:val="Compact"/>
        <w:numPr>
          <w:ilvl w:val="1"/>
          <w:numId w:val="1012"/>
        </w:numPr>
      </w:pPr>
      <w:r>
        <w:t xml:space="preserve">внедрить калькулятор на сервисной странице;</w:t>
      </w:r>
    </w:p>
    <w:p>
      <w:pPr>
        <w:pStyle w:val="Compact"/>
        <w:numPr>
          <w:ilvl w:val="1"/>
          <w:numId w:val="1012"/>
        </w:numPr>
      </w:pPr>
      <w:r>
        <w:t xml:space="preserve">добавить sticky‑заголовки на таблицы в подборках;</w:t>
      </w:r>
    </w:p>
    <w:p>
      <w:pPr>
        <w:pStyle w:val="Compact"/>
        <w:numPr>
          <w:ilvl w:val="1"/>
          <w:numId w:val="1012"/>
        </w:numPr>
      </w:pPr>
      <w:r>
        <w:t xml:space="preserve">отображать бейджи и примечания в карточках офферов.</w:t>
      </w:r>
    </w:p>
    <w:p>
      <w:pPr>
        <w:numPr>
          <w:ilvl w:val="0"/>
          <w:numId w:val="1011"/>
        </w:numPr>
      </w:pPr>
      <w:r>
        <w:t xml:space="preserve">Обновить sitemap и routing для новых типов.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Этап 3 (отложить, 3–6 месяцев)</w:t>
      </w:r>
      <w:r>
        <w:t xml:space="preserve">:</w:t>
      </w:r>
    </w:p>
    <w:p>
      <w:pPr>
        <w:numPr>
          <w:ilvl w:val="0"/>
          <w:numId w:val="1011"/>
        </w:numPr>
      </w:pPr>
      <w:r>
        <w:t xml:space="preserve">Подключить аналитику по каждому блоку (scroll depth, клики по офферам).</w:t>
      </w:r>
    </w:p>
    <w:p>
      <w:pPr>
        <w:pStyle w:val="Compact"/>
        <w:numPr>
          <w:ilvl w:val="0"/>
          <w:numId w:val="1011"/>
        </w:numPr>
      </w:pPr>
      <w:r>
        <w:t xml:space="preserve">Добавить новые сервисы (подборщик, чек‑лист).</w:t>
      </w:r>
    </w:p>
    <w:p>
      <w:pPr>
        <w:pStyle w:val="Compact"/>
        <w:numPr>
          <w:ilvl w:val="0"/>
          <w:numId w:val="1011"/>
        </w:numPr>
      </w:pPr>
      <w:r>
        <w:t xml:space="preserve">Вынести ArticleBlock и ServiceInput в отдельные таблицы для сложных отчётов.</w:t>
      </w:r>
    </w:p>
    <w:p>
      <w:pPr>
        <w:pStyle w:val="Compact"/>
        <w:numPr>
          <w:ilvl w:val="0"/>
          <w:numId w:val="1011"/>
        </w:numPr>
      </w:pPr>
      <w:r>
        <w:t xml:space="preserve">Реализовать автоматический импорт/обновление офферов из CPA‑сетей через API.</w:t>
      </w:r>
    </w:p>
    <w:p>
      <w:pPr>
        <w:pStyle w:val="Compact"/>
        <w:numPr>
          <w:ilvl w:val="0"/>
          <w:numId w:val="1011"/>
        </w:numPr>
      </w:pPr>
      <w:r>
        <w:t xml:space="preserve">Интегрировать генерацию структурированных данных (Article, FAQ, ItemList).</w:t>
      </w:r>
    </w:p>
    <w:p>
      <w:pPr>
        <w:pStyle w:val="Compact"/>
        <w:numPr>
          <w:ilvl w:val="0"/>
          <w:numId w:val="1011"/>
        </w:numPr>
      </w:pPr>
      <w:r>
        <w:t xml:space="preserve">Провести A/B‑тестирование расположения CTA и количества офферов.</w:t>
      </w:r>
    </w:p>
    <w:bookmarkEnd w:id="54"/>
    <w:bookmarkStart w:id="57" w:name="риски-и-антипаттерны"/>
    <w:p>
      <w:pPr>
        <w:pStyle w:val="Heading2"/>
      </w:pPr>
      <w:r>
        <w:t xml:space="preserve">8. Риски и анти‑паттерны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Перегрузка интерфейса</w:t>
      </w:r>
      <w:r>
        <w:t xml:space="preserve">: слишком много опций в редакторе может отпугнуть; лучше скрывать продвинутые настройки под аккордеонами и показывать только релевантные для выбранного типа.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Несогласованность данных</w:t>
      </w:r>
      <w:r>
        <w:t xml:space="preserve">: если у офферов отсутствуют некоторые характеристики (ставка, срок), таблица сравнения теряет смысл</w:t>
      </w:r>
      <w:hyperlink r:id="rId55">
        <w:r>
          <w:rPr>
            <w:rStyle w:val="Hyperlink"/>
          </w:rPr>
          <w:t xml:space="preserve">[24]</w:t>
        </w:r>
      </w:hyperlink>
      <w:r>
        <w:t xml:space="preserve">; нужно контролировать полноту данных при выборе офферов.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Слишком много карточек</w:t>
      </w:r>
      <w:r>
        <w:t xml:space="preserve">: показ более 5–6 офферов одновременно снижает читабельность и мешает принятию решения</w:t>
      </w:r>
      <w:hyperlink r:id="rId29">
        <w:r>
          <w:rPr>
            <w:rStyle w:val="Hyperlink"/>
          </w:rPr>
          <w:t xml:space="preserve">[25]</w:t>
        </w:r>
      </w:hyperlink>
      <w:r>
        <w:t xml:space="preserve">. Лучше ограничить количество и добавить фильтры.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Сложные сервисы</w:t>
      </w:r>
      <w:r>
        <w:t xml:space="preserve">: попытка сделать универсальный подборщик с множеством входных параметров усложнит разработку и ухудшит UX; MVP должен быть простым (2–3 поля)</w:t>
      </w:r>
      <w:hyperlink r:id="rId35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Отсутствие обновлений и авторства</w:t>
      </w:r>
      <w:r>
        <w:t xml:space="preserve">: публикация статей без указанного автора, биографии и даты обновления снижает доверие пользователей и AI‑ассистентов</w:t>
      </w:r>
      <w:hyperlink r:id="rId22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Вводящие в заблуждение дефолты</w:t>
      </w:r>
      <w:r>
        <w:t xml:space="preserve">: калькуляторы с нереалистичными значениями (например, налоги выше среднего) могут дезинформировать пользователя и снизить доверие</w:t>
      </w:r>
      <w:hyperlink r:id="rId36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Слишком длинные абзацы</w:t>
      </w:r>
      <w:r>
        <w:t xml:space="preserve">: статьи с длинными абзацами ухудшают читаемость; нужно поддерживать структуру и использовать списки и callouts</w:t>
      </w:r>
      <w:hyperlink r:id="rId56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57"/>
    <w:bookmarkStart w:id="58" w:name="заключение"/>
    <w:p>
      <w:pPr>
        <w:pStyle w:val="Heading2"/>
      </w:pPr>
      <w:r>
        <w:t xml:space="preserve">9. Заключение</w:t>
      </w:r>
    </w:p>
    <w:p>
      <w:pPr>
        <w:pStyle w:val="FirstParagraph"/>
      </w:pPr>
      <w:r>
        <w:t xml:space="preserve">Создание разных редакторов для подборок, статей и сервисов позволит ZaimKarta точнее удовлетворять намерения пользователей и требования поисковых систем. Коммерческие подборки должны быстро вести пользователя к офферам и объяснять критерии отбора. Статьи — давать глубокую информацию, строить доверие через авторство, обновления и источники, использовать callouts и перелинковку. Сервисы — решать конкретную задачу с минимальным трением, не заставляя регистрироваться и предоставляя результат сразу. Следование указанным практикам повысит качество контента, улучшит позиции в поиске и конверсию.</w:t>
      </w:r>
    </w:p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SEO Playbook for Loan Affiliates (2025)</w:t>
      </w:r>
    </w:p>
    <w:p>
      <w:pPr>
        <w:pStyle w:val="BodyText"/>
      </w:pPr>
      <w:hyperlink r:id="rId61">
        <w:r>
          <w:rPr>
            <w:rStyle w:val="Hyperlink"/>
          </w:rPr>
          <w:t xml:space="preserve">https://cpa.leadgid.com/articles/seo-playbook-loan-affiliates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Source Trust Signals for AI: Identify &amp; Verify Sources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https://www.useomnia.com/knowledge-base/source-trust-signals-for-ai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49">
        <w:r>
          <w:rPr>
            <w:rStyle w:val="Hyperlink"/>
          </w:rPr>
          <w:t xml:space="preserve">[22]</w:t>
        </w:r>
      </w:hyperlink>
      <w:r>
        <w:t xml:space="preserve"> </w:t>
      </w:r>
      <w:hyperlink r:id="rId5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12 Design Recommendations for Calculator and Quiz Tools - NN/G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https://www.nngroup.com/articles/recommendations-calculator/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Mark Up FAQs with Structured Data | Google Search Central  |  Documentation  |  Google for Developers</w:t>
      </w:r>
    </w:p>
    <w:p>
      <w:pPr>
        <w:pStyle w:val="BodyText"/>
      </w:pPr>
      <w:hyperlink r:id="rId64">
        <w:r>
          <w:rPr>
            <w:rStyle w:val="Hyperlink"/>
          </w:rPr>
          <w:t xml:space="preserve">https://developers.google.com/search/docs/appearance/structured-data/faqpage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55">
        <w:r>
          <w:rPr>
            <w:rStyle w:val="Hyperlink"/>
          </w:rPr>
          <w:t xml:space="preserve">[24]</w:t>
        </w:r>
      </w:hyperlink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Comparison Tables for Products, Services, and Features - NN/G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https://www.nngroup.com/articles/comparison-tables/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Styles for notes and warnings in online documentation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https://www.indoition.com/en/products/styles-for-notes-warnings-in-online-documentation.htm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5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10 SEO Content Writing Best Practices for 2025 | PureWrite</w:t>
      </w:r>
    </w:p>
    <w:p>
      <w:pPr>
        <w:pStyle w:val="BodyText"/>
      </w:pPr>
      <w:hyperlink r:id="rId67">
        <w:r>
          <w:rPr>
            <w:rStyle w:val="Hyperlink"/>
          </w:rPr>
          <w:t xml:space="preserve">https://purewrite.io/blog/seo-content-writing-best-practices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cpa.leadgid.com/articles/seo-playbook-loan-affiliates" TargetMode="External" /><Relationship Type="http://schemas.openxmlformats.org/officeDocument/2006/relationships/hyperlink" Id="rId43" Target="https://cpa.leadgid.com/articles/seo-playbook-loan-affiliates#:~:text=,answers%20short%2C%20and%20terms%20defined" TargetMode="External" /><Relationship Type="http://schemas.openxmlformats.org/officeDocument/2006/relationships/hyperlink" Id="rId33" Target="https://cpa.leadgid.com/articles/seo-playbook-loan-affiliates#:~:text=Architecture%20%E2%80%94%20how%20to%20structure,the%20site" TargetMode="External" /><Relationship Type="http://schemas.openxmlformats.org/officeDocument/2006/relationships/hyperlink" Id="rId21" Target="https://cpa.leadgid.com/articles/seo-playbook-loan-affiliates#:~:text=SEO%20Playbook%20for%20Loan%20Affiliates%3A,Schema%2C%20AEO%20%26%20Technical%20Setup" TargetMode="External" /><Relationship Type="http://schemas.openxmlformats.org/officeDocument/2006/relationships/hyperlink" Id="rId64" Target="https://developers.google.com/search/docs/appearance/structured-data/faqpage" TargetMode="External" /><Relationship Type="http://schemas.openxmlformats.org/officeDocument/2006/relationships/hyperlink" Id="rId25" Target="https://developers.google.com/search/docs/appearance/structured-data/faqpage#:~:text=FAQ%20%28,data" TargetMode="External" /><Relationship Type="http://schemas.openxmlformats.org/officeDocument/2006/relationships/hyperlink" Id="rId67" Target="https://purewrite.io/blog/seo-content-writing-best-practices" TargetMode="External" /><Relationship Type="http://schemas.openxmlformats.org/officeDocument/2006/relationships/hyperlink" Id="rId32" Target="https://purewrite.io/blog/seo-content-writing-best-practices#:~:text=,examples%2C%20and%20any%20outdated%20information" TargetMode="External" /><Relationship Type="http://schemas.openxmlformats.org/officeDocument/2006/relationships/hyperlink" Id="rId56" Target="https://purewrite.io/blog/seo-content-writing-best-practices#:~:text=2,and%20Readability" TargetMode="External" /><Relationship Type="http://schemas.openxmlformats.org/officeDocument/2006/relationships/hyperlink" Id="rId66" Target="https://www.indoition.com/en/products/styles-for-notes-warnings-in-online-documentation.htm" TargetMode="External" /><Relationship Type="http://schemas.openxmlformats.org/officeDocument/2006/relationships/hyperlink" Id="rId45" Target="https://www.indoition.com/en/products/styles-for-notes-warnings-in-online-documentation.htm#:~:text=In%20the%20best%20case%2C%20the,them%20in%20a%20single%20place" TargetMode="External" /><Relationship Type="http://schemas.openxmlformats.org/officeDocument/2006/relationships/hyperlink" Id="rId31" Target="https://www.indoition.com/en/products/styles-for-notes-warnings-in-online-documentation.htm#:~:text=Styles%20for%20notes%20and%20warnings,in%20online%20documentation" TargetMode="External" /><Relationship Type="http://schemas.openxmlformats.org/officeDocument/2006/relationships/hyperlink" Id="rId65" Target="https://www.nngroup.com/articles/comparison-tables/" TargetMode="External" /><Relationship Type="http://schemas.openxmlformats.org/officeDocument/2006/relationships/hyperlink" Id="rId41" Target="https://www.nngroup.com/articles/comparison-tables/#:~:text=Be%20Consistent" TargetMode="External" /><Relationship Type="http://schemas.openxmlformats.org/officeDocument/2006/relationships/hyperlink" Id="rId42" Target="https://www.nngroup.com/articles/comparison-tables/#:~:text=Sticky%20Column%20Headers" TargetMode="External" /><Relationship Type="http://schemas.openxmlformats.org/officeDocument/2006/relationships/hyperlink" Id="rId55" Target="https://www.nngroup.com/articles/comparison-tables/#:~:text=The%20biggest%20problem%20with%20most,with%20slightly%20different%20metadata%20available" TargetMode="External" /><Relationship Type="http://schemas.openxmlformats.org/officeDocument/2006/relationships/hyperlink" Id="rId29" Target="https://www.nngroup.com/articles/comparison-tables/#:~:text=Use%20Comparison%20Tables%20for%20Up,to%205%20Items" TargetMode="External" /><Relationship Type="http://schemas.openxmlformats.org/officeDocument/2006/relationships/hyperlink" Id="rId63" Target="https://www.nngroup.com/articles/recommendations-calculator/" TargetMode="External" /><Relationship Type="http://schemas.openxmlformats.org/officeDocument/2006/relationships/hyperlink" Id="rId23" Target="https://www.nngroup.com/articles/recommendations-calculator/#:~:text=1.%20Optimize%20Calculator,SEO" TargetMode="External" /><Relationship Type="http://schemas.openxmlformats.org/officeDocument/2006/relationships/hyperlink" Id="rId38" Target="https://www.nngroup.com/articles/recommendations-calculator/#:~:text=11,of%20the%20Tool" TargetMode="External" /><Relationship Type="http://schemas.openxmlformats.org/officeDocument/2006/relationships/hyperlink" Id="rId49" Target="https://www.nngroup.com/articles/recommendations-calculator/#:~:text=2,Webpages" TargetMode="External" /><Relationship Type="http://schemas.openxmlformats.org/officeDocument/2006/relationships/hyperlink" Id="rId35" Target="https://www.nngroup.com/articles/recommendations-calculator/#:~:text=3,User%20Input" TargetMode="External" /><Relationship Type="http://schemas.openxmlformats.org/officeDocument/2006/relationships/hyperlink" Id="rId24" Target="https://www.nngroup.com/articles/recommendations-calculator/#:~:text=4,Register%20to%20Use%20a%20Tool" TargetMode="External" /><Relationship Type="http://schemas.openxmlformats.org/officeDocument/2006/relationships/hyperlink" Id="rId51" Target="https://www.nngroup.com/articles/recommendations-calculator/#:~:text=6,and%20Restarts" TargetMode="External" /><Relationship Type="http://schemas.openxmlformats.org/officeDocument/2006/relationships/hyperlink" Id="rId37" Target="https://www.nngroup.com/articles/recommendations-calculator/#:~:text=7,Purpose%20of%20Inputs" TargetMode="External" /><Relationship Type="http://schemas.openxmlformats.org/officeDocument/2006/relationships/hyperlink" Id="rId36" Target="https://www.nngroup.com/articles/recommendations-calculator/#:~:text=9,Ways" TargetMode="External" /><Relationship Type="http://schemas.openxmlformats.org/officeDocument/2006/relationships/hyperlink" Id="rId62" Target="https://www.useomnia.com/knowledge-base/source-trust-signals-for-ai" TargetMode="External" /><Relationship Type="http://schemas.openxmlformats.org/officeDocument/2006/relationships/hyperlink" Id="rId22" Target="https://www.useomnia.com/knowledge-base/source-trust-signals-for-ai#:~:text=On,need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cpa.leadgid.com/articles/seo-playbook-loan-affiliates" TargetMode="External" /><Relationship Type="http://schemas.openxmlformats.org/officeDocument/2006/relationships/hyperlink" Id="rId43" Target="https://cpa.leadgid.com/articles/seo-playbook-loan-affiliates#:~:text=,answers%20short%2C%20and%20terms%20defined" TargetMode="External" /><Relationship Type="http://schemas.openxmlformats.org/officeDocument/2006/relationships/hyperlink" Id="rId33" Target="https://cpa.leadgid.com/articles/seo-playbook-loan-affiliates#:~:text=Architecture%20%E2%80%94%20how%20to%20structure,the%20site" TargetMode="External" /><Relationship Type="http://schemas.openxmlformats.org/officeDocument/2006/relationships/hyperlink" Id="rId21" Target="https://cpa.leadgid.com/articles/seo-playbook-loan-affiliates#:~:text=SEO%20Playbook%20for%20Loan%20Affiliates%3A,Schema%2C%20AEO%20%26%20Technical%20Setup" TargetMode="External" /><Relationship Type="http://schemas.openxmlformats.org/officeDocument/2006/relationships/hyperlink" Id="rId64" Target="https://developers.google.com/search/docs/appearance/structured-data/faqpage" TargetMode="External" /><Relationship Type="http://schemas.openxmlformats.org/officeDocument/2006/relationships/hyperlink" Id="rId25" Target="https://developers.google.com/search/docs/appearance/structured-data/faqpage#:~:text=FAQ%20%28,data" TargetMode="External" /><Relationship Type="http://schemas.openxmlformats.org/officeDocument/2006/relationships/hyperlink" Id="rId67" Target="https://purewrite.io/blog/seo-content-writing-best-practices" TargetMode="External" /><Relationship Type="http://schemas.openxmlformats.org/officeDocument/2006/relationships/hyperlink" Id="rId32" Target="https://purewrite.io/blog/seo-content-writing-best-practices#:~:text=,examples%2C%20and%20any%20outdated%20information" TargetMode="External" /><Relationship Type="http://schemas.openxmlformats.org/officeDocument/2006/relationships/hyperlink" Id="rId56" Target="https://purewrite.io/blog/seo-content-writing-best-practices#:~:text=2,and%20Readability" TargetMode="External" /><Relationship Type="http://schemas.openxmlformats.org/officeDocument/2006/relationships/hyperlink" Id="rId66" Target="https://www.indoition.com/en/products/styles-for-notes-warnings-in-online-documentation.htm" TargetMode="External" /><Relationship Type="http://schemas.openxmlformats.org/officeDocument/2006/relationships/hyperlink" Id="rId45" Target="https://www.indoition.com/en/products/styles-for-notes-warnings-in-online-documentation.htm#:~:text=In%20the%20best%20case%2C%20the,them%20in%20a%20single%20place" TargetMode="External" /><Relationship Type="http://schemas.openxmlformats.org/officeDocument/2006/relationships/hyperlink" Id="rId31" Target="https://www.indoition.com/en/products/styles-for-notes-warnings-in-online-documentation.htm#:~:text=Styles%20for%20notes%20and%20warnings,in%20online%20documentation" TargetMode="External" /><Relationship Type="http://schemas.openxmlformats.org/officeDocument/2006/relationships/hyperlink" Id="rId65" Target="https://www.nngroup.com/articles/comparison-tables/" TargetMode="External" /><Relationship Type="http://schemas.openxmlformats.org/officeDocument/2006/relationships/hyperlink" Id="rId41" Target="https://www.nngroup.com/articles/comparison-tables/#:~:text=Be%20Consistent" TargetMode="External" /><Relationship Type="http://schemas.openxmlformats.org/officeDocument/2006/relationships/hyperlink" Id="rId42" Target="https://www.nngroup.com/articles/comparison-tables/#:~:text=Sticky%20Column%20Headers" TargetMode="External" /><Relationship Type="http://schemas.openxmlformats.org/officeDocument/2006/relationships/hyperlink" Id="rId55" Target="https://www.nngroup.com/articles/comparison-tables/#:~:text=The%20biggest%20problem%20with%20most,with%20slightly%20different%20metadata%20available" TargetMode="External" /><Relationship Type="http://schemas.openxmlformats.org/officeDocument/2006/relationships/hyperlink" Id="rId29" Target="https://www.nngroup.com/articles/comparison-tables/#:~:text=Use%20Comparison%20Tables%20for%20Up,to%205%20Items" TargetMode="External" /><Relationship Type="http://schemas.openxmlformats.org/officeDocument/2006/relationships/hyperlink" Id="rId63" Target="https://www.nngroup.com/articles/recommendations-calculator/" TargetMode="External" /><Relationship Type="http://schemas.openxmlformats.org/officeDocument/2006/relationships/hyperlink" Id="rId23" Target="https://www.nngroup.com/articles/recommendations-calculator/#:~:text=1.%20Optimize%20Calculator,SEO" TargetMode="External" /><Relationship Type="http://schemas.openxmlformats.org/officeDocument/2006/relationships/hyperlink" Id="rId38" Target="https://www.nngroup.com/articles/recommendations-calculator/#:~:text=11,of%20the%20Tool" TargetMode="External" /><Relationship Type="http://schemas.openxmlformats.org/officeDocument/2006/relationships/hyperlink" Id="rId49" Target="https://www.nngroup.com/articles/recommendations-calculator/#:~:text=2,Webpages" TargetMode="External" /><Relationship Type="http://schemas.openxmlformats.org/officeDocument/2006/relationships/hyperlink" Id="rId35" Target="https://www.nngroup.com/articles/recommendations-calculator/#:~:text=3,User%20Input" TargetMode="External" /><Relationship Type="http://schemas.openxmlformats.org/officeDocument/2006/relationships/hyperlink" Id="rId24" Target="https://www.nngroup.com/articles/recommendations-calculator/#:~:text=4,Register%20to%20Use%20a%20Tool" TargetMode="External" /><Relationship Type="http://schemas.openxmlformats.org/officeDocument/2006/relationships/hyperlink" Id="rId51" Target="https://www.nngroup.com/articles/recommendations-calculator/#:~:text=6,and%20Restarts" TargetMode="External" /><Relationship Type="http://schemas.openxmlformats.org/officeDocument/2006/relationships/hyperlink" Id="rId37" Target="https://www.nngroup.com/articles/recommendations-calculator/#:~:text=7,Purpose%20of%20Inputs" TargetMode="External" /><Relationship Type="http://schemas.openxmlformats.org/officeDocument/2006/relationships/hyperlink" Id="rId36" Target="https://www.nngroup.com/articles/recommendations-calculator/#:~:text=9,Ways" TargetMode="External" /><Relationship Type="http://schemas.openxmlformats.org/officeDocument/2006/relationships/hyperlink" Id="rId62" Target="https://www.useomnia.com/knowledge-base/source-trust-signals-for-ai" TargetMode="External" /><Relationship Type="http://schemas.openxmlformats.org/officeDocument/2006/relationships/hyperlink" Id="rId22" Target="https://www.useomnia.com/knowledge-base/source-trust-signals-for-ai#:~:text=On,need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2026-05-25T16:23:05Z</dcterms:created>
  <dcterms:modified xsi:type="dcterms:W3CDTF">2026-05-25T16:23:05Z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