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302379">
      <w:pPr>
        <w:spacing w:before="240" w:after="200" w:line="300" w:lineRule="auto"/>
        <w:ind w:firstLine="0"/>
        <w:jc w:val="center"/>
      </w:pPr>
      <w:r>
        <w:rPr>
          <w:rFonts w:ascii="Times New Roman" w:hAnsi="Times New Roman" w:eastAsia="黑体" w:cs="Times New Roman"/>
          <w:b/>
          <w:i w:val="0"/>
          <w:sz w:val="36"/>
        </w:rPr>
        <w:t>TraceEvo：面向医学多智能体协同推理的双图审计溯源与可信经验固化方法</w:t>
      </w:r>
    </w:p>
    <w:p w14:paraId="45F7BB29">
      <w:pPr>
        <w:spacing w:before="120" w:after="80" w:line="288" w:lineRule="auto"/>
        <w:ind w:firstLine="0"/>
        <w:jc w:val="both"/>
      </w:pPr>
      <w:r>
        <w:rPr>
          <w:rFonts w:ascii="Times New Roman" w:hAnsi="Times New Roman" w:eastAsia="黑体" w:cs="Times New Roman"/>
          <w:b/>
          <w:i w:val="0"/>
          <w:sz w:val="19"/>
        </w:rPr>
        <w:t>摘  要：</w:t>
      </w:r>
      <w:r>
        <w:rPr>
          <w:rFonts w:ascii="Times New Roman" w:hAnsi="Times New Roman" w:eastAsia="宋体" w:cs="Times New Roman"/>
          <w:b w:val="0"/>
          <w:i w:val="0"/>
          <w:sz w:val="19"/>
        </w:rPr>
        <w:t>医学多智能体协同推理能够组合不同专</w:t>
      </w:r>
      <w:r>
        <w:rPr>
          <w:rFonts w:hint="eastAsia" w:ascii="Times New Roman" w:hAnsi="Times New Roman" w:eastAsia="宋体" w:cs="Times New Roman"/>
          <w:b w:val="0"/>
          <w:i w:val="0"/>
          <w:sz w:val="19"/>
          <w:lang w:val="en-US" w:eastAsia="zh-CN"/>
        </w:rPr>
        <w:t>家</w:t>
      </w:r>
      <w:r>
        <w:rPr>
          <w:rFonts w:ascii="Times New Roman" w:hAnsi="Times New Roman" w:eastAsia="宋体" w:cs="Times New Roman"/>
          <w:b w:val="0"/>
          <w:i w:val="0"/>
          <w:sz w:val="19"/>
        </w:rPr>
        <w:t>智能体与外部医学证据，但现有方法通常仅关注最终推理图或任务诊断结果，难以有效回答某一诊断结论由哪些智能体调用与临床证据产生、中间异常如何隐蔽传播、以及一条结论正确的历史轨迹是否真正具备被后续系统安全复用的价值。针对上述关键瓶颈，本文提出一种面向医学多智能体协同推理的双图审计溯源与可信经验固化方法 TraceEvo。TraceEvo 在扩展因果传播图（GoS）的医学因果推理图之外，构建正交且可严格重放的执行溯源图、底层模型调用账本与跨图双向绑定机制，并建立包含直接事实、软匹配、合法推导与未经证实断言的 P0–P3 证据来源层级（Provenance Tier）与轻量化密码学防篡改哈希链审计机制。为彻底杜绝经验库污染，TraceEvo 进一步引入任务后结果验证（Post-hoc Outcome Verification），与全过程执行审计联合形成经验准入契约（Experience Eligibility Contract），将协作轨迹严格划分为验证成功、验证失败、人工复核与拒绝四类经验状态。在包含 58 个独立保留测试病例（Held-out operational block）与 402 次受控原发故障注入的系统评测中，TraceEvo 在受控故障模型上取得了 Macro-F1 = 0.960（95% CI [0.943, 0.975]）与可观测根因定位准确率 Top-1 = 0.978（393/402）。在双反例隔离测试中，面对“错误结果但过程干净”（incorrect-clean）的 22 条轨迹，单一过程审计错误接纳了 22/22，而 TraceEvo 实现 0/22 接纳；面对“正确结果但过程污染”（correct-but-poisoned）的 19 条轨迹，单一结果验证错误接纳了 19/19，而 TraceEvo 同样实现 0/19 接纳。TraceEvo 不依赖底层模型参数微调，为异构复杂医学多智能体系统构建了“过程可溯源、异常可定位、经验双约束”的闭环可信基石。</w:t>
      </w:r>
    </w:p>
    <w:p w14:paraId="5188073A">
      <w:pPr>
        <w:spacing w:before="40" w:after="80" w:line="288" w:lineRule="auto"/>
        <w:ind w:firstLine="0"/>
        <w:jc w:val="both"/>
      </w:pPr>
      <w:r>
        <w:rPr>
          <w:rFonts w:ascii="Times New Roman" w:hAnsi="Times New Roman" w:eastAsia="黑体" w:cs="Times New Roman"/>
          <w:b/>
          <w:i w:val="0"/>
          <w:sz w:val="19"/>
        </w:rPr>
        <w:t>关键词：</w:t>
      </w:r>
      <w:r>
        <w:rPr>
          <w:rFonts w:ascii="Times New Roman" w:hAnsi="Times New Roman" w:eastAsia="宋体" w:cs="Times New Roman"/>
          <w:b w:val="0"/>
          <w:i w:val="0"/>
          <w:sz w:val="19"/>
        </w:rPr>
        <w:t>医学多智能体系统；协同推理；审计溯源；异常检测；可信经验；大语言模型智能体</w:t>
      </w:r>
    </w:p>
    <w:p w14:paraId="6292DF3E">
      <w:pPr>
        <w:spacing w:before="40" w:after="200" w:line="288" w:lineRule="auto"/>
        <w:ind w:firstLine="0"/>
        <w:jc w:val="both"/>
      </w:pPr>
      <w:r>
        <w:rPr>
          <w:rFonts w:ascii="Times New Roman" w:hAnsi="Times New Roman" w:eastAsia="黑体" w:cs="Times New Roman"/>
          <w:b/>
          <w:i w:val="0"/>
          <w:sz w:val="19"/>
        </w:rPr>
        <w:t>中图分类号：</w:t>
      </w:r>
      <w:r>
        <w:rPr>
          <w:rFonts w:ascii="Times New Roman" w:hAnsi="Times New Roman" w:eastAsia="Times New Roman" w:cs="Times New Roman"/>
          <w:b w:val="0"/>
          <w:i w:val="0"/>
          <w:sz w:val="19"/>
        </w:rPr>
        <w:t xml:space="preserve">TP391 / TP18               </w:t>
      </w:r>
      <w:r>
        <w:rPr>
          <w:rFonts w:ascii="Times New Roman" w:hAnsi="Times New Roman" w:eastAsia="黑体" w:cs="Times New Roman"/>
          <w:b/>
          <w:i w:val="0"/>
          <w:sz w:val="19"/>
        </w:rPr>
        <w:t>文献标识码：</w:t>
      </w:r>
      <w:r>
        <w:rPr>
          <w:rFonts w:ascii="Times New Roman" w:hAnsi="Times New Roman" w:eastAsia="Times New Roman" w:cs="Times New Roman"/>
          <w:b w:val="0"/>
          <w:i w:val="0"/>
          <w:sz w:val="19"/>
        </w:rPr>
        <w:t>A</w:t>
      </w:r>
    </w:p>
    <w:p w14:paraId="7D2C1B9A">
      <w:pPr>
        <w:spacing w:before="120" w:after="120" w:line="300" w:lineRule="auto"/>
        <w:ind w:firstLine="0"/>
        <w:jc w:val="center"/>
      </w:pPr>
      <w:r>
        <w:rPr>
          <w:rFonts w:ascii="Arial" w:hAnsi="Arial" w:eastAsia="Arial" w:cs="Arial"/>
          <w:b/>
          <w:i w:val="0"/>
          <w:sz w:val="28"/>
        </w:rPr>
        <w:t>TraceEvo: Dual-Graph Auditable Provenance and Outcome-Aware Trustworthy Experience Consolidation for Medical Multi-Agent Reasoning</w:t>
      </w:r>
    </w:p>
    <w:p w14:paraId="4BA76B57">
      <w:pPr>
        <w:spacing w:before="80" w:after="80" w:line="288" w:lineRule="auto"/>
        <w:ind w:firstLine="0"/>
        <w:jc w:val="both"/>
      </w:pPr>
      <w:r>
        <w:rPr>
          <w:rFonts w:ascii="Times New Roman" w:hAnsi="Times New Roman" w:eastAsia="Times New Roman" w:cs="Times New Roman"/>
          <w:b/>
          <w:i w:val="0"/>
          <w:sz w:val="19"/>
        </w:rPr>
        <w:t xml:space="preserve">Abstract: </w:t>
      </w:r>
      <w:r>
        <w:rPr>
          <w:rFonts w:ascii="Times New Roman" w:hAnsi="Times New Roman" w:eastAsia="Times New Roman" w:cs="Times New Roman"/>
          <w:b w:val="0"/>
          <w:i w:val="0"/>
          <w:sz w:val="19"/>
        </w:rPr>
        <w:t>Medical multi-agent collaborative reasoning excels at orchestrating specialized domain agents with external clinical evidence. However, current frameworks predominantly concentrate on final causal reasoning graphs or diagnostic terminal outcomes, leaving critical vulnerabilities unaddressed: which specific agent invocations and clinical records produced a given finding, how intermediate operational anomalies propagate across the agent network, and whether an outcome-correct trajectory is genuinely trustworthy for downstream reuse. To resolve these challenges, this paper proposes TraceEvo, a dual-graph auditable provenance and outcome-aware trustworthy experience consolidation method for medical multi-agent reasoning. Extending the Graph-of-Spread (GoS) causal reasoning graph, TraceEvo constructs an orthogonal, strictly replayable execution provenance graph, a physical model invocation ledger, and a fine-grained cross-graph binding mechanism, alongside an operational P0–P3 evidence provenance tier (direct grounded, soft grounded, derived, and unsupported assertion) and cryptographic hash-chain integrity auditing. To fundamentally prevent memory poisoning, TraceEvo couples post-hoc outcome verification with full-process execution auditing under an Experience Eligibility Contract, strictly partitioning historical trajectories into four categorical states: Validated Success, Validated Failure, Manual Review, and Reject. Extensive evaluations across a 58-case held-out operational block with 402 controlled primary fault injections demonstrate that TraceEvo achieves a Macro-F1 of 0.960 (95% CI [0.943, 0.975]) and an observable-root Top-1 localization accuracy of 0.978 (393/402). Crucially, under dual counterexample stress testing, process-only auditing (AuditOnly) erroneously admitted 22/22 incorrect-clean trajectories (TraceEvo admitted 0/22), while outcome-only verification (OutcomeOnly) erroneously admitted 19/19 correct-but-poisoned trajectories (TraceEvo admitted 0/19). Without modifying underlying base model weights, TraceEvo provides a robust, auditable foundation enforcing joint outcome-process constraints for trustworthy experience evolution in complex multi-agent systems.</w:t>
      </w:r>
    </w:p>
    <w:p w14:paraId="53708C9A">
      <w:pPr>
        <w:spacing w:before="40" w:after="240" w:line="288" w:lineRule="auto"/>
        <w:ind w:firstLine="0"/>
        <w:jc w:val="both"/>
      </w:pPr>
      <w:r>
        <w:rPr>
          <w:rFonts w:ascii="Times New Roman" w:hAnsi="Times New Roman" w:eastAsia="Times New Roman" w:cs="Times New Roman"/>
          <w:b/>
          <w:i w:val="0"/>
          <w:sz w:val="19"/>
        </w:rPr>
        <w:t xml:space="preserve">Keywords: </w:t>
      </w:r>
      <w:r>
        <w:rPr>
          <w:rFonts w:ascii="Times New Roman" w:hAnsi="Times New Roman" w:eastAsia="Times New Roman" w:cs="Times New Roman"/>
          <w:b w:val="0"/>
          <w:i w:val="0"/>
          <w:sz w:val="19"/>
        </w:rPr>
        <w:t>medical multi-agent systems; collaborative reasoning; auditable provenance; anomaly detection; trustworthy experience; large language model agents</w:t>
      </w:r>
    </w:p>
    <w:p w14:paraId="3A89AE07">
      <w:pPr>
        <w:keepNext/>
        <w:spacing w:before="280" w:after="100"/>
        <w:ind w:firstLine="0"/>
        <w:jc w:val="left"/>
      </w:pPr>
      <w:r>
        <w:rPr>
          <w:rFonts w:ascii="Arial" w:hAnsi="Arial" w:eastAsia="黑体" w:cs="Arial"/>
          <w:b/>
          <w:i w:val="0"/>
          <w:sz w:val="28"/>
        </w:rPr>
        <w:t>0 引  言</w:t>
      </w:r>
    </w:p>
    <w:p w14:paraId="42CC6DCB">
      <w:pPr>
        <w:spacing w:before="0" w:after="0" w:line="300" w:lineRule="auto"/>
        <w:ind w:firstLine="420"/>
        <w:jc w:val="both"/>
      </w:pPr>
      <w:r>
        <w:rPr>
          <w:rFonts w:ascii="Times New Roman" w:hAnsi="Times New Roman" w:eastAsia="宋体" w:cs="Times New Roman"/>
          <w:b w:val="0"/>
          <w:i w:val="0"/>
          <w:sz w:val="21"/>
        </w:rPr>
        <w:t>随着大语言模型（Large Language Models, LLMs）在通用人工智能领域的突破性进展，面向垂直领域的自主智能体协同系统（Multi-Agent Systems）成为解决复杂专业任务的核心范式 [1,2]。在临床医学领域，单一基础模型受限于上下文长度、多模态专业知识壁垒以及复杂的循证诊断规范，难以独立胜任真实世界的复杂临床决策 [3,4]。为此，医学多智能体协同推理系统应运而生。典型架构通常由中央规划智能体（Central Planner）统筹全局诊断路线，并按需调度放射科、检验科、病理科以及专科临床等领域专家智能体（Specialist Agents），结合外部电子病历（EHR）数据库和医学知识库进行动态检索与多轮交叉论证 [5,6]。尤其在面向边缘智能协同计算与分布式边云医疗系统的实际部署场景中，复杂的智能体编排与专科计算任务往往被解耦并部署在异构的边缘节点与云端服务器之间 [7]。在此类多主体、异构化与多轮交互的协作场景下，智能体间的调用链路深度显著延展，系统的协作效率、执行安全性、推理可追溯性以及历史经验的不可信污染风险，成为了制约其迈向高可靠临床辅助应用的根本瓶颈。需要预先明确的是，本文所提及的边云与分布式医疗协作主要作为技术应用场景与架构部署动机，本研究的核心贡献聚焦于执行审计与经验准入机制，不将具体的边缘通信调度算法列为已验证贡献。</w:t>
      </w:r>
    </w:p>
    <w:p w14:paraId="3931B5EA">
      <w:pPr>
        <w:spacing w:before="0" w:after="0" w:line="300" w:lineRule="auto"/>
        <w:ind w:firstLine="420"/>
        <w:jc w:val="both"/>
      </w:pPr>
      <w:r>
        <w:rPr>
          <w:rFonts w:ascii="Times New Roman" w:hAnsi="Times New Roman" w:eastAsia="宋体" w:cs="Times New Roman"/>
          <w:b w:val="0"/>
          <w:i w:val="0"/>
          <w:sz w:val="21"/>
        </w:rPr>
        <w:t>在医学多智能体协同推理中，当前以扩展因果传播图（Graph-of-Spread, GoS [8]）为代表的前沿方法，通过在认知层面引入显式因果图（Causal Reasoning Graph），系统性地表征临床假设（Hypotheses）、外生证据（Evidences）以及实体间的支持（Support）与反驳（Refute）关系，显著改善了诊断推理的逻辑透明度与结构化能力。然而，深入剖析此类因果推理图可以发现其存在关键的设计局限性，即推理因果图（Causal Graph）并不等价于执行溯源（Execution Provenance）（此为瓶颈一）。因果图本质上是关于医学语义概念的高阶拓扑抽象，其仅能回答“基于证据 A 为什么能够支持或反驳假设 B”，但完全无法回答以下至关重要的执行层问题：某一医学断言或证据节点具体是由哪一个智能体在哪个通信轮次产生？该智能体经历了几次底层模型调用？调用时所采用的具体提示词、参数配置以及读取的外部病历原文哈希值是什么？是否存在由于模型输出格式不符合 JSON Schema 而被系统解析器（Parser）静默丢弃的中间调用？底层的事件流在时序上是否保持严格的因果一致性与防篡改完整性？当缺乏细粒度的执行溯源时，一旦系统输出出现严重偏差，临床审计人员将陷入“知其语义结论，不知其执行源头”的困境。</w:t>
      </w:r>
    </w:p>
    <w:p w14:paraId="08675341">
      <w:pPr>
        <w:spacing w:before="0" w:after="0" w:line="300" w:lineRule="auto"/>
        <w:ind w:firstLine="420"/>
        <w:jc w:val="both"/>
      </w:pPr>
      <w:r>
        <w:rPr>
          <w:rFonts w:ascii="Times New Roman" w:hAnsi="Times New Roman" w:eastAsia="宋体" w:cs="Times New Roman"/>
          <w:b w:val="0"/>
          <w:i w:val="0"/>
          <w:sz w:val="21"/>
        </w:rPr>
        <w:t>进一步地，在工业界与工程实践中，一种直观的解决思路是在多智能体框架外挂传统的平铺式文本运行日志（Audit Logs）。然而，轨迹存在文本记录并不等价于该轨迹具备审计语义与过程可信性（此为瓶颈二）。在实际医学多智能体协同中，由于基础模型的幻觉特性、提示词注入风险或中间调度失误，可能产生多样化且高度隐蔽的协作异常 [9,10]：（1）伪造与无支持证据（Fabricated / Unsupported Evidence），即智能体凭空编造患者具有“阴性血培养”或“CT显示磨玻璃影”等关键临床事实，并作为事实节点强行插入推理图；（2）证据错绑与篡改（Evidence Misbinding / Tampering），即智能体将患者真实的检验指标（如血红蛋白数值）偷换或绑定至错误的病历文本记录；（3）非法专科能力调度（Invalid Capability Invocation），例如中央规划器越权调度不存在的专科工具，或者非放射科智能体擅自执行高风险影像判读；（4）执行轨迹恶意篡改（Trace Tampering），包括中间事件的状态修改、时间戳错位或关键依赖节点的静默删除。现有的平铺日志缺乏图拓扑感知与来源分级语义，既无法区分合理的临床综合推导与外生证据编造，更无法沿着多智能体执行依赖链逆向回溯定位引发系统故障的可观测根因。</w:t>
      </w:r>
    </w:p>
    <w:p w14:paraId="256FD36A">
      <w:pPr>
        <w:spacing w:before="0" w:after="0" w:line="300" w:lineRule="auto"/>
        <w:ind w:firstLine="420"/>
        <w:jc w:val="both"/>
      </w:pPr>
      <w:r>
        <w:rPr>
          <w:rFonts w:ascii="Times New Roman" w:hAnsi="Times New Roman" w:eastAsia="宋体" w:cs="Times New Roman"/>
          <w:b w:val="0"/>
          <w:i w:val="0"/>
          <w:sz w:val="21"/>
        </w:rPr>
        <w:t>更为严峻的挑战发生在系统的经验复用与演进阶段。现有大语言模型智能体广泛探索基于反思（Reflexion）或情景记忆（Episodic Memory）的自适应学习机制 [11,12]，其普遍采用的核心假设为：只要历史协作轨迹最终取得了正确的任务结果，该轨迹便被视为高质量经验沉淀至记忆库中供后续类似病例检索复用。然而，在容错率极低的临床医学场景中，这一假设被证明是极其脆弱且危险的：任务结果正确绝不等于协作经验具备可复用性（此为瓶颈三）。临床诊断存在广泛的“巧合正确”现象，即多智能体系统的中间推理链条严重充斥着伪造事实或篡改证据，但由于搜索空间狭窄或模型猜测侥幸命中了正确病名（Correct-but-Poisoned）。若仅凭“结果正确”这一单一信号（Outcome-Only），系统将毫无防备地将带有毒害因果依赖的轨迹吸纳为标杆经验，在后续病例中持续放大幻觉；反之，若仅依赖过程合规性审计（Audit-Only），当多智能体执行流程无任何异常告警、各项证据均来源于真实病历，但由于底层模型知识局限最终得出完全错误的诊断时（Incorrect-Clean），单纯过程审计同样会错误地将错误诊断轨迹判定为可信经验。上述分析表明，单一结果验证或单一过程审计均存在致命的结构性盲点，唯有在结果正确性与过程可信性同时满足时，历史轨迹才具备固化为经验的正当性。</w:t>
      </w:r>
    </w:p>
    <w:p w14:paraId="7B86CFAE">
      <w:pPr>
        <w:spacing w:before="0" w:after="0" w:line="300" w:lineRule="auto"/>
        <w:ind w:firstLine="420"/>
        <w:jc w:val="both"/>
      </w:pPr>
      <w:r>
        <w:rPr>
          <w:rFonts w:ascii="Times New Roman" w:hAnsi="Times New Roman" w:eastAsia="宋体" w:cs="Times New Roman"/>
          <w:b w:val="0"/>
          <w:i w:val="0"/>
          <w:sz w:val="21"/>
        </w:rPr>
        <w:t>为彻底打破上述三大瓶颈，本文提出面向医学多智能体协同推理的双图审计溯源与可信经验固化方法 TraceEvo。TraceEvo 核心定位于为医学多智能体协同推理构建全过程可追溯、协作异常可审计以及经验准入双约束的闭环可信基石。本文的学术贡献严格凝练为以下三点：</w:t>
      </w:r>
    </w:p>
    <w:p w14:paraId="7CD2CDA4">
      <w:pPr>
        <w:spacing w:before="0" w:after="0" w:line="300" w:lineRule="auto"/>
        <w:ind w:firstLine="420"/>
        <w:jc w:val="both"/>
      </w:pPr>
      <w:r>
        <w:rPr>
          <w:rFonts w:ascii="Times New Roman" w:hAnsi="Times New Roman" w:eastAsia="宋体" w:cs="Times New Roman"/>
          <w:b w:val="0"/>
          <w:i w:val="0"/>
          <w:sz w:val="21"/>
        </w:rPr>
        <w:t>（1）提出双图耦合的全过程可审计推理机制。在 GoS 原有医学因果推理图之外，正交构建轻量化协作执行溯源图（Collaboration Provenance Graph）、模型调用物理账本（Model Invocation Ledger）与图状态增量（Graph Delta），并通过三类显式跨图绑定机制将语义推理节点与底层物理调用、原始病历证据及执行事件流精确对齐，在完全不改变底层多智能体推理行为的前提下实现全流程确定性重放验证。</w:t>
      </w:r>
    </w:p>
    <w:p w14:paraId="1F8D709D">
      <w:pPr>
        <w:spacing w:before="0" w:after="0" w:line="300" w:lineRule="auto"/>
        <w:ind w:firstLine="420"/>
        <w:jc w:val="both"/>
      </w:pPr>
      <w:r>
        <w:rPr>
          <w:rFonts w:ascii="Times New Roman" w:hAnsi="Times New Roman" w:eastAsia="宋体" w:cs="Times New Roman"/>
          <w:b w:val="0"/>
          <w:i w:val="0"/>
          <w:sz w:val="21"/>
        </w:rPr>
        <w:t>（2）提出来源感知的协作异常审计与根因追溯算法。形式化定义包含 P0（直接事实依据）、P1（软接地候选）、P2（合法临床派生推导）与 P3（未经证实事实断言）的四级证据来源分类学（Evidence Provenance Tier），结合密码学哈希链与执行依赖有向无环图（DAG），有效实现针对伪造证据、证据错绑、非法能力调度与轨迹篡改等受控协作异常的精准检测，在 402 次受控故障注入实验中取得 0.960 的 Macro-F1 与 0.978 的可观测根因定位准确率。</w:t>
      </w:r>
    </w:p>
    <w:p w14:paraId="346D321B">
      <w:pPr>
        <w:spacing w:before="0" w:after="0" w:line="300" w:lineRule="auto"/>
        <w:ind w:firstLine="420"/>
        <w:jc w:val="both"/>
      </w:pPr>
      <w:r>
        <w:rPr>
          <w:rFonts w:ascii="Times New Roman" w:hAnsi="Times New Roman" w:eastAsia="宋体" w:cs="Times New Roman"/>
          <w:b w:val="0"/>
          <w:i w:val="0"/>
          <w:sz w:val="21"/>
        </w:rPr>
        <w:t>（3）提出结果—过程双信号约束的可信经验固化契约。构建形式化的经验准入契约（Experience Eligibility Contract），将严格时序隔离的事后结果验证（Post-hoc Outcome Verification）与全过程执行审计深度联合，在独立保留病例测试中，成功对 22 条“错误结果但过程干净”与 19 条“正确结果但过程污染”的结构性反例实现 100% 隔离拦截，为多智能体系统的长期安全演化提供了不可或缺的准入防火墙。</w:t>
      </w:r>
    </w:p>
    <w:p w14:paraId="5F913C25">
      <w:pPr>
        <w:keepNext/>
        <w:spacing w:before="280" w:after="100"/>
        <w:ind w:firstLine="0"/>
        <w:jc w:val="left"/>
      </w:pPr>
      <w:r>
        <w:rPr>
          <w:rFonts w:ascii="Arial" w:hAnsi="Arial" w:eastAsia="黑体" w:cs="Arial"/>
          <w:b/>
          <w:i w:val="0"/>
          <w:sz w:val="28"/>
        </w:rPr>
        <w:t>1 相关工作</w:t>
      </w:r>
    </w:p>
    <w:p w14:paraId="0795EEF4">
      <w:pPr>
        <w:keepNext/>
        <w:spacing w:before="180" w:after="60"/>
        <w:ind w:firstLine="0"/>
        <w:jc w:val="left"/>
      </w:pPr>
      <w:r>
        <w:rPr>
          <w:rFonts w:ascii="Arial" w:hAnsi="Arial" w:eastAsia="黑体" w:cs="Arial"/>
          <w:b/>
          <w:i w:val="0"/>
          <w:sz w:val="23"/>
        </w:rPr>
        <w:t>1.1 医学大语言模型与多智能体协同推理</w:t>
      </w:r>
    </w:p>
    <w:p w14:paraId="3905E05A">
      <w:pPr>
        <w:spacing w:before="0" w:after="0" w:line="300" w:lineRule="auto"/>
        <w:ind w:firstLine="420"/>
        <w:jc w:val="both"/>
      </w:pPr>
      <w:r>
        <w:rPr>
          <w:rFonts w:ascii="Times New Roman" w:hAnsi="Times New Roman" w:eastAsia="宋体" w:cs="Times New Roman"/>
          <w:b w:val="0"/>
          <w:i w:val="0"/>
          <w:sz w:val="21"/>
        </w:rPr>
        <w:t>近年来，以 Med-PaLM、HuatuoGPT 等为代表的医学领域大语言模型展现出了优异的医学知识问答能力 [13,14]。然而，真实临床决策并非孤立的知识问答，而是涉及病史采集、检验判读、鉴别诊断与干预规划的复杂工作流。单一模型在应对长程逻辑与复杂交叉诊断时容易出现逻辑退化与推理崩溃。针对这一瓶颈，多智能体协同框架（Multi-Agent Systems）成为医学人工智能的重要前沿 [1,15]。例如，Med-Agents 提出通过模拟多专科医生会诊机制，由不同角色的智能体就疑难病例进行多轮研讨与投票以提升诊断准确率 [4]；AgentHospital 构建了包含分诊、挂号、问诊、检查和开方全流程的虚拟医院仿真环境 [16]。在推理结构层面，近期提出的扩展因果传播图（Graph-of-Spread, GoS [8]）通过显式构建因果图来规范多智能体诊断推导，将医学假设与临床证据组织为有向拓扑，取得了显著优于传统 ReAct 和链式推理的表现。然而，GoS 关注的重心在于临床概念语义层面的因果逻辑建模，其架构内部缺少关于模型实际调用参数、执行时序流、跨智能体数据传递以及解析器交互边界的细粒度追踪机制。本文提出的 TraceEvo 明确作为 GoS 的正交可信扩展层，旨在保留其原有因果推理能力的同时，为其赋予严密的底层执行可审计性与溯源能力。</w:t>
      </w:r>
    </w:p>
    <w:p w14:paraId="5B1BA5BA">
      <w:pPr>
        <w:keepNext/>
        <w:spacing w:before="180" w:after="60"/>
        <w:ind w:firstLine="0"/>
        <w:jc w:val="left"/>
      </w:pPr>
      <w:r>
        <w:rPr>
          <w:rFonts w:ascii="Arial" w:hAnsi="Arial" w:eastAsia="黑体" w:cs="Arial"/>
          <w:b/>
          <w:i w:val="0"/>
          <w:sz w:val="23"/>
        </w:rPr>
        <w:t>1.2 智能体执行溯源、可观测性与审计</w:t>
      </w:r>
    </w:p>
    <w:p w14:paraId="0E0F17DA">
      <w:pPr>
        <w:spacing w:before="0" w:after="0" w:line="300" w:lineRule="auto"/>
        <w:ind w:firstLine="420"/>
        <w:jc w:val="both"/>
      </w:pPr>
      <w:r>
        <w:rPr>
          <w:rFonts w:ascii="Times New Roman" w:hAnsi="Times New Roman" w:eastAsia="宋体" w:cs="Times New Roman"/>
          <w:b w:val="0"/>
          <w:i w:val="0"/>
          <w:sz w:val="21"/>
        </w:rPr>
        <w:t>随着软件工程与分布式系统可观测性技术的成熟，以 OpenTelemetry 为代表的标准被广泛应用于微服务追踪 [17]。在自主智能体系统中，可观测性逐渐由简单的静态日志记录（Logging）向结构化执行轨迹（Execution Traces）与溯源图（Provenance Graphs）演进 [18,19]。基于 W3C PROV 数据模型，近期研究尝试记录智能体对外部工具的调用、输入输出依赖以及中间思考状态 [20]。例如，LangSmith 等工业级平台提供了 LLM 调用的树状层级可视化；而在学术界，部分工作探索了基于有向无环图的智能体工作流执行审计与防篡改验证 [21]。然而，现有智能体溯源工作普遍存在“语义脱节”缺陷：执行层追踪仅停留在底层的物理调用参数（如 Token 开销、请求时延、API 返回值），完全缺乏与高级认知推理状态（如因果假设节点、反驳证据关系）的显式双向绑定。当发生执行异常或证据篡改时，现有审计系统无法有效判断该物理异常究竟污染了哪一条医学诊断分支，导致溯源分析与临床语义决策严重割裂。</w:t>
      </w:r>
    </w:p>
    <w:p w14:paraId="13552C90">
      <w:pPr>
        <w:keepNext/>
        <w:spacing w:before="180" w:after="60"/>
        <w:ind w:firstLine="0"/>
        <w:jc w:val="left"/>
      </w:pPr>
      <w:r>
        <w:rPr>
          <w:rFonts w:ascii="Arial" w:hAnsi="Arial" w:eastAsia="黑体" w:cs="Arial"/>
          <w:b/>
          <w:i w:val="0"/>
          <w:sz w:val="23"/>
        </w:rPr>
        <w:t>1.3 智能体记忆机制与经验学习</w:t>
      </w:r>
    </w:p>
    <w:p w14:paraId="607964A5">
      <w:pPr>
        <w:spacing w:before="0" w:after="0" w:line="300" w:lineRule="auto"/>
        <w:ind w:firstLine="420"/>
        <w:jc w:val="both"/>
      </w:pPr>
      <w:r>
        <w:rPr>
          <w:rFonts w:ascii="Times New Roman" w:hAnsi="Times New Roman" w:eastAsia="宋体" w:cs="Times New Roman"/>
          <w:b w:val="0"/>
          <w:i w:val="0"/>
          <w:sz w:val="21"/>
        </w:rPr>
        <w:t>赋予智能体长期自适应与持续进化能力是当前人工智能的核心研究方向之一 [22]。现有主流方法多依赖情景记忆（Episodic Memory）与反思机制（Reflexion），通过向量检索或关联图将智能体历史执行成功的案例轨迹或专家经验进行沉淀，并在后续遭遇类似任务时检索注入至提示词上下文中以引导当前决策 [11,12,23]。例如，MemGPT 探索了多层级层次化记忆架构以扩充智能体长程上下文 [24]；ClinRead 等医学问答系统利用相似病历的检索增强（RAG）提升诊断鲁棒性 [25]。然而，现有记忆系统的致命薄弱点在于其准入条件的极端朴素性：绝大多数框架盲目默认“只要最终任务答案命中 Gold 标注，该轨迹即为高质量成功样本”。如前文所述，在临床医学等高风险领域，巧合命中但过程充满伪造证据的毒害轨迹一旦被注入记忆库，将形成持续的隐性知识污染。TraceEvo 提出了一种根本不同的范式：本文并不急于证明记忆检索能否直接提升诊断准确率，而是为多智能体系统构建严格的可信经验准入协议（Gate），确保只有经受住“结果正确”与“过程可信”双重检验的高质量轨迹才能固化进入经验库。</w:t>
      </w:r>
    </w:p>
    <w:p w14:paraId="429F77AD">
      <w:pPr>
        <w:keepNext/>
        <w:spacing w:before="180" w:after="60"/>
        <w:ind w:firstLine="0"/>
        <w:jc w:val="left"/>
      </w:pPr>
      <w:r>
        <w:rPr>
          <w:rFonts w:ascii="Arial" w:hAnsi="Arial" w:eastAsia="黑体" w:cs="Arial"/>
          <w:b/>
          <w:i w:val="0"/>
          <w:sz w:val="23"/>
        </w:rPr>
        <w:t>1.4 可信协同推理与异常防护</w:t>
      </w:r>
    </w:p>
    <w:p w14:paraId="32F0E4E3">
      <w:pPr>
        <w:spacing w:before="0" w:after="0" w:line="300" w:lineRule="auto"/>
        <w:ind w:firstLine="420"/>
        <w:jc w:val="both"/>
      </w:pPr>
      <w:r>
        <w:rPr>
          <w:rFonts w:ascii="Times New Roman" w:hAnsi="Times New Roman" w:eastAsia="宋体" w:cs="Times New Roman"/>
          <w:b w:val="0"/>
          <w:i w:val="0"/>
          <w:sz w:val="21"/>
        </w:rPr>
        <w:t>大语言模型在医学领域的幻觉（Hallucination）与不可信事实生成是临床应用的最大风险源 [9,26]。针对幻觉抑制，学术界主要发展了基于事实检索的接地校验（Fact Grounding）、事后自我一致性验证（Self-Consistency）以及基于外部知识图谱的交叉验证机制 [27,28]。在工具使用合规性方面，研究者提出了基于策略约束的沙箱执行与运行时守卫机制（Guardrails）[29]。然而，在复杂多智能体协同环境下，幻觉的形式呈现出更强的隐蔽性与多变性：不仅包括单一实体的虚构，更涵盖跨智能体证据传递时的错绑、因果极性颠倒以及对未授权专科工具的越权调用。此外，现有的事实校验机制往往采取非黑即白的二元分类，忽略了医学推理中普遍存在的“临床合理派生（Derived）”现象（例如基于未提及发热症状而推断出的“无感染迹象”）。为此，本文系统性地提出了面向临床协同推理的 P0–P3 证据来源四级操作分类学，为多智能体系统的协作异常审计提供了兼具严谨性与临床实用性的度量基准。</w:t>
      </w:r>
    </w:p>
    <w:p w14:paraId="4F9729B2">
      <w:pPr>
        <w:keepNext/>
        <w:spacing w:before="280" w:after="100"/>
        <w:ind w:firstLine="0"/>
        <w:jc w:val="left"/>
      </w:pPr>
      <w:r>
        <w:rPr>
          <w:rFonts w:ascii="Arial" w:hAnsi="Arial" w:eastAsia="黑体" w:cs="Arial"/>
          <w:b/>
          <w:i w:val="0"/>
          <w:sz w:val="28"/>
        </w:rPr>
        <w:t>2 问题定义与总体框架</w:t>
      </w:r>
    </w:p>
    <w:p w14:paraId="7C7B47D9">
      <w:pPr>
        <w:keepNext/>
        <w:spacing w:before="180" w:after="60"/>
        <w:ind w:firstLine="0"/>
        <w:jc w:val="left"/>
      </w:pPr>
      <w:r>
        <w:rPr>
          <w:rFonts w:ascii="Arial" w:hAnsi="Arial" w:eastAsia="黑体" w:cs="Arial"/>
          <w:b/>
          <w:i w:val="0"/>
          <w:sz w:val="23"/>
        </w:rPr>
        <w:t>2.1 GoS 基础推理流程与状态演化</w:t>
      </w:r>
    </w:p>
    <w:p w14:paraId="0BBC9816">
      <w:pPr>
        <w:spacing w:before="0" w:after="0" w:line="300" w:lineRule="auto"/>
        <w:ind w:firstLine="420"/>
        <w:jc w:val="both"/>
      </w:pPr>
      <w:r>
        <w:rPr>
          <w:rFonts w:ascii="Times New Roman" w:hAnsi="Times New Roman" w:eastAsia="宋体" w:cs="Times New Roman"/>
          <w:b w:val="0"/>
          <w:i w:val="0"/>
          <w:sz w:val="21"/>
        </w:rPr>
        <w:t>本文以代表性的医学多智能体协同推理架构 GoS（Graph-of-Spread [8]）作为底层推理基底系统。根据系统源码与临床协同规范，GoS 的基础多智能体协同诊断生命周期严格遵循八阶段状态转移机制：</w:t>
      </w:r>
    </w:p>
    <w:p w14:paraId="65D5A294">
      <w:pPr>
        <w:spacing w:before="0" w:after="0" w:line="300" w:lineRule="auto"/>
        <w:ind w:firstLine="420"/>
        <w:jc w:val="both"/>
      </w:pPr>
      <w:r>
        <w:rPr>
          <w:rFonts w:ascii="Times New Roman" w:hAnsi="Times New Roman" w:eastAsia="宋体" w:cs="Times New Roman"/>
          <w:b w:val="0"/>
          <w:i w:val="0"/>
          <w:sz w:val="21"/>
        </w:rPr>
        <w:t>（1）初始化（Initialization）：加载患者病历基本诉求，初始化全局认知上下文；</w:t>
      </w:r>
      <w:r>
        <w:rPr>
          <w:rFonts w:ascii="Times New Roman" w:hAnsi="Times New Roman" w:eastAsia="宋体" w:cs="Times New Roman"/>
          <w:b w:val="0"/>
          <w:i w:val="0"/>
          <w:sz w:val="21"/>
        </w:rPr>
        <w:br w:type="textWrapping"/>
      </w:r>
      <w:r>
        <w:rPr>
          <w:rFonts w:ascii="Times New Roman" w:hAnsi="Times New Roman" w:eastAsia="宋体" w:cs="Times New Roman"/>
          <w:b w:val="0"/>
          <w:i w:val="0"/>
          <w:sz w:val="21"/>
        </w:rPr>
        <w:t>（2）寻找焦点（FindFocus）：中央协调智能体快速扫描病历，提取主诉与核心症状群，确立初始诊断关注焦点；</w:t>
      </w:r>
      <w:r>
        <w:rPr>
          <w:rFonts w:ascii="Times New Roman" w:hAnsi="Times New Roman" w:eastAsia="宋体" w:cs="Times New Roman"/>
          <w:b w:val="0"/>
          <w:i w:val="0"/>
          <w:sz w:val="21"/>
        </w:rPr>
        <w:br w:type="textWrapping"/>
      </w:r>
      <w:r>
        <w:rPr>
          <w:rFonts w:ascii="Times New Roman" w:hAnsi="Times New Roman" w:eastAsia="宋体" w:cs="Times New Roman"/>
          <w:b w:val="0"/>
          <w:i w:val="0"/>
          <w:sz w:val="21"/>
        </w:rPr>
        <w:t>（3）制定规划（Plan）：中央规划智能体基于当前认知图谱，将诊断任务拆解为具体的专科会诊与证据调查子任务；</w:t>
      </w:r>
      <w:r>
        <w:rPr>
          <w:rFonts w:ascii="Times New Roman" w:hAnsi="Times New Roman" w:eastAsia="宋体" w:cs="Times New Roman"/>
          <w:b w:val="0"/>
          <w:i w:val="0"/>
          <w:sz w:val="21"/>
        </w:rPr>
        <w:br w:type="textWrapping"/>
      </w:r>
      <w:r>
        <w:rPr>
          <w:rFonts w:ascii="Times New Roman" w:hAnsi="Times New Roman" w:eastAsia="宋体" w:cs="Times New Roman"/>
          <w:b w:val="0"/>
          <w:i w:val="0"/>
          <w:sz w:val="21"/>
        </w:rPr>
        <w:t>（4）专科协同执行（ReAct Experts）：规划器调度专科智能体（如心内科、呼吸科、检验科、放射科专家）分别执行 ReAct 范式，检索辅助检查记录并生成专科分析意见；</w:t>
      </w:r>
      <w:r>
        <w:rPr>
          <w:rFonts w:ascii="Times New Roman" w:hAnsi="Times New Roman" w:eastAsia="宋体" w:cs="Times New Roman"/>
          <w:b w:val="0"/>
          <w:i w:val="0"/>
          <w:sz w:val="21"/>
        </w:rPr>
        <w:br w:type="textWrapping"/>
      </w:r>
      <w:r>
        <w:rPr>
          <w:rFonts w:ascii="Times New Roman" w:hAnsi="Times New Roman" w:eastAsia="宋体" w:cs="Times New Roman"/>
          <w:b w:val="0"/>
          <w:i w:val="0"/>
          <w:sz w:val="21"/>
        </w:rPr>
        <w:t>（5）更新因果图（UpdateGraph）：综合专科会诊反馈，向全局医学因果推理图中插入新的假设实体、临床证据并建立因果边；</w:t>
      </w:r>
      <w:r>
        <w:rPr>
          <w:rFonts w:ascii="Times New Roman" w:hAnsi="Times New Roman" w:eastAsia="宋体" w:cs="Times New Roman"/>
          <w:b w:val="0"/>
          <w:i w:val="0"/>
          <w:sz w:val="21"/>
        </w:rPr>
        <w:br w:type="textWrapping"/>
      </w:r>
      <w:r>
        <w:rPr>
          <w:rFonts w:ascii="Times New Roman" w:hAnsi="Times New Roman" w:eastAsia="宋体" w:cs="Times New Roman"/>
          <w:b w:val="0"/>
          <w:i w:val="0"/>
          <w:sz w:val="21"/>
        </w:rPr>
        <w:t>（6）状态转化与传播（StateConversion）：在因果图上执行信念传播与置信度更新，识别当前冲突证据与置信度最高的候选疾病；</w:t>
      </w:r>
      <w:r>
        <w:rPr>
          <w:rFonts w:ascii="Times New Roman" w:hAnsi="Times New Roman" w:eastAsia="宋体" w:cs="Times New Roman"/>
          <w:b w:val="0"/>
          <w:i w:val="0"/>
          <w:sz w:val="21"/>
        </w:rPr>
        <w:br w:type="textWrapping"/>
      </w:r>
      <w:r>
        <w:rPr>
          <w:rFonts w:ascii="Times New Roman" w:hAnsi="Times New Roman" w:eastAsia="宋体" w:cs="Times New Roman"/>
          <w:b w:val="0"/>
          <w:i w:val="0"/>
          <w:sz w:val="21"/>
        </w:rPr>
        <w:t>（7）审查鉴别（CheckReport）：检查当前假设是否充分覆盖全部病症，决定是否触发回溯（Backtrack）或进一步深入钻取（DrillDown）；</w:t>
      </w:r>
      <w:r>
        <w:rPr>
          <w:rFonts w:ascii="Times New Roman" w:hAnsi="Times New Roman" w:eastAsia="宋体" w:cs="Times New Roman"/>
          <w:b w:val="0"/>
          <w:i w:val="0"/>
          <w:sz w:val="21"/>
        </w:rPr>
        <w:br w:type="textWrapping"/>
      </w:r>
      <w:r>
        <w:rPr>
          <w:rFonts w:ascii="Times New Roman" w:hAnsi="Times New Roman" w:eastAsia="宋体" w:cs="Times New Roman"/>
          <w:b w:val="0"/>
          <w:i w:val="0"/>
          <w:sz w:val="21"/>
        </w:rPr>
        <w:t>（8）生成终报（Report）：当满足终止条件或达到最大轮次时，输出最终的鉴别诊断报告与治疗建议。</w:t>
      </w:r>
    </w:p>
    <w:p w14:paraId="7F0CB394">
      <w:pPr>
        <w:keepNext/>
        <w:spacing w:before="180" w:after="60"/>
        <w:ind w:firstLine="0"/>
        <w:jc w:val="left"/>
      </w:pPr>
      <w:r>
        <w:rPr>
          <w:rFonts w:ascii="Arial" w:hAnsi="Arial" w:eastAsia="黑体" w:cs="Arial"/>
          <w:b/>
          <w:i w:val="0"/>
          <w:sz w:val="23"/>
        </w:rPr>
        <w:t>2.2 双图协同模型形式化定义</w:t>
      </w:r>
    </w:p>
    <w:p w14:paraId="5E046726">
      <w:pPr>
        <w:spacing w:before="0" w:after="0" w:line="300" w:lineRule="auto"/>
        <w:ind w:firstLine="420"/>
        <w:jc w:val="both"/>
      </w:pPr>
      <w:r>
        <w:rPr>
          <w:rFonts w:ascii="Times New Roman" w:hAnsi="Times New Roman" w:eastAsia="宋体" w:cs="Times New Roman"/>
          <w:b w:val="0"/>
          <w:i w:val="0"/>
          <w:sz w:val="21"/>
        </w:rPr>
        <w:t>针对传统架构中推理逻辑与执行链路相互混淆的缺陷，TraceEvo 提出解耦的双图协同模型（Dual-Graph Formulation），将多智能体协同系统形式化为正交存在的两张图：推理因果图（Reasoning Causal Graph）与协作执行溯源图（Collaboration Provenance Graph）。</w:t>
      </w:r>
    </w:p>
    <w:p w14:paraId="7A4204F6">
      <w:pPr>
        <w:spacing w:before="0" w:after="0" w:line="300" w:lineRule="auto"/>
        <w:ind w:firstLine="420"/>
        <w:jc w:val="both"/>
      </w:pPr>
      <w:r>
        <w:rPr>
          <w:rFonts w:ascii="Times New Roman" w:hAnsi="Times New Roman" w:eastAsia="宋体" w:cs="Times New Roman"/>
          <w:b w:val="0"/>
          <w:i w:val="0"/>
          <w:sz w:val="21"/>
        </w:rPr>
        <w:t>定义 1（推理因果图）：推理因果图记为 G_C = (V_C, E_C)，其核心职责在于表征医学知识语义层面的因果推导拓扑。其中节点集合 V_C 严格划分为医学假设节点集 V_H 与临床证据节点集 V_E，即：</w:t>
      </w:r>
    </w:p>
    <w:p w14:paraId="1B7CA7E8">
      <w:pPr>
        <w:spacing w:before="80" w:after="80"/>
        <w:ind w:firstLine="0"/>
        <w:jc w:val="both"/>
      </w:pPr>
      <w:r>
        <w:rPr>
          <w:rFonts w:ascii="Cambria Math" w:hAnsi="Cambria Math" w:eastAsia="宋体" w:cs="Cambria Math"/>
          <w:b w:val="0"/>
          <w:i/>
          <w:sz w:val="20"/>
        </w:rPr>
        <w:t xml:space="preserve">    V_C = V_H \cup V_E, \quad V_H \cap V_E = \emptyset</w:t>
      </w:r>
      <w:r>
        <w:rPr>
          <w:rFonts w:ascii="Times New Roman" w:hAnsi="Times New Roman" w:eastAsia="宋体" w:cs="Times New Roman"/>
          <w:b w:val="0"/>
          <w:i w:val="0"/>
          <w:sz w:val="20"/>
        </w:rPr>
        <w:t xml:space="preserve">                                                    #(1)</w:t>
      </w:r>
    </w:p>
    <w:p w14:paraId="315341F4">
      <w:pPr>
        <w:spacing w:before="0" w:after="0" w:line="300" w:lineRule="auto"/>
        <w:ind w:firstLine="420"/>
        <w:jc w:val="both"/>
      </w:pPr>
      <w:r>
        <w:rPr>
          <w:rFonts w:ascii="Times New Roman" w:hAnsi="Times New Roman" w:eastAsia="宋体" w:cs="Times New Roman"/>
          <w:b w:val="0"/>
          <w:i w:val="0"/>
          <w:sz w:val="21"/>
        </w:rPr>
        <w:t>有向边集 E_C ⊆ V_C × V_C 表征实体间的医学因果关系，每条有向边 e_{ij} = (v_i, v_j, ρ) 包含明确的语义关系标签 ρ ∈ {support, refute, refine, related} 以及动态演进的置信度权重 w_{ij} ∈ [-1, 1]。</w:t>
      </w:r>
    </w:p>
    <w:p w14:paraId="692DC248">
      <w:pPr>
        <w:spacing w:before="0" w:after="0" w:line="300" w:lineRule="auto"/>
        <w:ind w:firstLine="420"/>
        <w:jc w:val="both"/>
      </w:pPr>
      <w:r>
        <w:rPr>
          <w:rFonts w:ascii="Times New Roman" w:hAnsi="Times New Roman" w:eastAsia="宋体" w:cs="Times New Roman"/>
          <w:b w:val="0"/>
          <w:i w:val="0"/>
          <w:sz w:val="21"/>
        </w:rPr>
        <w:t>定义 2（协作执行溯源图）：协作执行溯源图记为 G_P = (V_P, E_P)，其核心职责在于刻画系统在底层物理与工程实现上的真实执行来源、主体身份与数据流依赖。其中事件节点集 V_P 中的每一个元素 e_k ∈ V_P 代表一个原子化的协同执行事件，形式化为七元组：</w:t>
      </w:r>
    </w:p>
    <w:p w14:paraId="14518015">
      <w:pPr>
        <w:spacing w:before="80" w:after="80"/>
        <w:ind w:firstLine="0"/>
        <w:jc w:val="both"/>
      </w:pPr>
      <w:r>
        <w:rPr>
          <w:rFonts w:ascii="Cambria Math" w:hAnsi="Cambria Math" w:eastAsia="宋体" w:cs="Cambria Math"/>
          <w:b w:val="0"/>
          <w:i/>
          <w:sz w:val="20"/>
        </w:rPr>
        <w:t xml:space="preserve">    e_k = \langle \text{event\_id}, \text{timestamp}, \text{agent\_role}, \text{event\_type}, \text{payload}, \text{input\_refs}, \text{state\_hash} \rangle</w:t>
      </w:r>
      <w:r>
        <w:rPr>
          <w:rFonts w:ascii="Times New Roman" w:hAnsi="Times New Roman" w:eastAsia="宋体" w:cs="Times New Roman"/>
          <w:b w:val="0"/>
          <w:i w:val="0"/>
          <w:sz w:val="20"/>
        </w:rPr>
        <w:t xml:space="preserve">                                                    #(2)</w:t>
      </w:r>
    </w:p>
    <w:p w14:paraId="38F087F3">
      <w:pPr>
        <w:spacing w:before="0" w:after="0" w:line="300" w:lineRule="auto"/>
        <w:ind w:firstLine="420"/>
        <w:jc w:val="both"/>
      </w:pPr>
      <w:r>
        <w:rPr>
          <w:rFonts w:ascii="Times New Roman" w:hAnsi="Times New Roman" w:eastAsia="宋体" w:cs="Times New Roman"/>
          <w:b w:val="0"/>
          <w:i w:val="0"/>
          <w:sz w:val="21"/>
        </w:rPr>
        <w:t>其中事件类型 event_type 严格限定于预设有限状态集：{PLAN, AGENT_CALL, TOOL_CALL, EVIDENCE_READ, ANALYSIS, GRAPH_UPDATE, BACKTRACK, DRILL_DOWN, FINAL_REPORT}。有向依赖边集 E_P ⊆ V_P × V_P 构成严格的有向无环图（DAG），表征事件之间的执行时序先后约束与因果数据依赖关系（Data &amp; Control Flow Dependency）。</w:t>
      </w:r>
    </w:p>
    <w:p w14:paraId="1A52C6E5">
      <w:pPr>
        <w:keepNext/>
        <w:spacing w:before="180" w:after="60"/>
        <w:ind w:firstLine="0"/>
        <w:jc w:val="left"/>
      </w:pPr>
      <w:r>
        <w:rPr>
          <w:rFonts w:ascii="Arial" w:hAnsi="Arial" w:eastAsia="黑体" w:cs="Arial"/>
          <w:b/>
          <w:i w:val="0"/>
          <w:sz w:val="23"/>
        </w:rPr>
        <w:t>2.3 跨图显式绑定与依赖网络</w:t>
      </w:r>
    </w:p>
    <w:p w14:paraId="18B042B1">
      <w:pPr>
        <w:spacing w:before="0" w:after="0" w:line="300" w:lineRule="auto"/>
        <w:ind w:firstLine="420"/>
        <w:jc w:val="both"/>
      </w:pPr>
      <w:r>
        <w:rPr>
          <w:rFonts w:ascii="Times New Roman" w:hAnsi="Times New Roman" w:eastAsia="宋体" w:cs="Times New Roman"/>
          <w:b w:val="0"/>
          <w:i w:val="0"/>
          <w:sz w:val="21"/>
        </w:rPr>
        <w:t>双图的价值并不在于建立两张孤立的拓扑图，而在于构建确定性、细粒度的跨图显式绑定（Cross-Graph Binding）。TraceEvo 建立了三类核心绑定映射：</w:t>
      </w:r>
    </w:p>
    <w:p w14:paraId="5673470D">
      <w:pPr>
        <w:spacing w:before="0" w:after="0" w:line="300" w:lineRule="auto"/>
        <w:ind w:firstLine="420"/>
        <w:jc w:val="both"/>
      </w:pPr>
      <w:r>
        <w:rPr>
          <w:rFonts w:ascii="Times New Roman" w:hAnsi="Times New Roman" w:eastAsia="宋体" w:cs="Times New Roman"/>
          <w:b w:val="0"/>
          <w:i w:val="0"/>
          <w:sz w:val="21"/>
        </w:rPr>
        <w:t>（1）事件至因果节点映射 Φ_{E → C}: V_P → P(V_C)，将具体的执行事件（例如心内科智能体提交分析意见）与因果图中被新增或激活的具体假设或证据节点显式绑定；</w:t>
      </w:r>
      <w:r>
        <w:rPr>
          <w:rFonts w:ascii="Times New Roman" w:hAnsi="Times New Roman" w:eastAsia="宋体" w:cs="Times New Roman"/>
          <w:b w:val="0"/>
          <w:i w:val="0"/>
          <w:sz w:val="21"/>
        </w:rPr>
        <w:br w:type="textWrapping"/>
      </w:r>
      <w:r>
        <w:rPr>
          <w:rFonts w:ascii="Times New Roman" w:hAnsi="Times New Roman" w:eastAsia="宋体" w:cs="Times New Roman"/>
          <w:b w:val="0"/>
          <w:i w:val="0"/>
          <w:sz w:val="21"/>
        </w:rPr>
        <w:t>（2）原始病历至证据节点映射 Φ_{R → E}: V_E → R ∪ {∅}，将因果图中的每一个证据节点与外部电子病历记录池 R 中的具体原始文本段落或检查记录 ID 对齐；</w:t>
      </w:r>
      <w:r>
        <w:rPr>
          <w:rFonts w:ascii="Times New Roman" w:hAnsi="Times New Roman" w:eastAsia="宋体" w:cs="Times New Roman"/>
          <w:b w:val="0"/>
          <w:i w:val="0"/>
          <w:sz w:val="21"/>
        </w:rPr>
        <w:br w:type="textWrapping"/>
      </w:r>
      <w:r>
        <w:rPr>
          <w:rFonts w:ascii="Times New Roman" w:hAnsi="Times New Roman" w:eastAsia="宋体" w:cs="Times New Roman"/>
          <w:b w:val="0"/>
          <w:i w:val="0"/>
          <w:sz w:val="21"/>
        </w:rPr>
        <w:t>（3）图增量绑定 Φ_{Δ → E}: ΔG_C^{(t)} → e_k^{(t)}，记录因果图在第 t 步发生的拓扑结构变迁（节点的增删、边的更新）究竟是由哪一个具体的溯源执行事件直接触发。</w:t>
      </w:r>
    </w:p>
    <w:p w14:paraId="678C7452">
      <w:pPr>
        <w:spacing w:before="0" w:after="0" w:line="300" w:lineRule="auto"/>
        <w:ind w:firstLine="420"/>
        <w:jc w:val="both"/>
      </w:pPr>
      <w:r>
        <w:rPr>
          <w:rFonts w:ascii="Times New Roman" w:hAnsi="Times New Roman" w:eastAsia="宋体" w:cs="Times New Roman"/>
          <w:b w:val="0"/>
          <w:i w:val="0"/>
          <w:sz w:val="21"/>
        </w:rPr>
        <w:t>重要科学边界声明：本文郑重强调，执行结构溯源（Structural Provenance）绝不等于反事实因果归因（Counterfactual Causal Attribution）。TraceEvo 跨图绑定所构建的是物理执行操作、数据流经路径与因果图拓扑变更之间的显式工程对应关系，确保全过程的可重放审计，本文不声称该执行依赖图即为大语言模型内部深层认知决策的反事实因果解释。</w:t>
      </w:r>
    </w:p>
    <w:p w14:paraId="260577C1">
      <w:pPr>
        <w:keepNext/>
        <w:spacing w:before="180" w:after="60"/>
        <w:ind w:firstLine="0"/>
        <w:jc w:val="left"/>
      </w:pPr>
      <w:r>
        <w:rPr>
          <w:rFonts w:ascii="Arial" w:hAnsi="Arial" w:eastAsia="黑体" w:cs="Arial"/>
          <w:b/>
          <w:i w:val="0"/>
          <w:sz w:val="23"/>
        </w:rPr>
        <w:t>2.4 威胁与受控故障模型</w:t>
      </w:r>
    </w:p>
    <w:p w14:paraId="6A91DC84">
      <w:pPr>
        <w:spacing w:before="0" w:after="0" w:line="300" w:lineRule="auto"/>
        <w:ind w:firstLine="420"/>
        <w:jc w:val="both"/>
      </w:pPr>
      <w:r>
        <w:rPr>
          <w:rFonts w:ascii="Times New Roman" w:hAnsi="Times New Roman" w:eastAsia="宋体" w:cs="Times New Roman"/>
          <w:b w:val="0"/>
          <w:i w:val="0"/>
          <w:sz w:val="21"/>
        </w:rPr>
        <w:t>为系统性评测多智能体协同审计机制的鲁棒性，TraceEvo 形式化定义了面向医学协同推理的受控故障模型（Controlled Fault Model）。该故障模型涵盖四类核心原发异常注入算子（Headline Primary Anomaly Classes）：</w:t>
      </w:r>
    </w:p>
    <w:p w14:paraId="1512E330">
      <w:pPr>
        <w:spacing w:before="0" w:after="0" w:line="300" w:lineRule="auto"/>
        <w:ind w:firstLine="420"/>
        <w:jc w:val="both"/>
      </w:pPr>
      <w:r>
        <w:rPr>
          <w:rFonts w:ascii="Times New Roman" w:hAnsi="Times New Roman" w:eastAsia="宋体" w:cs="Times New Roman"/>
          <w:b w:val="0"/>
          <w:i w:val="0"/>
          <w:sz w:val="21"/>
        </w:rPr>
        <w:t>（1）A1 伪造与无支持证据（Unsupported / Fabricated Evidence）：智能体向全局推理中注入无法与任何真实病历记录对齐、且不属于合规逻辑推导的事实性断言；</w:t>
      </w:r>
      <w:r>
        <w:rPr>
          <w:rFonts w:ascii="Times New Roman" w:hAnsi="Times New Roman" w:eastAsia="宋体" w:cs="Times New Roman"/>
          <w:b w:val="0"/>
          <w:i w:val="0"/>
          <w:sz w:val="21"/>
        </w:rPr>
        <w:br w:type="textWrapping"/>
      </w:r>
      <w:r>
        <w:rPr>
          <w:rFonts w:ascii="Times New Roman" w:hAnsi="Times New Roman" w:eastAsia="宋体" w:cs="Times New Roman"/>
          <w:b w:val="0"/>
          <w:i w:val="0"/>
          <w:sz w:val="21"/>
        </w:rPr>
        <w:t>（2）A2 证据错绑与篡改（Evidence Misbinding / Tampering）：智能体篡改既有真实证据的数值、时间或属性，或将其指向完全不匹配的病历记录；</w:t>
      </w:r>
      <w:r>
        <w:rPr>
          <w:rFonts w:ascii="Times New Roman" w:hAnsi="Times New Roman" w:eastAsia="宋体" w:cs="Times New Roman"/>
          <w:b w:val="0"/>
          <w:i w:val="0"/>
          <w:sz w:val="21"/>
        </w:rPr>
        <w:br w:type="textWrapping"/>
      </w:r>
      <w:r>
        <w:rPr>
          <w:rFonts w:ascii="Times New Roman" w:hAnsi="Times New Roman" w:eastAsia="宋体" w:cs="Times New Roman"/>
          <w:b w:val="0"/>
          <w:i w:val="0"/>
          <w:sz w:val="21"/>
        </w:rPr>
        <w:t>（3）A3 非法专科能力调度（Invalid Capability Invocation）：中央规划器违反专家分工契约，调度未注册的非法智能体角色，或专科智能体执行非授权工具；</w:t>
      </w:r>
      <w:r>
        <w:rPr>
          <w:rFonts w:ascii="Times New Roman" w:hAnsi="Times New Roman" w:eastAsia="宋体" w:cs="Times New Roman"/>
          <w:b w:val="0"/>
          <w:i w:val="0"/>
          <w:sz w:val="21"/>
        </w:rPr>
        <w:br w:type="textWrapping"/>
      </w:r>
      <w:r>
        <w:rPr>
          <w:rFonts w:ascii="Times New Roman" w:hAnsi="Times New Roman" w:eastAsia="宋体" w:cs="Times New Roman"/>
          <w:b w:val="0"/>
          <w:i w:val="0"/>
          <w:sz w:val="21"/>
        </w:rPr>
        <w:t>（4）A5 轨迹完整性破坏（Trace Integrity Tampering）：中间状态被非法修改、事件哈希链断裂、事件时序重排或中间依赖节点被恶意截断。</w:t>
      </w:r>
    </w:p>
    <w:p w14:paraId="4448CE26">
      <w:pPr>
        <w:spacing w:before="0" w:after="0" w:line="300" w:lineRule="auto"/>
        <w:ind w:firstLine="420"/>
        <w:jc w:val="both"/>
      </w:pPr>
      <w:r>
        <w:rPr>
          <w:rFonts w:ascii="Times New Roman" w:hAnsi="Times New Roman" w:eastAsia="宋体" w:cs="Times New Roman"/>
          <w:b w:val="0"/>
          <w:i w:val="0"/>
          <w:sz w:val="21"/>
        </w:rPr>
        <w:t>此外，本文定义 A4 模型调用与解析器边界异常（Invocation / Parser Boundary Anomaly），专门用于捕获由于大模型生成未对齐格式而被解析器丢弃、重试但未进入因果图的幽灵调用，作为深度案例研究进行分析。</w:t>
      </w:r>
    </w:p>
    <w:p w14:paraId="484DCA41">
      <w:pPr>
        <w:keepNext/>
        <w:spacing w:before="180" w:after="60"/>
        <w:ind w:firstLine="0"/>
        <w:jc w:val="left"/>
      </w:pPr>
      <w:r>
        <w:rPr>
          <w:rFonts w:ascii="Arial" w:hAnsi="Arial" w:eastAsia="黑体" w:cs="Arial"/>
          <w:b/>
          <w:i w:val="0"/>
          <w:sz w:val="23"/>
        </w:rPr>
        <w:t>2.5 可信经验状态空间定义</w:t>
      </w:r>
    </w:p>
    <w:p w14:paraId="41413C00">
      <w:pPr>
        <w:spacing w:before="0" w:after="0" w:line="300" w:lineRule="auto"/>
        <w:ind w:firstLine="420"/>
        <w:jc w:val="both"/>
      </w:pPr>
      <w:r>
        <w:rPr>
          <w:rFonts w:ascii="Times New Roman" w:hAnsi="Times New Roman" w:eastAsia="宋体" w:cs="Times New Roman"/>
          <w:b w:val="0"/>
          <w:i w:val="0"/>
          <w:sz w:val="21"/>
        </w:rPr>
        <w:t>TraceEvo 将历史多智能体协作轨迹 T 是否可进入可复用经验库的判定，形式化为在“任务结果有效性（Outcome Validity）”与“过程执行可信性（Process Trustworthiness）”二维空间上的联合决策映射：</w:t>
      </w:r>
    </w:p>
    <w:p w14:paraId="0D8A5E95">
      <w:pPr>
        <w:spacing w:before="80" w:after="80"/>
        <w:ind w:firstLine="0"/>
        <w:jc w:val="both"/>
      </w:pPr>
      <w:r>
        <w:rPr>
          <w:rFonts w:ascii="Cambria Math" w:hAnsi="Cambria Math" w:eastAsia="宋体" w:cs="Cambria Math"/>
          <w:b w:val="0"/>
          <w:i/>
          <w:sz w:val="20"/>
        </w:rPr>
        <w:t xml:space="preserve">    S_{\text{exp}}(T) = F_{\text{Gate}}(O(T), A(T)) \in \{ \text{Success}, \text{Failure}, \text{Review}, \text{Reject} \}</w:t>
      </w:r>
      <w:r>
        <w:rPr>
          <w:rFonts w:ascii="Times New Roman" w:hAnsi="Times New Roman" w:eastAsia="宋体" w:cs="Times New Roman"/>
          <w:b w:val="0"/>
          <w:i w:val="0"/>
          <w:sz w:val="20"/>
        </w:rPr>
        <w:t xml:space="preserve">                                                    #(3)</w:t>
      </w:r>
    </w:p>
    <w:p w14:paraId="541BD1A1">
      <w:pPr>
        <w:spacing w:before="0" w:after="0" w:line="300" w:lineRule="auto"/>
        <w:ind w:firstLine="420"/>
        <w:jc w:val="both"/>
      </w:pPr>
      <w:r>
        <w:rPr>
          <w:rFonts w:ascii="Times New Roman" w:hAnsi="Times New Roman" w:eastAsia="宋体" w:cs="Times New Roman"/>
          <w:b w:val="0"/>
          <w:i w:val="0"/>
          <w:sz w:val="21"/>
        </w:rPr>
        <w:t>其中 O(T) ∈ {Correct, Incorrect, Uncertain} 代表事后结果评判，A(T) ∈ {Clean, Audited_Anomaly, Critical_Failure} 代表全流程审计结果。</w:t>
      </w:r>
    </w:p>
    <w:p w14:paraId="63A8DE8B">
      <w:pPr>
        <w:keepNext/>
        <w:spacing w:before="280" w:after="100"/>
        <w:ind w:firstLine="0"/>
        <w:jc w:val="left"/>
      </w:pPr>
      <w:r>
        <w:rPr>
          <w:rFonts w:ascii="Arial" w:hAnsi="Arial" w:eastAsia="黑体" w:cs="Arial"/>
          <w:b/>
          <w:i w:val="0"/>
          <w:sz w:val="28"/>
        </w:rPr>
        <w:t>3 TraceEvo 方法设计</w:t>
      </w:r>
    </w:p>
    <w:p w14:paraId="191141BA">
      <w:pPr>
        <w:keepNext/>
        <w:spacing w:before="180" w:after="60"/>
        <w:ind w:firstLine="0"/>
        <w:jc w:val="left"/>
      </w:pPr>
      <w:r>
        <w:rPr>
          <w:rFonts w:ascii="Arial" w:hAnsi="Arial" w:eastAsia="黑体" w:cs="Arial"/>
          <w:b/>
          <w:i w:val="0"/>
          <w:sz w:val="23"/>
        </w:rPr>
        <w:t>3.1 总体架构与执行工作流</w:t>
      </w:r>
    </w:p>
    <w:p w14:paraId="21140893">
      <w:pPr>
        <w:spacing w:before="0" w:after="0" w:line="300" w:lineRule="auto"/>
        <w:ind w:firstLine="420"/>
        <w:jc w:val="both"/>
      </w:pPr>
      <w:r>
        <w:rPr>
          <w:rFonts w:ascii="Times New Roman" w:hAnsi="Times New Roman" w:eastAsia="宋体" w:cs="Times New Roman"/>
          <w:b w:val="0"/>
          <w:i w:val="0"/>
          <w:sz w:val="21"/>
        </w:rPr>
        <w:t>TraceEvo 的系统总体架构如图 1 所示。在工程实现</w:t>
      </w:r>
      <w:bookmarkStart w:id="0" w:name="_GoBack"/>
      <w:bookmarkEnd w:id="0"/>
      <w:r>
        <w:rPr>
          <w:rFonts w:ascii="Times New Roman" w:hAnsi="Times New Roman" w:eastAsia="宋体" w:cs="Times New Roman"/>
          <w:b w:val="0"/>
          <w:i w:val="0"/>
          <w:sz w:val="21"/>
        </w:rPr>
        <w:t>上，TraceEvo 采用非侵入式的旁路监视器模式（Sidecar / Hook Architecture），与 GoS 底层推理引擎实现严格解耦。在推理过程中，系统通过装饰器与事件总线拦截所有底层 LLM 请求与协同调度事件，并行维护模型调用账本与执行溯源图，并在每一步计算图状态增量；在推理完成后生成不可篡改的加密封签（Seal）；随后，系统执行来源感知审计与事后结果验证，最终由经验准入门控输出经验分类状态。</w:t>
      </w:r>
    </w:p>
    <w:p w14:paraId="6D1159BE">
      <w:pPr>
        <w:spacing w:before="160" w:after="80"/>
        <w:jc w:val="center"/>
      </w:pPr>
      <w:r>
        <w:rPr>
          <w:rFonts w:ascii="Times New Roman" w:hAnsi="Times New Roman" w:eastAsia="KaiTi" w:cs="Times New Roman"/>
          <w:b w:val="0"/>
          <w:i/>
          <w:color w:val="505050"/>
          <w:sz w:val="18"/>
        </w:rPr>
        <w:t>【图 1 架构/流程示意图：TraceEvo 总体架构与双图执行流】</w:t>
      </w:r>
      <w:r>
        <w:rPr>
          <w:rFonts w:ascii="Times New Roman" w:hAnsi="Times New Roman" w:eastAsia="KaiTi" w:cs="Times New Roman"/>
          <w:b w:val="0"/>
          <w:i/>
          <w:color w:val="505050"/>
          <w:sz w:val="18"/>
        </w:rPr>
        <w:br w:type="textWrapping"/>
      </w:r>
      <w:r>
        <w:rPr>
          <w:rFonts w:ascii="Times New Roman" w:hAnsi="Times New Roman" w:eastAsia="KaiTi" w:cs="Times New Roman"/>
          <w:b w:val="0"/>
          <w:i/>
          <w:color w:val="505050"/>
          <w:sz w:val="18"/>
        </w:rPr>
        <w:t>系统分为推理执行层、双图建模与账本层、审计追溯层以及经验准入门控层。</w:t>
      </w:r>
      <w:r>
        <w:rPr>
          <w:rFonts w:ascii="Times New Roman" w:hAnsi="Times New Roman" w:eastAsia="KaiTi" w:cs="Times New Roman"/>
          <w:b w:val="0"/>
          <w:i/>
          <w:color w:val="505050"/>
          <w:sz w:val="18"/>
        </w:rPr>
        <w:br w:type="textWrapping"/>
      </w:r>
      <w:r>
        <w:rPr>
          <w:rFonts w:ascii="Times New Roman" w:hAnsi="Times New Roman" w:eastAsia="KaiTi" w:cs="Times New Roman"/>
          <w:b w:val="0"/>
          <w:i/>
          <w:color w:val="505050"/>
          <w:sz w:val="18"/>
        </w:rPr>
        <w:t>GoS 推理驱动底层 LLM 调用，TraceEvo 旁路记录 Invocation Ledger 与 Provenance DAG，经 Cross-Graph Binding 实施 P0-P3 来源审计与哈希完整性校验，最终与 Outcome Verification 联合形成四类经验状态。</w:t>
      </w:r>
    </w:p>
    <w:p w14:paraId="6CCD21BC">
      <w:pPr>
        <w:spacing w:before="40" w:after="160"/>
        <w:jc w:val="center"/>
      </w:pPr>
      <w:r>
        <w:rPr>
          <w:rFonts w:ascii="Times New Roman" w:hAnsi="Times New Roman" w:eastAsia="黑体" w:cs="Times New Roman"/>
          <w:b/>
          <w:i w:val="0"/>
          <w:sz w:val="19"/>
        </w:rPr>
        <w:t>图1</w:t>
      </w:r>
      <w:r>
        <w:rPr>
          <w:rFonts w:ascii="Times New Roman" w:hAnsi="Times New Roman" w:eastAsia="黑体" w:cs="Times New Roman"/>
          <w:b/>
          <w:i w:val="0"/>
          <w:sz w:val="19"/>
        </w:rPr>
        <w:tab/>
      </w:r>
      <w:r>
        <w:rPr>
          <w:rFonts w:ascii="Times New Roman" w:hAnsi="Times New Roman" w:eastAsia="黑体" w:cs="Times New Roman"/>
          <w:b/>
          <w:i w:val="0"/>
          <w:sz w:val="19"/>
        </w:rPr>
        <w:t>TraceEvo 总体架构与双图执行流</w:t>
      </w:r>
      <w:r>
        <w:rPr>
          <w:rFonts w:ascii="Times New Roman" w:hAnsi="Times New Roman" w:eastAsia="黑体" w:cs="Times New Roman"/>
          <w:b/>
          <w:i w:val="0"/>
          <w:sz w:val="19"/>
        </w:rPr>
        <w:br w:type="textWrapping"/>
      </w:r>
      <w:r>
        <w:rPr>
          <w:rFonts w:ascii="Times New Roman" w:hAnsi="Times New Roman" w:eastAsia="黑体" w:cs="Times New Roman"/>
          <w:b w:val="0"/>
          <w:i w:val="0"/>
          <w:sz w:val="18"/>
        </w:rPr>
        <w:t>Fig.1  Overall architecture and dual-graph execution flow of TraceEvo</w:t>
      </w:r>
    </w:p>
    <w:p w14:paraId="20DAAC9C">
      <w:pPr>
        <w:keepNext/>
        <w:spacing w:before="180" w:after="60"/>
        <w:ind w:firstLine="0"/>
        <w:jc w:val="left"/>
      </w:pPr>
      <w:r>
        <w:rPr>
          <w:rFonts w:ascii="Arial" w:hAnsi="Arial" w:eastAsia="黑体" w:cs="Arial"/>
          <w:b/>
          <w:i w:val="0"/>
          <w:sz w:val="23"/>
        </w:rPr>
        <w:t>3.2 模型调用账本与双层事件观测</w:t>
      </w:r>
    </w:p>
    <w:p w14:paraId="5C0CFFAA">
      <w:pPr>
        <w:spacing w:before="0" w:after="0" w:line="300" w:lineRule="auto"/>
        <w:ind w:firstLine="420"/>
        <w:jc w:val="both"/>
      </w:pPr>
      <w:r>
        <w:rPr>
          <w:rFonts w:ascii="Times New Roman" w:hAnsi="Times New Roman" w:eastAsia="宋体" w:cs="Times New Roman"/>
          <w:b w:val="0"/>
          <w:i w:val="0"/>
          <w:sz w:val="21"/>
        </w:rPr>
        <w:t>为彻底解决由于解析器丢弃导致的可观测性盲区，TraceEvo 引入两层事件观测模型：</w:t>
      </w:r>
    </w:p>
    <w:p w14:paraId="147E0142">
      <w:pPr>
        <w:spacing w:before="0" w:after="0" w:line="300" w:lineRule="auto"/>
        <w:ind w:firstLine="420"/>
        <w:jc w:val="both"/>
      </w:pPr>
      <w:r>
        <w:rPr>
          <w:rFonts w:ascii="Times New Roman" w:hAnsi="Times New Roman" w:eastAsia="宋体" w:cs="Times New Roman"/>
          <w:b w:val="0"/>
          <w:i w:val="0"/>
          <w:sz w:val="21"/>
        </w:rPr>
        <w:t>（1）物理调用账本（Model Invocation Ledger）：细粒度记录系统向大语言模型后端发起的所有实际 HTTP 请求与原始响应。每一条记录包含唯一的 invocation_id、调用时间戳、精确的请求 Prompt、原始采样温度、模型返回的原始未经解析文本以及系统状态标记（成功、超时、JSON 解析失败等）。即便某个专科智能体的输出因为格式错误被 GoS 顶层解析器捕获并静默触发重试，该原始调用及其内容仍然在账本中永久留痕并分配全局流水号。</w:t>
      </w:r>
    </w:p>
    <w:p w14:paraId="6C268D42">
      <w:pPr>
        <w:spacing w:before="0" w:after="0" w:line="300" w:lineRule="auto"/>
        <w:ind w:firstLine="420"/>
        <w:jc w:val="both"/>
      </w:pPr>
      <w:r>
        <w:rPr>
          <w:rFonts w:ascii="Times New Roman" w:hAnsi="Times New Roman" w:eastAsia="宋体" w:cs="Times New Roman"/>
          <w:b w:val="0"/>
          <w:i w:val="0"/>
          <w:sz w:val="21"/>
        </w:rPr>
        <w:t>（2）语义溯源事件（Semantic Provenance Events）：记录经过解析与校验、真正提交至系统状态机并驱动因果图演化的语义操作。通过账本层流水号与语义事件 ID 的关联指针，TraceEvo 使得任何因果图上的变更均可精确下钻还原至物理调用层的 Token 级原始文本，构筑了端到端透明的可追溯链条。</w:t>
      </w:r>
    </w:p>
    <w:p w14:paraId="7F8F2901">
      <w:pPr>
        <w:keepNext/>
        <w:spacing w:before="180" w:after="60"/>
        <w:ind w:firstLine="0"/>
        <w:jc w:val="left"/>
      </w:pPr>
      <w:r>
        <w:rPr>
          <w:rFonts w:ascii="Arial" w:hAnsi="Arial" w:eastAsia="黑体" w:cs="Arial"/>
          <w:b/>
          <w:i w:val="0"/>
          <w:sz w:val="23"/>
        </w:rPr>
        <w:t>3.3 证据来源分级体系（Evidence Provenance Tier）</w:t>
      </w:r>
    </w:p>
    <w:p w14:paraId="0325BBDE">
      <w:pPr>
        <w:spacing w:before="0" w:after="0" w:line="300" w:lineRule="auto"/>
        <w:ind w:firstLine="420"/>
        <w:jc w:val="both"/>
      </w:pPr>
      <w:r>
        <w:rPr>
          <w:rFonts w:ascii="Times New Roman" w:hAnsi="Times New Roman" w:eastAsia="宋体" w:cs="Times New Roman"/>
          <w:b w:val="0"/>
          <w:i w:val="0"/>
          <w:sz w:val="21"/>
        </w:rPr>
        <w:t>针对复杂多智能体医学推理，TraceEvo 建立了操作化证据来源四级分类学（Evidence Provenance Tier, P0–P3）：</w:t>
      </w:r>
    </w:p>
    <w:p w14:paraId="407B8A61">
      <w:pPr>
        <w:spacing w:before="0" w:after="0" w:line="300" w:lineRule="auto"/>
        <w:ind w:firstLine="420"/>
        <w:jc w:val="both"/>
      </w:pPr>
      <w:r>
        <w:rPr>
          <w:rFonts w:ascii="Times New Roman" w:hAnsi="Times New Roman" w:eastAsia="宋体" w:cs="Times New Roman"/>
          <w:b w:val="0"/>
          <w:i w:val="0"/>
          <w:sz w:val="21"/>
        </w:rPr>
        <w:t>P0（Direct Grounded，直接事实依据）：证据内容与输入病历或外部检索返回的原始检查报告存在确定性实体对齐与精确事实匹配，且具备唯一的原始记录哈希映射；</w:t>
      </w:r>
      <w:r>
        <w:rPr>
          <w:rFonts w:ascii="Times New Roman" w:hAnsi="Times New Roman" w:eastAsia="宋体" w:cs="Times New Roman"/>
          <w:b w:val="0"/>
          <w:i w:val="0"/>
          <w:sz w:val="21"/>
        </w:rPr>
        <w:br w:type="textWrapping"/>
      </w:r>
      <w:r>
        <w:rPr>
          <w:rFonts w:ascii="Times New Roman" w:hAnsi="Times New Roman" w:eastAsia="宋体" w:cs="Times New Roman"/>
          <w:b w:val="0"/>
          <w:i w:val="0"/>
          <w:sz w:val="21"/>
        </w:rPr>
        <w:t>P1（Soft Grounded，软接地候选）：证据与病历中的候选记录存在高度语义关联，但由于表述差异、单位转换或非标准同义词映射，未能达成全自动精确哈希绑定，需要保留软接地置信度；</w:t>
      </w:r>
      <w:r>
        <w:rPr>
          <w:rFonts w:ascii="Times New Roman" w:hAnsi="Times New Roman" w:eastAsia="宋体" w:cs="Times New Roman"/>
          <w:b w:val="0"/>
          <w:i w:val="0"/>
          <w:sz w:val="21"/>
        </w:rPr>
        <w:br w:type="textWrapping"/>
      </w:r>
      <w:r>
        <w:rPr>
          <w:rFonts w:ascii="Times New Roman" w:hAnsi="Times New Roman" w:eastAsia="宋体" w:cs="Times New Roman"/>
          <w:b w:val="0"/>
          <w:i w:val="0"/>
          <w:sz w:val="21"/>
        </w:rPr>
        <w:t>P2（Derived，合法临床派生推导）：证据并非来自外部客观检查结果，而是基于既有医学常识由专科智能体进行的合理临床综合推导（例如综合“心电图 ST 段抬高”与“肌钙蛋白超标”推导出的“心肌坏死综合征象”，或合法的阴性排除断言）。P2 证据在临床推导中合法有效，但审计系统严禁将其伪装为外部检查事实；</w:t>
      </w:r>
      <w:r>
        <w:rPr>
          <w:rFonts w:ascii="Times New Roman" w:hAnsi="Times New Roman" w:eastAsia="宋体" w:cs="Times New Roman"/>
          <w:b w:val="0"/>
          <w:i w:val="0"/>
          <w:sz w:val="21"/>
        </w:rPr>
        <w:br w:type="textWrapping"/>
      </w:r>
      <w:r>
        <w:rPr>
          <w:rFonts w:ascii="Times New Roman" w:hAnsi="Times New Roman" w:eastAsia="宋体" w:cs="Times New Roman"/>
          <w:b w:val="0"/>
          <w:i w:val="0"/>
          <w:sz w:val="21"/>
        </w:rPr>
        <w:t>P3（Unsupported Assertion，未经证实的事实断言）：证据在形式上被表述为患者具备或不具备某项客观临床检查指标，但在系统输入病历与检索日志中完全找不到客观支撑，且不属于合法临床派生推导。</w:t>
      </w:r>
    </w:p>
    <w:p w14:paraId="04A6E8C5">
      <w:pPr>
        <w:spacing w:before="0" w:after="0" w:line="300" w:lineRule="auto"/>
        <w:ind w:firstLine="420"/>
        <w:jc w:val="both"/>
      </w:pPr>
      <w:r>
        <w:rPr>
          <w:rFonts w:ascii="Times New Roman" w:hAnsi="Times New Roman" w:eastAsia="宋体" w:cs="Times New Roman"/>
          <w:b w:val="0"/>
          <w:i w:val="0"/>
          <w:sz w:val="21"/>
        </w:rPr>
        <w:t>在审计流程中，任何未经人工或工具证实、但被用于支持或反驳核心诊断假设（Support / Refute）的 P3 断言，均被立即判定为关键协作异常。</w:t>
      </w:r>
    </w:p>
    <w:p w14:paraId="090C39F9">
      <w:pPr>
        <w:spacing w:before="160" w:after="80"/>
        <w:jc w:val="center"/>
      </w:pPr>
      <w:r>
        <w:rPr>
          <w:rFonts w:ascii="Times New Roman" w:hAnsi="Times New Roman" w:eastAsia="KaiTi" w:cs="Times New Roman"/>
          <w:b w:val="0"/>
          <w:i/>
          <w:color w:val="505050"/>
          <w:sz w:val="18"/>
        </w:rPr>
        <w:t>【图 2 架构/流程示意图：双图耦合与跨图显式绑定机制】</w:t>
      </w:r>
      <w:r>
        <w:rPr>
          <w:rFonts w:ascii="Times New Roman" w:hAnsi="Times New Roman" w:eastAsia="KaiTi" w:cs="Times New Roman"/>
          <w:b w:val="0"/>
          <w:i/>
          <w:color w:val="505050"/>
          <w:sz w:val="18"/>
        </w:rPr>
        <w:br w:type="textWrapping"/>
      </w:r>
      <w:r>
        <w:rPr>
          <w:rFonts w:ascii="Times New Roman" w:hAnsi="Times New Roman" w:eastAsia="KaiTi" w:cs="Times New Roman"/>
          <w:b w:val="0"/>
          <w:i/>
          <w:color w:val="505050"/>
          <w:sz w:val="18"/>
        </w:rPr>
        <w:t>左侧：执行溯源 DAG（PLAN -&gt; AGENT_CALL -&gt; TOOL_READ -&gt; ANALYSIS -&gt; GRAPH_UPDATE）；</w:t>
      </w:r>
      <w:r>
        <w:rPr>
          <w:rFonts w:ascii="Times New Roman" w:hAnsi="Times New Roman" w:eastAsia="KaiTi" w:cs="Times New Roman"/>
          <w:b w:val="0"/>
          <w:i/>
          <w:color w:val="505050"/>
          <w:sz w:val="18"/>
        </w:rPr>
        <w:br w:type="textWrapping"/>
      </w:r>
      <w:r>
        <w:rPr>
          <w:rFonts w:ascii="Times New Roman" w:hAnsi="Times New Roman" w:eastAsia="KaiTi" w:cs="Times New Roman"/>
          <w:b w:val="0"/>
          <w:i/>
          <w:color w:val="505050"/>
          <w:sz w:val="18"/>
        </w:rPr>
        <w:t>右侧：因果推理图（Hypothesis / Evidence 实体网络）；</w:t>
      </w:r>
      <w:r>
        <w:rPr>
          <w:rFonts w:ascii="Times New Roman" w:hAnsi="Times New Roman" w:eastAsia="KaiTi" w:cs="Times New Roman"/>
          <w:b w:val="0"/>
          <w:i/>
          <w:color w:val="505050"/>
          <w:sz w:val="18"/>
        </w:rPr>
        <w:br w:type="textWrapping"/>
      </w:r>
      <w:r>
        <w:rPr>
          <w:rFonts w:ascii="Times New Roman" w:hAnsi="Times New Roman" w:eastAsia="KaiTi" w:cs="Times New Roman"/>
          <w:b w:val="0"/>
          <w:i/>
          <w:color w:val="505050"/>
          <w:sz w:val="18"/>
        </w:rPr>
        <w:t>中间：Binding IDs 与 P0–P3 来源层级标注。明确区分客观事实（P0/P1）、临床派生推导（P2）与未证实断言（P3）。</w:t>
      </w:r>
    </w:p>
    <w:p w14:paraId="3C30C24A">
      <w:pPr>
        <w:spacing w:before="40" w:after="160"/>
        <w:jc w:val="center"/>
      </w:pPr>
      <w:r>
        <w:rPr>
          <w:rFonts w:ascii="Times New Roman" w:hAnsi="Times New Roman" w:eastAsia="黑体" w:cs="Times New Roman"/>
          <w:b/>
          <w:i w:val="0"/>
          <w:sz w:val="19"/>
        </w:rPr>
        <w:t>图2</w:t>
      </w:r>
      <w:r>
        <w:rPr>
          <w:rFonts w:ascii="Times New Roman" w:hAnsi="Times New Roman" w:eastAsia="黑体" w:cs="Times New Roman"/>
          <w:b/>
          <w:i w:val="0"/>
          <w:sz w:val="19"/>
        </w:rPr>
        <w:tab/>
      </w:r>
      <w:r>
        <w:rPr>
          <w:rFonts w:ascii="Times New Roman" w:hAnsi="Times New Roman" w:eastAsia="黑体" w:cs="Times New Roman"/>
          <w:b/>
          <w:i w:val="0"/>
          <w:sz w:val="19"/>
        </w:rPr>
        <w:t>双图耦合与跨图显式绑定机制</w:t>
      </w:r>
      <w:r>
        <w:rPr>
          <w:rFonts w:ascii="Times New Roman" w:hAnsi="Times New Roman" w:eastAsia="黑体" w:cs="Times New Roman"/>
          <w:b/>
          <w:i w:val="0"/>
          <w:sz w:val="19"/>
        </w:rPr>
        <w:br w:type="textWrapping"/>
      </w:r>
      <w:r>
        <w:rPr>
          <w:rFonts w:ascii="Times New Roman" w:hAnsi="Times New Roman" w:eastAsia="黑体" w:cs="Times New Roman"/>
          <w:b w:val="0"/>
          <w:i w:val="0"/>
          <w:sz w:val="18"/>
        </w:rPr>
        <w:t>Fig.2  Dual-graph coupling and cross-graph binding mechanism</w:t>
      </w:r>
    </w:p>
    <w:p w14:paraId="1228A533">
      <w:pPr>
        <w:keepNext/>
        <w:spacing w:before="180" w:after="60"/>
        <w:ind w:firstLine="0"/>
        <w:jc w:val="left"/>
      </w:pPr>
      <w:r>
        <w:rPr>
          <w:rFonts w:ascii="Arial" w:hAnsi="Arial" w:eastAsia="黑体" w:cs="Arial"/>
          <w:b/>
          <w:i w:val="0"/>
          <w:sz w:val="23"/>
        </w:rPr>
        <w:t>3.4 轨迹完整性与密码学防篡改校验</w:t>
      </w:r>
    </w:p>
    <w:p w14:paraId="300D59F4">
      <w:pPr>
        <w:spacing w:before="0" w:after="0" w:line="300" w:lineRule="auto"/>
        <w:ind w:firstLine="420"/>
        <w:jc w:val="both"/>
      </w:pPr>
      <w:r>
        <w:rPr>
          <w:rFonts w:ascii="Times New Roman" w:hAnsi="Times New Roman" w:eastAsia="宋体" w:cs="Times New Roman"/>
          <w:b w:val="0"/>
          <w:i w:val="0"/>
          <w:sz w:val="21"/>
        </w:rPr>
        <w:t>为了保证审计记录在分布式或不可信环境下的法证级可信度，TraceEvo 在执行溯源图的拓扑演进中内嵌轻量化密码学哈希链（Cryptographic Hash Chain）。对于序列中第 k 个执行事件 e_k，其状态哈希值 H_k 递归计算如下：</w:t>
      </w:r>
    </w:p>
    <w:p w14:paraId="10BF7658">
      <w:pPr>
        <w:spacing w:before="80" w:after="80"/>
        <w:ind w:firstLine="0"/>
        <w:jc w:val="both"/>
      </w:pPr>
      <w:r>
        <w:rPr>
          <w:rFonts w:ascii="Cambria Math" w:hAnsi="Cambria Math" w:eastAsia="宋体" w:cs="Cambria Math"/>
          <w:b w:val="0"/>
          <w:i/>
          <w:sz w:val="20"/>
        </w:rPr>
        <w:t xml:space="preserve">    H_k = \text{SHA256}(H_{k-1} \parallel \text{event\_id}_k \parallel \text{payload\_hash}_k \parallel \text{parent\_ids}_k \parallel \tau_k)</w:t>
      </w:r>
      <w:r>
        <w:rPr>
          <w:rFonts w:ascii="Times New Roman" w:hAnsi="Times New Roman" w:eastAsia="宋体" w:cs="Times New Roman"/>
          <w:b w:val="0"/>
          <w:i w:val="0"/>
          <w:sz w:val="20"/>
        </w:rPr>
        <w:t xml:space="preserve">                                                    #(4)</w:t>
      </w:r>
    </w:p>
    <w:p w14:paraId="15A4EF6F">
      <w:pPr>
        <w:spacing w:before="0" w:after="0" w:line="300" w:lineRule="auto"/>
        <w:ind w:firstLine="420"/>
        <w:jc w:val="both"/>
      </w:pPr>
      <w:r>
        <w:rPr>
          <w:rFonts w:ascii="Times New Roman" w:hAnsi="Times New Roman" w:eastAsia="宋体" w:cs="Times New Roman"/>
          <w:b w:val="0"/>
          <w:i w:val="0"/>
          <w:sz w:val="21"/>
        </w:rPr>
        <w:t>其中 H_0 为由系统初始全局参数派生的创世哈希，|| 表示字节级拼接操作，τ_k 为高精度单调时钟时间戳。当多智能体协同推理会话结束时，TraceEvo 将最终状态哈希与因果图序列化摘要融合生成终态会话封签（Execution Seal S_T）。任何后验性的事件删除、字段微调、时序乱序或插入操作，均会导致下游哈希链验证发生级联断裂，从而被系统完整性审计器瞬间拦截。</w:t>
      </w:r>
    </w:p>
    <w:p w14:paraId="121DCD16">
      <w:pPr>
        <w:keepNext/>
        <w:spacing w:before="180" w:after="60"/>
        <w:ind w:firstLine="0"/>
        <w:jc w:val="left"/>
      </w:pPr>
      <w:r>
        <w:rPr>
          <w:rFonts w:ascii="Arial" w:hAnsi="Arial" w:eastAsia="黑体" w:cs="Arial"/>
          <w:b/>
          <w:i w:val="0"/>
          <w:sz w:val="23"/>
        </w:rPr>
        <w:t>3.5 协作异常检测与根因定位算法</w:t>
      </w:r>
    </w:p>
    <w:p w14:paraId="6CEEF23A">
      <w:pPr>
        <w:spacing w:before="0" w:after="0" w:line="300" w:lineRule="auto"/>
        <w:ind w:firstLine="420"/>
        <w:jc w:val="both"/>
      </w:pPr>
      <w:r>
        <w:rPr>
          <w:rFonts w:ascii="Times New Roman" w:hAnsi="Times New Roman" w:eastAsia="宋体" w:cs="Times New Roman"/>
          <w:b w:val="0"/>
          <w:i w:val="0"/>
          <w:sz w:val="21"/>
        </w:rPr>
        <w:t>TraceEvo 的异常检测器在全轨迹执行封签后启动离线深度审计。针对图 3 所示的异常传播过程，系统区分两类根因概念：</w:t>
      </w:r>
    </w:p>
    <w:p w14:paraId="62584F1B">
      <w:pPr>
        <w:spacing w:before="0" w:after="0" w:line="300" w:lineRule="auto"/>
        <w:ind w:firstLine="420"/>
        <w:jc w:val="both"/>
      </w:pPr>
      <w:r>
        <w:rPr>
          <w:rFonts w:ascii="Times New Roman" w:hAnsi="Times New Roman" w:eastAsia="宋体" w:cs="Times New Roman"/>
          <w:b w:val="0"/>
          <w:i w:val="0"/>
          <w:sz w:val="21"/>
        </w:rPr>
        <w:t>（1）可观测故障断裂缝（Observable Failure Seam）：在执行溯源图与因果图上首次表现出合规违背（如 P3 证据插入、非法工具调用、哈希链断裂）的最早可被传感器捕捉的事件节点；</w:t>
      </w:r>
      <w:r>
        <w:rPr>
          <w:rFonts w:ascii="Times New Roman" w:hAnsi="Times New Roman" w:eastAsia="宋体" w:cs="Times New Roman"/>
          <w:b w:val="0"/>
          <w:i w:val="0"/>
          <w:sz w:val="21"/>
        </w:rPr>
        <w:br w:type="textWrapping"/>
      </w:r>
      <w:r>
        <w:rPr>
          <w:rFonts w:ascii="Times New Roman" w:hAnsi="Times New Roman" w:eastAsia="宋体" w:cs="Times New Roman"/>
          <w:b w:val="0"/>
          <w:i w:val="0"/>
          <w:sz w:val="21"/>
        </w:rPr>
        <w:t>（2）潜在注入根因（Latent Injection Root）：在对抗性注入或代码缺陷场景下，诱发系统出现后续连锁反应的最初始物理动作。</w:t>
      </w:r>
    </w:p>
    <w:p w14:paraId="214D7E02">
      <w:pPr>
        <w:spacing w:before="0" w:after="0" w:line="300" w:lineRule="auto"/>
        <w:ind w:firstLine="420"/>
        <w:jc w:val="both"/>
      </w:pPr>
      <w:r>
        <w:rPr>
          <w:rFonts w:ascii="Times New Roman" w:hAnsi="Times New Roman" w:eastAsia="宋体" w:cs="Times New Roman"/>
          <w:b w:val="0"/>
          <w:i w:val="0"/>
          <w:sz w:val="21"/>
        </w:rPr>
        <w:t>对于删除或截断类破坏，由于潜在注入事件已被物理移除，系统主指标采用可观测断裂缝进行定位。定位算法首先逆向遍历执行 DAG，检索最早的异常事件 e_{alert}；随后通过跨图绑定 Φ_{E → C} 确定该物理异常所直接驱动生成的受损因果节点 v_{taint}；最后在因果推理图 G_C 上沿支持/反驳边向下游进行广度优先搜索，标记所有被该异常证据污染的最终诊断报告路径，实现完整的因果影响面分析。</w:t>
      </w:r>
    </w:p>
    <w:p w14:paraId="34C23D09">
      <w:pPr>
        <w:spacing w:before="160" w:after="80"/>
        <w:jc w:val="center"/>
      </w:pPr>
      <w:r>
        <w:rPr>
          <w:rFonts w:ascii="Times New Roman" w:hAnsi="Times New Roman" w:eastAsia="KaiTi" w:cs="Times New Roman"/>
          <w:b w:val="0"/>
          <w:i/>
          <w:color w:val="505050"/>
          <w:sz w:val="18"/>
        </w:rPr>
        <w:t>【图 3 架构/流程示意图：异常检测与根因跨图追溯传播路径】</w:t>
      </w:r>
      <w:r>
        <w:rPr>
          <w:rFonts w:ascii="Times New Roman" w:hAnsi="Times New Roman" w:eastAsia="KaiTi" w:cs="Times New Roman"/>
          <w:b w:val="0"/>
          <w:i/>
          <w:color w:val="505050"/>
          <w:sz w:val="18"/>
        </w:rPr>
        <w:br w:type="textWrapping"/>
      </w:r>
      <w:r>
        <w:rPr>
          <w:rFonts w:ascii="Times New Roman" w:hAnsi="Times New Roman" w:eastAsia="KaiTi" w:cs="Times New Roman"/>
          <w:b w:val="0"/>
          <w:i/>
          <w:color w:val="505050"/>
          <w:sz w:val="18"/>
        </w:rPr>
        <w:t>展示异常注入后如何在执行 DAG 中形成最早可观测故障断裂缝（Observable Failure Seam），</w:t>
      </w:r>
      <w:r>
        <w:rPr>
          <w:rFonts w:ascii="Times New Roman" w:hAnsi="Times New Roman" w:eastAsia="KaiTi" w:cs="Times New Roman"/>
          <w:b w:val="0"/>
          <w:i/>
          <w:color w:val="505050"/>
          <w:sz w:val="18"/>
        </w:rPr>
        <w:br w:type="textWrapping"/>
      </w:r>
      <w:r>
        <w:rPr>
          <w:rFonts w:ascii="Times New Roman" w:hAnsi="Times New Roman" w:eastAsia="KaiTi" w:cs="Times New Roman"/>
          <w:b w:val="0"/>
          <w:i/>
          <w:color w:val="505050"/>
          <w:sz w:val="18"/>
        </w:rPr>
        <w:t>并通过 Cross-Graph Binding 传播至因果图的假设节点，最终逆向追溯并锁定污染源头。</w:t>
      </w:r>
    </w:p>
    <w:p w14:paraId="28894230">
      <w:pPr>
        <w:spacing w:before="40" w:after="160"/>
        <w:jc w:val="center"/>
      </w:pPr>
      <w:r>
        <w:rPr>
          <w:rFonts w:ascii="Times New Roman" w:hAnsi="Times New Roman" w:eastAsia="黑体" w:cs="Times New Roman"/>
          <w:b/>
          <w:i w:val="0"/>
          <w:sz w:val="19"/>
        </w:rPr>
        <w:t>图3</w:t>
      </w:r>
      <w:r>
        <w:rPr>
          <w:rFonts w:ascii="Times New Roman" w:hAnsi="Times New Roman" w:eastAsia="黑体" w:cs="Times New Roman"/>
          <w:b/>
          <w:i w:val="0"/>
          <w:sz w:val="19"/>
        </w:rPr>
        <w:tab/>
      </w:r>
      <w:r>
        <w:rPr>
          <w:rFonts w:ascii="Times New Roman" w:hAnsi="Times New Roman" w:eastAsia="黑体" w:cs="Times New Roman"/>
          <w:b/>
          <w:i w:val="0"/>
          <w:sz w:val="19"/>
        </w:rPr>
        <w:t>异常检测与根因跨图追溯传播路径</w:t>
      </w:r>
      <w:r>
        <w:rPr>
          <w:rFonts w:ascii="Times New Roman" w:hAnsi="Times New Roman" w:eastAsia="黑体" w:cs="Times New Roman"/>
          <w:b/>
          <w:i w:val="0"/>
          <w:sz w:val="19"/>
        </w:rPr>
        <w:br w:type="textWrapping"/>
      </w:r>
      <w:r>
        <w:rPr>
          <w:rFonts w:ascii="Times New Roman" w:hAnsi="Times New Roman" w:eastAsia="黑体" w:cs="Times New Roman"/>
          <w:b w:val="0"/>
          <w:i w:val="0"/>
          <w:sz w:val="18"/>
        </w:rPr>
        <w:t>Fig.3  Anomaly detection and root cause propagation path</w:t>
      </w:r>
    </w:p>
    <w:p w14:paraId="75A32F3D">
      <w:pPr>
        <w:keepNext/>
        <w:spacing w:before="180" w:after="60"/>
        <w:ind w:firstLine="0"/>
        <w:jc w:val="left"/>
      </w:pPr>
      <w:r>
        <w:rPr>
          <w:rFonts w:ascii="Arial" w:hAnsi="Arial" w:eastAsia="黑体" w:cs="Arial"/>
          <w:b/>
          <w:i w:val="0"/>
          <w:sz w:val="23"/>
        </w:rPr>
        <w:t>3.6 事后任务结果验证（Post-hoc Outcome Verification）</w:t>
      </w:r>
    </w:p>
    <w:p w14:paraId="36E33940">
      <w:pPr>
        <w:spacing w:before="0" w:after="0" w:line="300" w:lineRule="auto"/>
        <w:ind w:firstLine="420"/>
        <w:jc w:val="both"/>
      </w:pPr>
      <w:r>
        <w:rPr>
          <w:rFonts w:ascii="Times New Roman" w:hAnsi="Times New Roman" w:eastAsia="宋体" w:cs="Times New Roman"/>
          <w:b w:val="0"/>
          <w:i w:val="0"/>
          <w:sz w:val="21"/>
        </w:rPr>
        <w:t>为保证验证结果的绝对客观性并杜绝数据穿越，TraceEvo 的任务结果验证器严格遵循时序隔离原则（Strict Post-hoc Isolation）：在底层 GoS 多智能体推理全流程中，标准金标准（Gold Diagnosis）处于绝对物理隔离状态，严禁出现在 Central Planner、专科提示词上下文、检索关键词或中间会话日志中；仅当推理会话完全终止、封签 S_T 成功固化后，验证器方才读取真实诊断金标准，调用预先冻结的裁判模型（Frozen Judge Protocol）对最终诊断报告进行判定，输出：verified_success（严格匹配金标准）、verified_incorrect（明确诊断错误）或 uncertain（由于临床表征部分重叠无法断言成功）。</w:t>
      </w:r>
    </w:p>
    <w:p w14:paraId="718C2ADC">
      <w:pPr>
        <w:keepNext/>
        <w:spacing w:before="180" w:after="60"/>
        <w:ind w:firstLine="0"/>
        <w:jc w:val="left"/>
      </w:pPr>
      <w:r>
        <w:rPr>
          <w:rFonts w:ascii="Arial" w:hAnsi="Arial" w:eastAsia="黑体" w:cs="Arial"/>
          <w:b/>
          <w:i w:val="0"/>
          <w:sz w:val="23"/>
        </w:rPr>
        <w:t>3.7 经验准入门控协议与算法实现</w:t>
      </w:r>
    </w:p>
    <w:p w14:paraId="2E4E84C0">
      <w:pPr>
        <w:spacing w:before="0" w:after="0" w:line="300" w:lineRule="auto"/>
        <w:ind w:firstLine="420"/>
        <w:jc w:val="both"/>
      </w:pPr>
      <w:r>
        <w:rPr>
          <w:rFonts w:ascii="Times New Roman" w:hAnsi="Times New Roman" w:eastAsia="宋体" w:cs="Times New Roman"/>
          <w:b w:val="0"/>
          <w:i w:val="0"/>
          <w:sz w:val="21"/>
        </w:rPr>
        <w:t>TraceEvo 的经验准入门控（Experience Gate）结合事后结果与全过程审计信号，实施严密的形式化分类准入契约：</w:t>
      </w:r>
    </w:p>
    <w:p w14:paraId="25F281CC">
      <w:pPr>
        <w:spacing w:before="0" w:after="0" w:line="300" w:lineRule="auto"/>
        <w:ind w:firstLine="420"/>
        <w:jc w:val="both"/>
      </w:pPr>
      <w:r>
        <w:rPr>
          <w:rFonts w:ascii="Times New Roman" w:hAnsi="Times New Roman" w:eastAsia="宋体" w:cs="Times New Roman"/>
          <w:b w:val="0"/>
          <w:i w:val="0"/>
          <w:sz w:val="21"/>
        </w:rPr>
        <w:t>（1）验证成功（Validated Success）：必须同时满足：结果判定为 verified_success、哈希链与轨迹完整性 100% 通过、模型调用账本完整、且在关键决策路径上不存在任何未解决的 P3 证据或致命审计违背；</w:t>
      </w:r>
      <w:r>
        <w:rPr>
          <w:rFonts w:ascii="Times New Roman" w:hAnsi="Times New Roman" w:eastAsia="宋体" w:cs="Times New Roman"/>
          <w:b w:val="0"/>
          <w:i w:val="0"/>
          <w:sz w:val="21"/>
        </w:rPr>
        <w:br w:type="textWrapping"/>
      </w:r>
      <w:r>
        <w:rPr>
          <w:rFonts w:ascii="Times New Roman" w:hAnsi="Times New Roman" w:eastAsia="宋体" w:cs="Times New Roman"/>
          <w:b w:val="0"/>
          <w:i w:val="0"/>
          <w:sz w:val="21"/>
        </w:rPr>
        <w:t>（2）验证失败（Validated Failure）：结果明确错误（verified_incorrect）或包含致命审计违背，但执行溯源图与账本完备，能够完整还原失败根因与推导断裂缝。此类轨迹可作为高质量反面教材进入负向经验库；</w:t>
      </w:r>
      <w:r>
        <w:rPr>
          <w:rFonts w:ascii="Times New Roman" w:hAnsi="Times New Roman" w:eastAsia="宋体" w:cs="Times New Roman"/>
          <w:b w:val="0"/>
          <w:i w:val="0"/>
          <w:sz w:val="21"/>
        </w:rPr>
        <w:br w:type="textWrapping"/>
      </w:r>
      <w:r>
        <w:rPr>
          <w:rFonts w:ascii="Times New Roman" w:hAnsi="Times New Roman" w:eastAsia="宋体" w:cs="Times New Roman"/>
          <w:b w:val="0"/>
          <w:i w:val="0"/>
          <w:sz w:val="21"/>
        </w:rPr>
        <w:t>（3）人工复核（Manual Review）：结果判定为 uncertain，或者关键决策路径上包含 P1 软接地证据但缺乏足够支持，系统挂起并标记风险，移交临床专家人工审查；</w:t>
      </w:r>
      <w:r>
        <w:rPr>
          <w:rFonts w:ascii="Times New Roman" w:hAnsi="Times New Roman" w:eastAsia="宋体" w:cs="Times New Roman"/>
          <w:b w:val="0"/>
          <w:i w:val="0"/>
          <w:sz w:val="21"/>
        </w:rPr>
        <w:br w:type="textWrapping"/>
      </w:r>
      <w:r>
        <w:rPr>
          <w:rFonts w:ascii="Times New Roman" w:hAnsi="Times New Roman" w:eastAsia="宋体" w:cs="Times New Roman"/>
          <w:b w:val="0"/>
          <w:i w:val="0"/>
          <w:sz w:val="21"/>
        </w:rPr>
        <w:t>（4）直接拒绝（Reject）：轨迹哈希链断裂、调用账本缺失、或因底层崩溃导致不可重放验证，视为无价值噪音直接丢弃。</w:t>
      </w:r>
    </w:p>
    <w:p w14:paraId="59F630BC">
      <w:pPr>
        <w:keepNext/>
        <w:spacing w:before="160" w:after="40"/>
      </w:pPr>
      <w:r>
        <w:rPr>
          <w:rFonts w:ascii="Times New Roman" w:hAnsi="Times New Roman" w:eastAsia="黑体" w:cs="Times New Roman"/>
          <w:b/>
          <w:i w:val="0"/>
          <w:sz w:val="20"/>
        </w:rPr>
        <w:t>算法 1：TraceEvo 双图审计溯源与可信经验固化算法</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41"/>
      </w:tblGrid>
      <w:tr w14:paraId="4E92EDD2">
        <w:trPr>
          <w:jc w:val="center"/>
        </w:trPr>
        <w:tc>
          <w:tcPr>
            <w:tcW w:w="8741" w:type="dxa"/>
          </w:tcPr>
          <w:p w14:paraId="593705E1">
            <w:pPr>
              <w:spacing w:before="60" w:after="60" w:line="276" w:lineRule="auto"/>
            </w:pPr>
            <w:r>
              <w:rPr>
                <w:rFonts w:ascii="Times New Roman" w:hAnsi="Times New Roman" w:eastAsia="黑体" w:cs="Times New Roman"/>
                <w:b/>
                <w:i w:val="0"/>
                <w:sz w:val="18"/>
              </w:rPr>
              <w:t>输入：</w:t>
            </w:r>
            <w:r>
              <w:rPr>
                <w:rFonts w:ascii="Times New Roman" w:hAnsi="Times New Roman" w:eastAsia="宋体" w:cs="Times New Roman"/>
                <w:b w:val="0"/>
                <w:i w:val="0"/>
                <w:sz w:val="18"/>
              </w:rPr>
              <w:t>患者原始脱敏病历 CaseInfo，领域专家智能体集合 {a_i}，事后金标准 GoldDiagnosis</w:t>
            </w:r>
            <w:r>
              <w:rPr>
                <w:rFonts w:ascii="Times New Roman" w:hAnsi="Times New Roman" w:eastAsia="宋体" w:cs="Times New Roman"/>
                <w:b w:val="0"/>
                <w:i w:val="0"/>
                <w:sz w:val="18"/>
              </w:rPr>
              <w:br w:type="textWrapping"/>
            </w:r>
            <w:r>
              <w:rPr>
                <w:rFonts w:ascii="Times New Roman" w:hAnsi="Times New Roman" w:eastAsia="黑体" w:cs="Times New Roman"/>
                <w:b/>
                <w:i w:val="0"/>
                <w:sz w:val="18"/>
              </w:rPr>
              <w:t>输出：</w:t>
            </w:r>
            <w:r>
              <w:rPr>
                <w:rFonts w:ascii="Times New Roman" w:hAnsi="Times New Roman" w:eastAsia="宋体" w:cs="Times New Roman"/>
                <w:b w:val="0"/>
                <w:i w:val="0"/>
                <w:sz w:val="18"/>
              </w:rPr>
              <w:t>可信经验固化状态 exp_state，封签会话 S_T，双图 G_C, G_P 与调用账本 L</w:t>
            </w:r>
            <w:r>
              <w:rPr>
                <w:rFonts w:ascii="Times New Roman" w:hAnsi="Times New Roman" w:eastAsia="宋体" w:cs="Times New Roman"/>
                <w:b w:val="0"/>
                <w:i w:val="0"/>
                <w:sz w:val="18"/>
              </w:rPr>
              <w:br w:type="textWrapping"/>
            </w:r>
            <w:r>
              <w:rPr>
                <w:rFonts w:ascii="Times New Roman" w:hAnsi="Times New Roman" w:eastAsia="宋体" w:cs="Times New Roman"/>
                <w:b w:val="0"/>
                <w:i w:val="0"/>
                <w:color w:val="A0A0A0"/>
                <w:sz w:val="16"/>
              </w:rPr>
              <w:t>---------------------------------------------------------------------------</w:t>
            </w:r>
            <w:r>
              <w:rPr>
                <w:rFonts w:ascii="Times New Roman" w:hAnsi="Times New Roman" w:eastAsia="宋体" w:cs="Times New Roman"/>
                <w:b w:val="0"/>
                <w:i w:val="0"/>
                <w:color w:val="A0A0A0"/>
                <w:sz w:val="16"/>
              </w:rPr>
              <w:br w:type="textWrapping"/>
            </w:r>
            <w:r>
              <w:rPr>
                <w:rFonts w:ascii="Courier New" w:hAnsi="Courier New" w:eastAsia="宋体" w:cs="Courier New"/>
                <w:b w:val="0"/>
                <w:i w:val="0"/>
                <w:sz w:val="18"/>
              </w:rPr>
              <w:t>1:  // 阶段 1：带溯源钩子的多智能体协同推理与双图构建</w:t>
            </w:r>
            <w:r>
              <w:rPr>
                <w:rFonts w:ascii="Courier New" w:hAnsi="Courier New" w:eastAsia="宋体" w:cs="Courier New"/>
                <w:b w:val="0"/>
                <w:i w:val="0"/>
                <w:sz w:val="18"/>
              </w:rPr>
              <w:br w:type="textWrapping"/>
            </w:r>
            <w:r>
              <w:rPr>
                <w:rFonts w:ascii="Courier New" w:hAnsi="Courier New" w:eastAsia="宋体" w:cs="Courier New"/>
                <w:b w:val="0"/>
                <w:i w:val="0"/>
                <w:sz w:val="18"/>
              </w:rPr>
              <w:t>2:  初始化因果推理图 G_C = (V_H, V_E, E_C) 与执行溯源图 G_P = (V_P, E_P)</w:t>
            </w:r>
            <w:r>
              <w:rPr>
                <w:rFonts w:ascii="Courier New" w:hAnsi="Courier New" w:eastAsia="宋体" w:cs="Courier New"/>
                <w:b w:val="0"/>
                <w:i w:val="0"/>
                <w:sz w:val="18"/>
              </w:rPr>
              <w:br w:type="textWrapping"/>
            </w:r>
            <w:r>
              <w:rPr>
                <w:rFonts w:ascii="Courier New" w:hAnsi="Courier New" w:eastAsia="宋体" w:cs="Courier New"/>
                <w:b w:val="0"/>
                <w:i w:val="0"/>
                <w:sz w:val="18"/>
              </w:rPr>
              <w:t>3:  初始化模型调用账本 L = [], 初始哈希 H_0 = InitHash(CaseInfo)</w:t>
            </w:r>
            <w:r>
              <w:rPr>
                <w:rFonts w:ascii="Courier New" w:hAnsi="Courier New" w:eastAsia="宋体" w:cs="Courier New"/>
                <w:b w:val="0"/>
                <w:i w:val="0"/>
                <w:sz w:val="18"/>
              </w:rPr>
              <w:br w:type="textWrapping"/>
            </w:r>
            <w:r>
              <w:rPr>
                <w:rFonts w:ascii="Courier New" w:hAnsi="Courier New" w:eastAsia="宋体" w:cs="Courier New"/>
                <w:b w:val="0"/>
                <w:i w:val="0"/>
                <w:sz w:val="18"/>
              </w:rPr>
              <w:t>4:  While 推理未终止 且 步数 t &lt; MaxSteps Do</w:t>
            </w:r>
            <w:r>
              <w:rPr>
                <w:rFonts w:ascii="Courier New" w:hAnsi="Courier New" w:eastAsia="宋体" w:cs="Courier New"/>
                <w:b w:val="0"/>
                <w:i w:val="0"/>
                <w:sz w:val="18"/>
              </w:rPr>
              <w:br w:type="textWrapping"/>
            </w:r>
            <w:r>
              <w:rPr>
                <w:rFonts w:ascii="Courier New" w:hAnsi="Courier New" w:eastAsia="宋体" w:cs="Courier New"/>
                <w:b w:val="0"/>
                <w:i w:val="0"/>
                <w:sz w:val="18"/>
              </w:rPr>
              <w:t>5:      e_plan &lt;- Planner.Schedule(G_C, L)</w:t>
            </w:r>
            <w:r>
              <w:rPr>
                <w:rFonts w:ascii="Courier New" w:hAnsi="Courier New" w:eastAsia="宋体" w:cs="Courier New"/>
                <w:b w:val="0"/>
                <w:i w:val="0"/>
                <w:sz w:val="18"/>
              </w:rPr>
              <w:br w:type="textWrapping"/>
            </w:r>
            <w:r>
              <w:rPr>
                <w:rFonts w:ascii="Courier New" w:hAnsi="Courier New" w:eastAsia="宋体" w:cs="Courier New"/>
                <w:b w:val="0"/>
                <w:i w:val="0"/>
                <w:sz w:val="18"/>
              </w:rPr>
              <w:t>6:      RecordProvenanceEvent(G_P, e_plan); UpdateHashChain(H_t, e_plan)</w:t>
            </w:r>
            <w:r>
              <w:rPr>
                <w:rFonts w:ascii="Courier New" w:hAnsi="Courier New" w:eastAsia="宋体" w:cs="Courier New"/>
                <w:b w:val="0"/>
                <w:i w:val="0"/>
                <w:sz w:val="18"/>
              </w:rPr>
              <w:br w:type="textWrapping"/>
            </w:r>
            <w:r>
              <w:rPr>
                <w:rFonts w:ascii="Courier New" w:hAnsi="Courier New" w:eastAsia="宋体" w:cs="Courier New"/>
                <w:b w:val="0"/>
                <w:i w:val="0"/>
                <w:sz w:val="18"/>
              </w:rPr>
              <w:t>7:      For each scheduled expert agent a_i Do</w:t>
            </w:r>
            <w:r>
              <w:rPr>
                <w:rFonts w:ascii="Courier New" w:hAnsi="Courier New" w:eastAsia="宋体" w:cs="Courier New"/>
                <w:b w:val="0"/>
                <w:i w:val="0"/>
                <w:sz w:val="18"/>
              </w:rPr>
              <w:br w:type="textWrapping"/>
            </w:r>
            <w:r>
              <w:rPr>
                <w:rFonts w:ascii="Courier New" w:hAnsi="Courier New" w:eastAsia="宋体" w:cs="Courier New"/>
                <w:b w:val="0"/>
                <w:i w:val="0"/>
                <w:sz w:val="18"/>
              </w:rPr>
              <w:t>8:          inv_id, raw_resp &lt;- InvokeLLM_WithLedger(a_i, Prompt, L)</w:t>
            </w:r>
            <w:r>
              <w:rPr>
                <w:rFonts w:ascii="Courier New" w:hAnsi="Courier New" w:eastAsia="宋体" w:cs="Courier New"/>
                <w:b w:val="0"/>
                <w:i w:val="0"/>
                <w:sz w:val="18"/>
              </w:rPr>
              <w:br w:type="textWrapping"/>
            </w:r>
            <w:r>
              <w:rPr>
                <w:rFonts w:ascii="Courier New" w:hAnsi="Courier New" w:eastAsia="宋体" w:cs="Courier New"/>
                <w:b w:val="0"/>
                <w:i w:val="0"/>
                <w:sz w:val="18"/>
              </w:rPr>
              <w:t>9:          parsed_op &lt;- Parser.Parse(raw_resp)</w:t>
            </w:r>
            <w:r>
              <w:rPr>
                <w:rFonts w:ascii="Courier New" w:hAnsi="Courier New" w:eastAsia="宋体" w:cs="Courier New"/>
                <w:b w:val="0"/>
                <w:i w:val="0"/>
                <w:sz w:val="18"/>
              </w:rPr>
              <w:br w:type="textWrapping"/>
            </w:r>
            <w:r>
              <w:rPr>
                <w:rFonts w:ascii="Courier New" w:hAnsi="Courier New" w:eastAsia="宋体" w:cs="Courier New"/>
                <w:b w:val="0"/>
                <w:i w:val="0"/>
                <w:sz w:val="18"/>
              </w:rPr>
              <w:t>10:         If parsed_op.HasEvidence Then</w:t>
            </w:r>
            <w:r>
              <w:rPr>
                <w:rFonts w:ascii="Courier New" w:hAnsi="Courier New" w:eastAsia="宋体" w:cs="Courier New"/>
                <w:b w:val="0"/>
                <w:i w:val="0"/>
                <w:sz w:val="18"/>
              </w:rPr>
              <w:br w:type="textWrapping"/>
            </w:r>
            <w:r>
              <w:rPr>
                <w:rFonts w:ascii="Courier New" w:hAnsi="Courier New" w:eastAsia="宋体" w:cs="Courier New"/>
                <w:b w:val="0"/>
                <w:i w:val="0"/>
                <w:sz w:val="18"/>
              </w:rPr>
              <w:t>11:             tier &lt;- ClassifyEvidenceTier(parsed_op.Evidence, PatientRecords)</w:t>
            </w:r>
            <w:r>
              <w:rPr>
                <w:rFonts w:ascii="Courier New" w:hAnsi="Courier New" w:eastAsia="宋体" w:cs="Courier New"/>
                <w:b w:val="0"/>
                <w:i w:val="0"/>
                <w:sz w:val="18"/>
              </w:rPr>
              <w:br w:type="textWrapping"/>
            </w:r>
            <w:r>
              <w:rPr>
                <w:rFonts w:ascii="Courier New" w:hAnsi="Courier New" w:eastAsia="宋体" w:cs="Courier New"/>
                <w:b w:val="0"/>
                <w:i w:val="0"/>
                <w:sz w:val="18"/>
              </w:rPr>
              <w:t>12:             v_ev &lt;- G_C.AddEvidenceNode(parsed_op.Evidence, tier)</w:t>
            </w:r>
            <w:r>
              <w:rPr>
                <w:rFonts w:ascii="Courier New" w:hAnsi="Courier New" w:eastAsia="宋体" w:cs="Courier New"/>
                <w:b w:val="0"/>
                <w:i w:val="0"/>
                <w:sz w:val="18"/>
              </w:rPr>
              <w:br w:type="textWrapping"/>
            </w:r>
            <w:r>
              <w:rPr>
                <w:rFonts w:ascii="Courier New" w:hAnsi="Courier New" w:eastAsia="宋体" w:cs="Courier New"/>
                <w:b w:val="0"/>
                <w:i w:val="0"/>
                <w:sz w:val="18"/>
              </w:rPr>
              <w:t>13:             e_exec &lt;- G_P.AddEvent(AGENT_CALL, a_i, parsed_op, inv_id)</w:t>
            </w:r>
            <w:r>
              <w:rPr>
                <w:rFonts w:ascii="Courier New" w:hAnsi="Courier New" w:eastAsia="宋体" w:cs="Courier New"/>
                <w:b w:val="0"/>
                <w:i w:val="0"/>
                <w:sz w:val="18"/>
              </w:rPr>
              <w:br w:type="textWrapping"/>
            </w:r>
            <w:r>
              <w:rPr>
                <w:rFonts w:ascii="Courier New" w:hAnsi="Courier New" w:eastAsia="宋体" w:cs="Courier New"/>
                <w:b w:val="0"/>
                <w:i w:val="0"/>
                <w:sz w:val="18"/>
              </w:rPr>
              <w:t>14:             CrossGraphBind(v_ev, e_exec, parsed_op.RecordRef)</w:t>
            </w:r>
            <w:r>
              <w:rPr>
                <w:rFonts w:ascii="Courier New" w:hAnsi="Courier New" w:eastAsia="宋体" w:cs="Courier New"/>
                <w:b w:val="0"/>
                <w:i w:val="0"/>
                <w:sz w:val="18"/>
              </w:rPr>
              <w:br w:type="textWrapping"/>
            </w:r>
            <w:r>
              <w:rPr>
                <w:rFonts w:ascii="Courier New" w:hAnsi="Courier New" w:eastAsia="宋体" w:cs="Courier New"/>
                <w:b w:val="0"/>
                <w:i w:val="0"/>
                <w:sz w:val="18"/>
              </w:rPr>
              <w:t>15:         End If</w:t>
            </w:r>
            <w:r>
              <w:rPr>
                <w:rFonts w:ascii="Courier New" w:hAnsi="Courier New" w:eastAsia="宋体" w:cs="Courier New"/>
                <w:b w:val="0"/>
                <w:i w:val="0"/>
                <w:sz w:val="18"/>
              </w:rPr>
              <w:br w:type="textWrapping"/>
            </w:r>
            <w:r>
              <w:rPr>
                <w:rFonts w:ascii="Courier New" w:hAnsi="Courier New" w:eastAsia="宋体" w:cs="Courier New"/>
                <w:b w:val="0"/>
                <w:i w:val="0"/>
                <w:sz w:val="18"/>
              </w:rPr>
              <w:t>16:     End For</w:t>
            </w:r>
            <w:r>
              <w:rPr>
                <w:rFonts w:ascii="Courier New" w:hAnsi="Courier New" w:eastAsia="宋体" w:cs="Courier New"/>
                <w:b w:val="0"/>
                <w:i w:val="0"/>
                <w:sz w:val="18"/>
              </w:rPr>
              <w:br w:type="textWrapping"/>
            </w:r>
            <w:r>
              <w:rPr>
                <w:rFonts w:ascii="Courier New" w:hAnsi="Courier New" w:eastAsia="宋体" w:cs="Courier New"/>
                <w:b w:val="0"/>
                <w:i w:val="0"/>
                <w:sz w:val="18"/>
              </w:rPr>
              <w:t>17:     ΔG_C &lt;- UpdateCausalBeliefAndStructure(G_C)</w:t>
            </w:r>
            <w:r>
              <w:rPr>
                <w:rFonts w:ascii="Courier New" w:hAnsi="Courier New" w:eastAsia="宋体" w:cs="Courier New"/>
                <w:b w:val="0"/>
                <w:i w:val="0"/>
                <w:sz w:val="18"/>
              </w:rPr>
              <w:br w:type="textWrapping"/>
            </w:r>
            <w:r>
              <w:rPr>
                <w:rFonts w:ascii="Courier New" w:hAnsi="Courier New" w:eastAsia="宋体" w:cs="Courier New"/>
                <w:b w:val="0"/>
                <w:i w:val="0"/>
                <w:sz w:val="18"/>
              </w:rPr>
              <w:t>18:     RecordGraphDelta(G_P, ΔG_C)</w:t>
            </w:r>
            <w:r>
              <w:rPr>
                <w:rFonts w:ascii="Courier New" w:hAnsi="Courier New" w:eastAsia="宋体" w:cs="Courier New"/>
                <w:b w:val="0"/>
                <w:i w:val="0"/>
                <w:sz w:val="18"/>
              </w:rPr>
              <w:br w:type="textWrapping"/>
            </w:r>
            <w:r>
              <w:rPr>
                <w:rFonts w:ascii="Courier New" w:hAnsi="Courier New" w:eastAsia="宋体" w:cs="Courier New"/>
                <w:b w:val="0"/>
                <w:i w:val="0"/>
                <w:sz w:val="18"/>
              </w:rPr>
              <w:t>19: End While</w:t>
            </w:r>
            <w:r>
              <w:rPr>
                <w:rFonts w:ascii="Courier New" w:hAnsi="Courier New" w:eastAsia="宋体" w:cs="Courier New"/>
                <w:b w:val="0"/>
                <w:i w:val="0"/>
                <w:sz w:val="18"/>
              </w:rPr>
              <w:br w:type="textWrapping"/>
            </w:r>
            <w:r>
              <w:rPr>
                <w:rFonts w:ascii="Courier New" w:hAnsi="Courier New" w:eastAsia="宋体" w:cs="Courier New"/>
                <w:b w:val="0"/>
                <w:i w:val="0"/>
                <w:sz w:val="18"/>
              </w:rPr>
              <w:t>20: S_T &lt;- FinalizeSealAndHashChain(H_last, G_C, G_P, L)  // 固化全流程加密封签</w:t>
            </w:r>
            <w:r>
              <w:rPr>
                <w:rFonts w:ascii="Courier New" w:hAnsi="Courier New" w:eastAsia="宋体" w:cs="Courier New"/>
                <w:b w:val="0"/>
                <w:i w:val="0"/>
                <w:sz w:val="18"/>
              </w:rPr>
              <w:br w:type="textWrapping"/>
            </w:r>
            <w:r>
              <w:rPr>
                <w:rFonts w:ascii="Courier New" w:hAnsi="Courier New" w:eastAsia="宋体" w:cs="Courier New"/>
                <w:b w:val="0"/>
                <w:i w:val="0"/>
                <w:sz w:val="18"/>
              </w:rPr>
              <w:t>21: // 阶段 2：全过程来源审计与异常定位</w:t>
            </w:r>
            <w:r>
              <w:rPr>
                <w:rFonts w:ascii="Courier New" w:hAnsi="Courier New" w:eastAsia="宋体" w:cs="Courier New"/>
                <w:b w:val="0"/>
                <w:i w:val="0"/>
                <w:sz w:val="18"/>
              </w:rPr>
              <w:br w:type="textWrapping"/>
            </w:r>
            <w:r>
              <w:rPr>
                <w:rFonts w:ascii="Courier New" w:hAnsi="Courier New" w:eastAsia="宋体" w:cs="Courier New"/>
                <w:b w:val="0"/>
                <w:i w:val="0"/>
                <w:sz w:val="18"/>
              </w:rPr>
              <w:t>22: audit_res &lt;- AuditIntegrityAndProvenance(G_P, G_C, L)</w:t>
            </w:r>
            <w:r>
              <w:rPr>
                <w:rFonts w:ascii="Courier New" w:hAnsi="Courier New" w:eastAsia="宋体" w:cs="Courier New"/>
                <w:b w:val="0"/>
                <w:i w:val="0"/>
                <w:sz w:val="18"/>
              </w:rPr>
              <w:br w:type="textWrapping"/>
            </w:r>
            <w:r>
              <w:rPr>
                <w:rFonts w:ascii="Courier New" w:hAnsi="Courier New" w:eastAsia="宋体" w:cs="Courier New"/>
                <w:b w:val="0"/>
                <w:i w:val="0"/>
                <w:sz w:val="18"/>
              </w:rPr>
              <w:t>23: If audit_res.HasAnomaly Then</w:t>
            </w:r>
            <w:r>
              <w:rPr>
                <w:rFonts w:ascii="Courier New" w:hAnsi="Courier New" w:eastAsia="宋体" w:cs="Courier New"/>
                <w:b w:val="0"/>
                <w:i w:val="0"/>
                <w:sz w:val="18"/>
              </w:rPr>
              <w:br w:type="textWrapping"/>
            </w:r>
            <w:r>
              <w:rPr>
                <w:rFonts w:ascii="Courier New" w:hAnsi="Courier New" w:eastAsia="宋体" w:cs="Courier New"/>
                <w:b w:val="0"/>
                <w:i w:val="0"/>
                <w:sz w:val="18"/>
              </w:rPr>
              <w:t>24:     root_seam &lt;- LocalizeObservableSeam(audit_res, G_P)</w:t>
            </w:r>
            <w:r>
              <w:rPr>
                <w:rFonts w:ascii="Courier New" w:hAnsi="Courier New" w:eastAsia="宋体" w:cs="Courier New"/>
                <w:b w:val="0"/>
                <w:i w:val="0"/>
                <w:sz w:val="18"/>
              </w:rPr>
              <w:br w:type="textWrapping"/>
            </w:r>
            <w:r>
              <w:rPr>
                <w:rFonts w:ascii="Courier New" w:hAnsi="Courier New" w:eastAsia="宋体" w:cs="Courier New"/>
                <w:b w:val="0"/>
                <w:i w:val="0"/>
                <w:sz w:val="18"/>
              </w:rPr>
              <w:t>25:     taint_nodes &lt;- PropagateCausalTaint(root_seam, G_C)</w:t>
            </w:r>
            <w:r>
              <w:rPr>
                <w:rFonts w:ascii="Courier New" w:hAnsi="Courier New" w:eastAsia="宋体" w:cs="Courier New"/>
                <w:b w:val="0"/>
                <w:i w:val="0"/>
                <w:sz w:val="18"/>
              </w:rPr>
              <w:br w:type="textWrapping"/>
            </w:r>
            <w:r>
              <w:rPr>
                <w:rFonts w:ascii="Courier New" w:hAnsi="Courier New" w:eastAsia="宋体" w:cs="Courier New"/>
                <w:b w:val="0"/>
                <w:i w:val="0"/>
                <w:sz w:val="18"/>
              </w:rPr>
              <w:t>26: End If</w:t>
            </w:r>
            <w:r>
              <w:rPr>
                <w:rFonts w:ascii="Courier New" w:hAnsi="Courier New" w:eastAsia="宋体" w:cs="Courier New"/>
                <w:b w:val="0"/>
                <w:i w:val="0"/>
                <w:sz w:val="18"/>
              </w:rPr>
              <w:br w:type="textWrapping"/>
            </w:r>
            <w:r>
              <w:rPr>
                <w:rFonts w:ascii="Courier New" w:hAnsi="Courier New" w:eastAsia="宋体" w:cs="Courier New"/>
                <w:b w:val="0"/>
                <w:i w:val="0"/>
                <w:sz w:val="18"/>
              </w:rPr>
              <w:t>27: // 阶段 3：事后结果验证与经验准入门控</w:t>
            </w:r>
            <w:r>
              <w:rPr>
                <w:rFonts w:ascii="Courier New" w:hAnsi="Courier New" w:eastAsia="宋体" w:cs="Courier New"/>
                <w:b w:val="0"/>
                <w:i w:val="0"/>
                <w:sz w:val="18"/>
              </w:rPr>
              <w:br w:type="textWrapping"/>
            </w:r>
            <w:r>
              <w:rPr>
                <w:rFonts w:ascii="Courier New" w:hAnsi="Courier New" w:eastAsia="宋体" w:cs="Courier New"/>
                <w:b w:val="0"/>
                <w:i w:val="0"/>
                <w:sz w:val="18"/>
              </w:rPr>
              <w:t>28: outcome &lt;- PostHocVerifyOutcome(G_C.FinalReport, GoldDiagnosis)</w:t>
            </w:r>
            <w:r>
              <w:rPr>
                <w:rFonts w:ascii="Courier New" w:hAnsi="Courier New" w:eastAsia="宋体" w:cs="Courier New"/>
                <w:b w:val="0"/>
                <w:i w:val="0"/>
                <w:sz w:val="18"/>
              </w:rPr>
              <w:br w:type="textWrapping"/>
            </w:r>
            <w:r>
              <w:rPr>
                <w:rFonts w:ascii="Courier New" w:hAnsi="Courier New" w:eastAsia="宋体" w:cs="Courier New"/>
                <w:b w:val="0"/>
                <w:i w:val="0"/>
                <w:sz w:val="18"/>
              </w:rPr>
              <w:t>29: exp_state &lt;- ExperienceGate(outcome, audit_res, taint_nodes)</w:t>
            </w:r>
            <w:r>
              <w:rPr>
                <w:rFonts w:ascii="Courier New" w:hAnsi="Courier New" w:eastAsia="宋体" w:cs="Courier New"/>
                <w:b w:val="0"/>
                <w:i w:val="0"/>
                <w:sz w:val="18"/>
              </w:rPr>
              <w:br w:type="textWrapping"/>
            </w:r>
            <w:r>
              <w:rPr>
                <w:rFonts w:ascii="Courier New" w:hAnsi="Courier New" w:eastAsia="宋体" w:cs="Courier New"/>
                <w:b w:val="0"/>
                <w:i w:val="0"/>
                <w:sz w:val="18"/>
              </w:rPr>
              <w:t>30: Return exp_state, G_C, G_P, S_T</w:t>
            </w:r>
            <w:r>
              <w:rPr>
                <w:rFonts w:ascii="Courier New" w:hAnsi="Courier New" w:eastAsia="宋体" w:cs="Courier New"/>
                <w:b w:val="0"/>
                <w:i w:val="0"/>
                <w:sz w:val="18"/>
              </w:rPr>
              <w:br w:type="textWrapping"/>
            </w:r>
          </w:p>
        </w:tc>
      </w:tr>
    </w:tbl>
    <w:p w14:paraId="41A8FE3D">
      <w:pPr>
        <w:spacing w:before="0" w:after="80"/>
      </w:pPr>
    </w:p>
    <w:p w14:paraId="09648C95">
      <w:pPr>
        <w:keepNext/>
        <w:spacing w:before="280" w:after="100"/>
        <w:ind w:firstLine="0"/>
        <w:jc w:val="left"/>
      </w:pPr>
      <w:r>
        <w:rPr>
          <w:rFonts w:ascii="Arial" w:hAnsi="Arial" w:eastAsia="黑体" w:cs="Arial"/>
          <w:b/>
          <w:i w:val="0"/>
          <w:sz w:val="28"/>
        </w:rPr>
        <w:t>4 实验设计与结果分析</w:t>
      </w:r>
    </w:p>
    <w:p w14:paraId="61373E1F">
      <w:pPr>
        <w:keepNext/>
        <w:spacing w:before="180" w:after="60"/>
        <w:ind w:firstLine="0"/>
        <w:jc w:val="left"/>
      </w:pPr>
      <w:r>
        <w:rPr>
          <w:rFonts w:ascii="Arial" w:hAnsi="Arial" w:eastAsia="黑体" w:cs="Arial"/>
          <w:b/>
          <w:i w:val="0"/>
          <w:sz w:val="23"/>
        </w:rPr>
        <w:t>4.1 实验设置</w:t>
      </w:r>
    </w:p>
    <w:p w14:paraId="30268A93">
      <w:pPr>
        <w:keepNext/>
        <w:spacing w:before="120" w:after="40"/>
        <w:ind w:firstLine="0"/>
        <w:jc w:val="left"/>
      </w:pPr>
      <w:r>
        <w:rPr>
          <w:rFonts w:ascii="Times New Roman" w:hAnsi="Times New Roman" w:eastAsia="宋体" w:cs="Times New Roman"/>
          <w:b/>
          <w:i w:val="0"/>
          <w:sz w:val="21"/>
        </w:rPr>
        <w:t>4.1.1 数据集与评测队列划分</w:t>
      </w:r>
    </w:p>
    <w:p w14:paraId="1E021843">
      <w:pPr>
        <w:spacing w:before="0" w:after="0" w:line="300" w:lineRule="auto"/>
        <w:ind w:firstLine="420"/>
        <w:jc w:val="both"/>
      </w:pPr>
      <w:r>
        <w:rPr>
          <w:rFonts w:ascii="Times New Roman" w:hAnsi="Times New Roman" w:eastAsia="宋体" w:cs="Times New Roman"/>
          <w:b w:val="0"/>
          <w:i w:val="0"/>
          <w:sz w:val="21"/>
        </w:rPr>
        <w:t>本研究基于公开基准医学诊断数据集 DiagnosisArena 开展全面评测。为确保研究方法学与统计严谨性，避免将探索性开发阶段的数据与最终评估混淆，本研究完整披露系统在演化历程中的全量病例队列分配方案，如表 1（补充）所示。全部算法规则、P0–P3 分类阈值以及门控契约参数在早期队列（Case 0–79）中确立并完全冻结，本文报道的核心评测指标均严格来自独立保留测试队列（Final Held-out Operational Block，Case 80–137，共计 58 例真实临床病例）。</w:t>
      </w:r>
    </w:p>
    <w:p w14:paraId="670DCE5B">
      <w:pPr>
        <w:keepNext/>
        <w:spacing w:before="160" w:after="40"/>
        <w:jc w:val="center"/>
      </w:pPr>
      <w:r>
        <w:rPr>
          <w:rFonts w:ascii="Times New Roman" w:hAnsi="Times New Roman" w:eastAsia="黑体" w:cs="Times New Roman"/>
          <w:b/>
          <w:i w:val="0"/>
          <w:sz w:val="19"/>
        </w:rPr>
        <w:t>表1（补充）  TraceEvo 研发阶段全流程病例队列分配一览</w:t>
      </w:r>
      <w:r>
        <w:rPr>
          <w:rFonts w:ascii="Times New Roman" w:hAnsi="Times New Roman" w:eastAsia="黑体" w:cs="Times New Roman"/>
          <w:b/>
          <w:i w:val="0"/>
          <w:sz w:val="19"/>
        </w:rPr>
        <w:br w:type="textWrapping"/>
      </w:r>
      <w:r>
        <w:rPr>
          <w:rFonts w:ascii="Times New Roman" w:hAnsi="Times New Roman" w:eastAsia="黑体" w:cs="Times New Roman"/>
          <w:b w:val="0"/>
          <w:i w:val="0"/>
          <w:sz w:val="18"/>
        </w:rPr>
        <w:t>Table 1（补充）  Complete cohort partition across TraceEvo research phases</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9"/>
        <w:gridCol w:w="1110"/>
        <w:gridCol w:w="3014"/>
        <w:gridCol w:w="3164"/>
      </w:tblGrid>
      <w:tr w14:paraId="172699B8">
        <w:trPr>
          <w:jc w:val="center"/>
        </w:trPr>
        <w:tc>
          <w:tcPr>
            <w:tcW w:w="1728" w:type="dxa"/>
            <w:tcBorders>
              <w:bottom w:val="single" w:color="000000" w:sz="6" w:space="0"/>
            </w:tcBorders>
            <w:vAlign w:val="center"/>
          </w:tcPr>
          <w:p w14:paraId="36E3729A">
            <w:pPr>
              <w:spacing w:before="60" w:after="60" w:line="240" w:lineRule="auto"/>
              <w:jc w:val="center"/>
            </w:pPr>
            <w:r>
              <w:rPr>
                <w:rFonts w:ascii="Times New Roman" w:hAnsi="Times New Roman" w:eastAsia="黑体" w:cs="Times New Roman"/>
                <w:b/>
                <w:i w:val="0"/>
                <w:sz w:val="18"/>
              </w:rPr>
              <w:t>病例区间 (Cases)</w:t>
            </w:r>
          </w:p>
        </w:tc>
        <w:tc>
          <w:tcPr>
            <w:tcW w:w="1152" w:type="dxa"/>
            <w:tcBorders>
              <w:bottom w:val="single" w:color="000000" w:sz="6" w:space="0"/>
            </w:tcBorders>
            <w:vAlign w:val="center"/>
          </w:tcPr>
          <w:p w14:paraId="2215C82A">
            <w:pPr>
              <w:spacing w:before="60" w:after="60" w:line="240" w:lineRule="auto"/>
              <w:jc w:val="center"/>
            </w:pPr>
            <w:r>
              <w:rPr>
                <w:rFonts w:ascii="Times New Roman" w:hAnsi="Times New Roman" w:eastAsia="黑体" w:cs="Times New Roman"/>
                <w:b/>
                <w:i w:val="0"/>
                <w:sz w:val="18"/>
              </w:rPr>
              <w:t>样本数 (N)</w:t>
            </w:r>
          </w:p>
        </w:tc>
        <w:tc>
          <w:tcPr>
            <w:tcW w:w="3168" w:type="dxa"/>
            <w:tcBorders>
              <w:bottom w:val="single" w:color="000000" w:sz="6" w:space="0"/>
            </w:tcBorders>
            <w:vAlign w:val="center"/>
          </w:tcPr>
          <w:p w14:paraId="2167E780">
            <w:pPr>
              <w:spacing w:before="60" w:after="60" w:line="240" w:lineRule="auto"/>
              <w:jc w:val="center"/>
            </w:pPr>
            <w:r>
              <w:rPr>
                <w:rFonts w:ascii="Times New Roman" w:hAnsi="Times New Roman" w:eastAsia="黑体" w:cs="Times New Roman"/>
                <w:b/>
                <w:i w:val="0"/>
                <w:sz w:val="18"/>
              </w:rPr>
              <w:t>队列角色与开发定位</w:t>
            </w:r>
          </w:p>
        </w:tc>
        <w:tc>
          <w:tcPr>
            <w:tcW w:w="3312" w:type="dxa"/>
            <w:tcBorders>
              <w:bottom w:val="single" w:color="000000" w:sz="6" w:space="0"/>
            </w:tcBorders>
            <w:vAlign w:val="center"/>
          </w:tcPr>
          <w:p w14:paraId="0DFD9723">
            <w:pPr>
              <w:spacing w:before="60" w:after="60" w:line="240" w:lineRule="auto"/>
              <w:jc w:val="center"/>
            </w:pPr>
            <w:r>
              <w:rPr>
                <w:rFonts w:ascii="Times New Roman" w:hAnsi="Times New Roman" w:eastAsia="黑体" w:cs="Times New Roman"/>
                <w:b/>
                <w:i w:val="0"/>
                <w:sz w:val="18"/>
              </w:rPr>
              <w:t>对应研究阶段与产出</w:t>
            </w:r>
          </w:p>
        </w:tc>
      </w:tr>
      <w:tr w14:paraId="2984EA3A">
        <w:trPr>
          <w:jc w:val="center"/>
        </w:trPr>
        <w:tc>
          <w:tcPr>
            <w:tcW w:w="1728" w:type="dxa"/>
            <w:vAlign w:val="center"/>
          </w:tcPr>
          <w:p w14:paraId="105F3DE5">
            <w:pPr>
              <w:spacing w:before="50" w:after="50" w:line="240" w:lineRule="auto"/>
              <w:jc w:val="center"/>
            </w:pPr>
            <w:r>
              <w:rPr>
                <w:rFonts w:ascii="Times New Roman" w:hAnsi="Times New Roman" w:eastAsia="宋体" w:cs="Times New Roman"/>
                <w:b w:val="0"/>
                <w:i w:val="0"/>
                <w:sz w:val="18"/>
              </w:rPr>
              <w:t>0–9</w:t>
            </w:r>
          </w:p>
        </w:tc>
        <w:tc>
          <w:tcPr>
            <w:tcW w:w="1152" w:type="dxa"/>
            <w:vAlign w:val="center"/>
          </w:tcPr>
          <w:p w14:paraId="3EC7856F">
            <w:pPr>
              <w:spacing w:before="50" w:after="50" w:line="240" w:lineRule="auto"/>
              <w:jc w:val="center"/>
            </w:pPr>
            <w:r>
              <w:rPr>
                <w:rFonts w:ascii="Times New Roman" w:hAnsi="Times New Roman" w:eastAsia="宋体" w:cs="Times New Roman"/>
                <w:b w:val="0"/>
                <w:i w:val="0"/>
                <w:sz w:val="18"/>
              </w:rPr>
              <w:t>10</w:t>
            </w:r>
          </w:p>
        </w:tc>
        <w:tc>
          <w:tcPr>
            <w:tcW w:w="3168" w:type="dxa"/>
            <w:vAlign w:val="center"/>
          </w:tcPr>
          <w:p w14:paraId="50F7834E">
            <w:pPr>
              <w:spacing w:before="50" w:after="50" w:line="240" w:lineRule="auto"/>
              <w:jc w:val="left"/>
            </w:pPr>
            <w:r>
              <w:rPr>
                <w:rFonts w:ascii="Times New Roman" w:hAnsi="Times New Roman" w:eastAsia="宋体" w:cs="Times New Roman"/>
                <w:b w:val="0"/>
                <w:i w:val="0"/>
                <w:sz w:val="18"/>
              </w:rPr>
              <w:t>早期规则开发与原型探索</w:t>
            </w:r>
          </w:p>
        </w:tc>
        <w:tc>
          <w:tcPr>
            <w:tcW w:w="3312" w:type="dxa"/>
            <w:vAlign w:val="center"/>
          </w:tcPr>
          <w:p w14:paraId="4C99EFF9">
            <w:pPr>
              <w:spacing w:before="50" w:after="50" w:line="240" w:lineRule="auto"/>
              <w:jc w:val="left"/>
            </w:pPr>
            <w:r>
              <w:rPr>
                <w:rFonts w:ascii="Times New Roman" w:hAnsi="Times New Roman" w:eastAsia="宋体" w:cs="Times New Roman"/>
                <w:b w:val="0"/>
                <w:i w:val="0"/>
                <w:sz w:val="18"/>
              </w:rPr>
              <w:t>确立底层 Hook 机制与 P0–P3 分类原型 (S0)</w:t>
            </w:r>
          </w:p>
        </w:tc>
      </w:tr>
      <w:tr w14:paraId="14CBBC0A">
        <w:trPr>
          <w:jc w:val="center"/>
        </w:trPr>
        <w:tc>
          <w:tcPr>
            <w:tcW w:w="1728" w:type="dxa"/>
            <w:vAlign w:val="center"/>
          </w:tcPr>
          <w:p w14:paraId="65BD4649">
            <w:pPr>
              <w:spacing w:before="50" w:after="50" w:line="240" w:lineRule="auto"/>
              <w:jc w:val="center"/>
            </w:pPr>
            <w:r>
              <w:rPr>
                <w:rFonts w:ascii="Times New Roman" w:hAnsi="Times New Roman" w:eastAsia="宋体" w:cs="Times New Roman"/>
                <w:b w:val="0"/>
                <w:i w:val="0"/>
                <w:sz w:val="18"/>
              </w:rPr>
              <w:t>10–29</w:t>
            </w:r>
          </w:p>
        </w:tc>
        <w:tc>
          <w:tcPr>
            <w:tcW w:w="1152" w:type="dxa"/>
            <w:vAlign w:val="center"/>
          </w:tcPr>
          <w:p w14:paraId="024DAA9C">
            <w:pPr>
              <w:spacing w:before="50" w:after="50" w:line="240" w:lineRule="auto"/>
              <w:jc w:val="center"/>
            </w:pPr>
            <w:r>
              <w:rPr>
                <w:rFonts w:ascii="Times New Roman" w:hAnsi="Times New Roman" w:eastAsia="宋体" w:cs="Times New Roman"/>
                <w:b w:val="0"/>
                <w:i w:val="0"/>
                <w:sz w:val="18"/>
              </w:rPr>
              <w:t>20</w:t>
            </w:r>
          </w:p>
        </w:tc>
        <w:tc>
          <w:tcPr>
            <w:tcW w:w="3168" w:type="dxa"/>
            <w:vAlign w:val="center"/>
          </w:tcPr>
          <w:p w14:paraId="292781B9">
            <w:pPr>
              <w:spacing w:before="50" w:after="50" w:line="240" w:lineRule="auto"/>
              <w:jc w:val="left"/>
            </w:pPr>
            <w:r>
              <w:rPr>
                <w:rFonts w:ascii="Times New Roman" w:hAnsi="Times New Roman" w:eastAsia="宋体" w:cs="Times New Roman"/>
                <w:b w:val="0"/>
                <w:i w:val="0"/>
                <w:sz w:val="18"/>
              </w:rPr>
              <w:t>盲迁移性与初步历史经验积累</w:t>
            </w:r>
          </w:p>
        </w:tc>
        <w:tc>
          <w:tcPr>
            <w:tcW w:w="3312" w:type="dxa"/>
            <w:vAlign w:val="center"/>
          </w:tcPr>
          <w:p w14:paraId="297110F9">
            <w:pPr>
              <w:spacing w:before="50" w:after="50" w:line="240" w:lineRule="auto"/>
              <w:jc w:val="left"/>
            </w:pPr>
            <w:r>
              <w:rPr>
                <w:rFonts w:ascii="Times New Roman" w:hAnsi="Times New Roman" w:eastAsia="宋体" w:cs="Times New Roman"/>
                <w:b w:val="0"/>
                <w:i w:val="0"/>
                <w:sz w:val="18"/>
              </w:rPr>
              <w:t>跨专科基底流程打通与账本结构验证 (S1)</w:t>
            </w:r>
          </w:p>
        </w:tc>
      </w:tr>
      <w:tr w14:paraId="1399118E">
        <w:trPr>
          <w:jc w:val="center"/>
        </w:trPr>
        <w:tc>
          <w:tcPr>
            <w:tcW w:w="1728" w:type="dxa"/>
            <w:vAlign w:val="center"/>
          </w:tcPr>
          <w:p w14:paraId="706570D9">
            <w:pPr>
              <w:spacing w:before="50" w:after="50" w:line="240" w:lineRule="auto"/>
              <w:jc w:val="center"/>
            </w:pPr>
            <w:r>
              <w:rPr>
                <w:rFonts w:ascii="Times New Roman" w:hAnsi="Times New Roman" w:eastAsia="宋体" w:cs="Times New Roman"/>
                <w:b w:val="0"/>
                <w:i w:val="0"/>
                <w:sz w:val="18"/>
              </w:rPr>
              <w:t>30–39</w:t>
            </w:r>
          </w:p>
        </w:tc>
        <w:tc>
          <w:tcPr>
            <w:tcW w:w="1152" w:type="dxa"/>
            <w:vAlign w:val="center"/>
          </w:tcPr>
          <w:p w14:paraId="7C7E5FD8">
            <w:pPr>
              <w:spacing w:before="50" w:after="50" w:line="240" w:lineRule="auto"/>
              <w:jc w:val="center"/>
            </w:pPr>
            <w:r>
              <w:rPr>
                <w:rFonts w:ascii="Times New Roman" w:hAnsi="Times New Roman" w:eastAsia="宋体" w:cs="Times New Roman"/>
                <w:b w:val="0"/>
                <w:i w:val="0"/>
                <w:sz w:val="18"/>
              </w:rPr>
              <w:t>10</w:t>
            </w:r>
          </w:p>
        </w:tc>
        <w:tc>
          <w:tcPr>
            <w:tcW w:w="3168" w:type="dxa"/>
            <w:vAlign w:val="center"/>
          </w:tcPr>
          <w:p w14:paraId="11E2CBC0">
            <w:pPr>
              <w:spacing w:before="50" w:after="50" w:line="240" w:lineRule="auto"/>
              <w:jc w:val="left"/>
            </w:pPr>
            <w:r>
              <w:rPr>
                <w:rFonts w:ascii="Times New Roman" w:hAnsi="Times New Roman" w:eastAsia="宋体" w:cs="Times New Roman"/>
                <w:b w:val="0"/>
                <w:i w:val="0"/>
                <w:sz w:val="18"/>
              </w:rPr>
              <w:t>初始记忆库构建探索</w:t>
            </w:r>
          </w:p>
        </w:tc>
        <w:tc>
          <w:tcPr>
            <w:tcW w:w="3312" w:type="dxa"/>
            <w:vAlign w:val="center"/>
          </w:tcPr>
          <w:p w14:paraId="497F4AF2">
            <w:pPr>
              <w:spacing w:before="50" w:after="50" w:line="240" w:lineRule="auto"/>
              <w:jc w:val="left"/>
            </w:pPr>
            <w:r>
              <w:rPr>
                <w:rFonts w:ascii="Times New Roman" w:hAnsi="Times New Roman" w:eastAsia="宋体" w:cs="Times New Roman"/>
                <w:b w:val="0"/>
                <w:i w:val="0"/>
                <w:sz w:val="18"/>
              </w:rPr>
              <w:t>初步设计经验向量化存储接口 (S2)</w:t>
            </w:r>
          </w:p>
        </w:tc>
      </w:tr>
      <w:tr w14:paraId="65104507">
        <w:trPr>
          <w:jc w:val="center"/>
        </w:trPr>
        <w:tc>
          <w:tcPr>
            <w:tcW w:w="1728" w:type="dxa"/>
            <w:vAlign w:val="center"/>
          </w:tcPr>
          <w:p w14:paraId="583D5828">
            <w:pPr>
              <w:spacing w:before="50" w:after="50" w:line="240" w:lineRule="auto"/>
              <w:jc w:val="center"/>
            </w:pPr>
            <w:r>
              <w:rPr>
                <w:rFonts w:ascii="Times New Roman" w:hAnsi="Times New Roman" w:eastAsia="宋体" w:cs="Times New Roman"/>
                <w:b w:val="0"/>
                <w:i w:val="0"/>
                <w:sz w:val="18"/>
              </w:rPr>
              <w:t>40–49</w:t>
            </w:r>
          </w:p>
        </w:tc>
        <w:tc>
          <w:tcPr>
            <w:tcW w:w="1152" w:type="dxa"/>
            <w:vAlign w:val="center"/>
          </w:tcPr>
          <w:p w14:paraId="75A7E979">
            <w:pPr>
              <w:spacing w:before="50" w:after="50" w:line="240" w:lineRule="auto"/>
              <w:jc w:val="center"/>
            </w:pPr>
            <w:r>
              <w:rPr>
                <w:rFonts w:ascii="Times New Roman" w:hAnsi="Times New Roman" w:eastAsia="宋体" w:cs="Times New Roman"/>
                <w:b w:val="0"/>
                <w:i w:val="0"/>
                <w:sz w:val="18"/>
              </w:rPr>
              <w:t>10</w:t>
            </w:r>
          </w:p>
        </w:tc>
        <w:tc>
          <w:tcPr>
            <w:tcW w:w="3168" w:type="dxa"/>
            <w:vAlign w:val="center"/>
          </w:tcPr>
          <w:p w14:paraId="53A6F7F0">
            <w:pPr>
              <w:spacing w:before="50" w:after="50" w:line="240" w:lineRule="auto"/>
              <w:jc w:val="left"/>
            </w:pPr>
            <w:r>
              <w:rPr>
                <w:rFonts w:ascii="Times New Roman" w:hAnsi="Times New Roman" w:eastAsia="宋体" w:cs="Times New Roman"/>
                <w:b w:val="0"/>
                <w:i w:val="0"/>
                <w:sz w:val="18"/>
              </w:rPr>
              <w:t>历史经验行为特征探测</w:t>
            </w:r>
          </w:p>
        </w:tc>
        <w:tc>
          <w:tcPr>
            <w:tcW w:w="3312" w:type="dxa"/>
            <w:vAlign w:val="center"/>
          </w:tcPr>
          <w:p w14:paraId="48073398">
            <w:pPr>
              <w:spacing w:before="50" w:after="50" w:line="240" w:lineRule="auto"/>
              <w:jc w:val="left"/>
            </w:pPr>
            <w:r>
              <w:rPr>
                <w:rFonts w:ascii="Times New Roman" w:hAnsi="Times New Roman" w:eastAsia="宋体" w:cs="Times New Roman"/>
                <w:b w:val="0"/>
                <w:i w:val="0"/>
                <w:sz w:val="18"/>
              </w:rPr>
              <w:t>发现经验注入可能诱发负面行为 (S3A)</w:t>
            </w:r>
          </w:p>
        </w:tc>
      </w:tr>
      <w:tr w14:paraId="3ACA2208">
        <w:trPr>
          <w:jc w:val="center"/>
        </w:trPr>
        <w:tc>
          <w:tcPr>
            <w:tcW w:w="1728" w:type="dxa"/>
            <w:vAlign w:val="center"/>
          </w:tcPr>
          <w:p w14:paraId="597143C3">
            <w:pPr>
              <w:spacing w:before="50" w:after="50" w:line="240" w:lineRule="auto"/>
              <w:jc w:val="center"/>
            </w:pPr>
            <w:r>
              <w:rPr>
                <w:rFonts w:ascii="Times New Roman" w:hAnsi="Times New Roman" w:eastAsia="宋体" w:cs="Times New Roman"/>
                <w:b w:val="0"/>
                <w:i w:val="0"/>
                <w:sz w:val="18"/>
              </w:rPr>
              <w:t>50–59</w:t>
            </w:r>
          </w:p>
        </w:tc>
        <w:tc>
          <w:tcPr>
            <w:tcW w:w="1152" w:type="dxa"/>
            <w:vAlign w:val="center"/>
          </w:tcPr>
          <w:p w14:paraId="796595F6">
            <w:pPr>
              <w:spacing w:before="50" w:after="50" w:line="240" w:lineRule="auto"/>
              <w:jc w:val="center"/>
            </w:pPr>
            <w:r>
              <w:rPr>
                <w:rFonts w:ascii="Times New Roman" w:hAnsi="Times New Roman" w:eastAsia="宋体" w:cs="Times New Roman"/>
                <w:b w:val="0"/>
                <w:i w:val="0"/>
                <w:sz w:val="18"/>
              </w:rPr>
              <w:t>10</w:t>
            </w:r>
          </w:p>
        </w:tc>
        <w:tc>
          <w:tcPr>
            <w:tcW w:w="3168" w:type="dxa"/>
            <w:vAlign w:val="center"/>
          </w:tcPr>
          <w:p w14:paraId="36C83179">
            <w:pPr>
              <w:spacing w:before="50" w:after="50" w:line="240" w:lineRule="auto"/>
              <w:jc w:val="left"/>
            </w:pPr>
            <w:r>
              <w:rPr>
                <w:rFonts w:ascii="Times New Roman" w:hAnsi="Times New Roman" w:eastAsia="宋体" w:cs="Times New Roman"/>
                <w:b w:val="0"/>
                <w:i w:val="0"/>
                <w:sz w:val="18"/>
              </w:rPr>
              <w:t>经验扩充与专科角色画像验证</w:t>
            </w:r>
          </w:p>
        </w:tc>
        <w:tc>
          <w:tcPr>
            <w:tcW w:w="3312" w:type="dxa"/>
            <w:vAlign w:val="center"/>
          </w:tcPr>
          <w:p w14:paraId="7D9B72D6">
            <w:pPr>
              <w:spacing w:before="50" w:after="50" w:line="240" w:lineRule="auto"/>
              <w:jc w:val="left"/>
            </w:pPr>
            <w:r>
              <w:rPr>
                <w:rFonts w:ascii="Times New Roman" w:hAnsi="Times New Roman" w:eastAsia="宋体" w:cs="Times New Roman"/>
                <w:b w:val="0"/>
                <w:i w:val="0"/>
                <w:sz w:val="18"/>
              </w:rPr>
              <w:t>负结果：专科信誉画像无区分度 (S4A)</w:t>
            </w:r>
          </w:p>
        </w:tc>
      </w:tr>
      <w:tr w14:paraId="158AD0D0">
        <w:trPr>
          <w:jc w:val="center"/>
        </w:trPr>
        <w:tc>
          <w:tcPr>
            <w:tcW w:w="1728" w:type="dxa"/>
            <w:vAlign w:val="center"/>
          </w:tcPr>
          <w:p w14:paraId="7DE6F74C">
            <w:pPr>
              <w:spacing w:before="50" w:after="50" w:line="240" w:lineRule="auto"/>
              <w:jc w:val="center"/>
            </w:pPr>
            <w:r>
              <w:rPr>
                <w:rFonts w:ascii="Times New Roman" w:hAnsi="Times New Roman" w:eastAsia="宋体" w:cs="Times New Roman"/>
                <w:b w:val="0"/>
                <w:i w:val="0"/>
                <w:sz w:val="18"/>
              </w:rPr>
              <w:t>60–69</w:t>
            </w:r>
          </w:p>
        </w:tc>
        <w:tc>
          <w:tcPr>
            <w:tcW w:w="1152" w:type="dxa"/>
            <w:vAlign w:val="center"/>
          </w:tcPr>
          <w:p w14:paraId="6EEB1B5C">
            <w:pPr>
              <w:spacing w:before="50" w:after="50" w:line="240" w:lineRule="auto"/>
              <w:jc w:val="center"/>
            </w:pPr>
            <w:r>
              <w:rPr>
                <w:rFonts w:ascii="Times New Roman" w:hAnsi="Times New Roman" w:eastAsia="宋体" w:cs="Times New Roman"/>
                <w:b w:val="0"/>
                <w:i w:val="0"/>
                <w:sz w:val="18"/>
              </w:rPr>
              <w:t>10</w:t>
            </w:r>
          </w:p>
        </w:tc>
        <w:tc>
          <w:tcPr>
            <w:tcW w:w="3168" w:type="dxa"/>
            <w:vAlign w:val="center"/>
          </w:tcPr>
          <w:p w14:paraId="2EF82D30">
            <w:pPr>
              <w:spacing w:before="50" w:after="50" w:line="240" w:lineRule="auto"/>
              <w:jc w:val="left"/>
            </w:pPr>
            <w:r>
              <w:rPr>
                <w:rFonts w:ascii="Times New Roman" w:hAnsi="Times New Roman" w:eastAsia="宋体" w:cs="Times New Roman"/>
                <w:b w:val="0"/>
                <w:i w:val="0"/>
                <w:sz w:val="18"/>
              </w:rPr>
              <w:t>金标准盲测与高密度触发队列</w:t>
            </w:r>
          </w:p>
        </w:tc>
        <w:tc>
          <w:tcPr>
            <w:tcW w:w="3312" w:type="dxa"/>
            <w:vAlign w:val="center"/>
          </w:tcPr>
          <w:p w14:paraId="4865AF9C">
            <w:pPr>
              <w:spacing w:before="50" w:after="50" w:line="240" w:lineRule="auto"/>
              <w:jc w:val="left"/>
            </w:pPr>
            <w:r>
              <w:rPr>
                <w:rFonts w:ascii="Times New Roman" w:hAnsi="Times New Roman" w:eastAsia="宋体" w:cs="Times New Roman"/>
                <w:b w:val="0"/>
                <w:i w:val="0"/>
                <w:sz w:val="18"/>
              </w:rPr>
              <w:t>负结果：自然 P3=0 导致护栏效能未获验证 (S4B)</w:t>
            </w:r>
          </w:p>
        </w:tc>
      </w:tr>
      <w:tr w14:paraId="3344623E">
        <w:trPr>
          <w:jc w:val="center"/>
        </w:trPr>
        <w:tc>
          <w:tcPr>
            <w:tcW w:w="1728" w:type="dxa"/>
            <w:vAlign w:val="center"/>
          </w:tcPr>
          <w:p w14:paraId="6C70B61F">
            <w:pPr>
              <w:spacing w:before="50" w:after="50" w:line="240" w:lineRule="auto"/>
              <w:jc w:val="center"/>
            </w:pPr>
            <w:r>
              <w:rPr>
                <w:rFonts w:ascii="Times New Roman" w:hAnsi="Times New Roman" w:eastAsia="宋体" w:cs="Times New Roman"/>
                <w:b w:val="0"/>
                <w:i w:val="0"/>
                <w:sz w:val="18"/>
              </w:rPr>
              <w:t>70–79</w:t>
            </w:r>
          </w:p>
        </w:tc>
        <w:tc>
          <w:tcPr>
            <w:tcW w:w="1152" w:type="dxa"/>
            <w:vAlign w:val="center"/>
          </w:tcPr>
          <w:p w14:paraId="7A68FE1A">
            <w:pPr>
              <w:spacing w:before="50" w:after="50" w:line="240" w:lineRule="auto"/>
              <w:jc w:val="center"/>
            </w:pPr>
            <w:r>
              <w:rPr>
                <w:rFonts w:ascii="Times New Roman" w:hAnsi="Times New Roman" w:eastAsia="宋体" w:cs="Times New Roman"/>
                <w:b w:val="0"/>
                <w:i w:val="0"/>
                <w:sz w:val="18"/>
              </w:rPr>
              <w:t>10</w:t>
            </w:r>
          </w:p>
        </w:tc>
        <w:tc>
          <w:tcPr>
            <w:tcW w:w="3168" w:type="dxa"/>
            <w:vAlign w:val="center"/>
          </w:tcPr>
          <w:p w14:paraId="1B5A8CFD">
            <w:pPr>
              <w:spacing w:before="50" w:after="50" w:line="240" w:lineRule="auto"/>
              <w:jc w:val="left"/>
            </w:pPr>
            <w:r>
              <w:rPr>
                <w:rFonts w:ascii="Times New Roman" w:hAnsi="Times New Roman" w:eastAsia="宋体" w:cs="Times New Roman"/>
                <w:b w:val="0"/>
                <w:i w:val="0"/>
                <w:sz w:val="18"/>
              </w:rPr>
              <w:t>最终评测协议联调与验证</w:t>
            </w:r>
          </w:p>
        </w:tc>
        <w:tc>
          <w:tcPr>
            <w:tcW w:w="3312" w:type="dxa"/>
            <w:vAlign w:val="center"/>
          </w:tcPr>
          <w:p w14:paraId="47F9DC75">
            <w:pPr>
              <w:spacing w:before="50" w:after="50" w:line="240" w:lineRule="auto"/>
              <w:jc w:val="left"/>
            </w:pPr>
            <w:r>
              <w:rPr>
                <w:rFonts w:ascii="Times New Roman" w:hAnsi="Times New Roman" w:eastAsia="宋体" w:cs="Times New Roman"/>
                <w:b w:val="0"/>
                <w:i w:val="0"/>
                <w:sz w:val="18"/>
              </w:rPr>
              <w:t>固定所有 Judge、Gate 与审计规则参数 (S5A)</w:t>
            </w:r>
          </w:p>
        </w:tc>
      </w:tr>
      <w:tr w14:paraId="4BE2A03F">
        <w:trPr>
          <w:jc w:val="center"/>
        </w:trPr>
        <w:tc>
          <w:tcPr>
            <w:tcW w:w="1728" w:type="dxa"/>
            <w:vAlign w:val="center"/>
          </w:tcPr>
          <w:p w14:paraId="562C61BA">
            <w:pPr>
              <w:spacing w:before="50" w:after="50" w:line="240" w:lineRule="auto"/>
              <w:jc w:val="center"/>
            </w:pPr>
            <w:r>
              <w:rPr>
                <w:rFonts w:ascii="Times New Roman" w:hAnsi="Times New Roman" w:eastAsia="宋体" w:cs="Times New Roman"/>
                <w:b/>
                <w:i w:val="0"/>
                <w:sz w:val="18"/>
              </w:rPr>
              <w:t>80–137</w:t>
            </w:r>
          </w:p>
        </w:tc>
        <w:tc>
          <w:tcPr>
            <w:tcW w:w="1152" w:type="dxa"/>
            <w:vAlign w:val="center"/>
          </w:tcPr>
          <w:p w14:paraId="37DC8902">
            <w:pPr>
              <w:spacing w:before="50" w:after="50" w:line="240" w:lineRule="auto"/>
              <w:jc w:val="center"/>
            </w:pPr>
            <w:r>
              <w:rPr>
                <w:rFonts w:ascii="Times New Roman" w:hAnsi="Times New Roman" w:eastAsia="宋体" w:cs="Times New Roman"/>
                <w:b/>
                <w:i w:val="0"/>
                <w:sz w:val="18"/>
              </w:rPr>
              <w:t>58</w:t>
            </w:r>
          </w:p>
        </w:tc>
        <w:tc>
          <w:tcPr>
            <w:tcW w:w="3168" w:type="dxa"/>
            <w:vAlign w:val="center"/>
          </w:tcPr>
          <w:p w14:paraId="2B9B6F8D">
            <w:pPr>
              <w:spacing w:before="50" w:after="50" w:line="240" w:lineRule="auto"/>
              <w:jc w:val="left"/>
            </w:pPr>
            <w:r>
              <w:rPr>
                <w:rFonts w:ascii="Times New Roman" w:hAnsi="Times New Roman" w:eastAsia="宋体" w:cs="Times New Roman"/>
                <w:b/>
                <w:i w:val="0"/>
                <w:sz w:val="18"/>
              </w:rPr>
              <w:t>最终独立保留测试队列 (Final Held-out)</w:t>
            </w:r>
          </w:p>
        </w:tc>
        <w:tc>
          <w:tcPr>
            <w:tcW w:w="3312" w:type="dxa"/>
            <w:vAlign w:val="center"/>
          </w:tcPr>
          <w:p w14:paraId="08188C63">
            <w:pPr>
              <w:spacing w:before="50" w:after="50" w:line="240" w:lineRule="auto"/>
              <w:jc w:val="left"/>
            </w:pPr>
            <w:r>
              <w:rPr>
                <w:rFonts w:ascii="Times New Roman" w:hAnsi="Times New Roman" w:eastAsia="宋体" w:cs="Times New Roman"/>
                <w:b/>
                <w:i w:val="0"/>
                <w:sz w:val="18"/>
              </w:rPr>
              <w:t>冻结评测：主文报道之全部 Headline 指标 (S5B)</w:t>
            </w:r>
          </w:p>
        </w:tc>
      </w:tr>
    </w:tbl>
    <w:p w14:paraId="15059BC0">
      <w:pPr>
        <w:spacing w:before="0" w:after="80" w:line="240" w:lineRule="auto"/>
      </w:pPr>
    </w:p>
    <w:p w14:paraId="63E8EA73">
      <w:pPr>
        <w:keepNext/>
        <w:spacing w:before="120" w:after="40"/>
        <w:ind w:firstLine="0"/>
        <w:jc w:val="left"/>
      </w:pPr>
      <w:r>
        <w:rPr>
          <w:rFonts w:ascii="Times New Roman" w:hAnsi="Times New Roman" w:eastAsia="宋体" w:cs="Times New Roman"/>
          <w:b/>
          <w:i w:val="0"/>
          <w:sz w:val="21"/>
        </w:rPr>
        <w:t>4.1.2 基础模型与实验环境</w:t>
      </w:r>
    </w:p>
    <w:p w14:paraId="223C48DD">
      <w:pPr>
        <w:spacing w:before="0" w:after="0" w:line="300" w:lineRule="auto"/>
        <w:ind w:firstLine="420"/>
        <w:jc w:val="both"/>
      </w:pPr>
      <w:r>
        <w:rPr>
          <w:rFonts w:ascii="Times New Roman" w:hAnsi="Times New Roman" w:eastAsia="宋体" w:cs="Times New Roman"/>
          <w:b w:val="0"/>
          <w:i w:val="0"/>
          <w:sz w:val="21"/>
        </w:rPr>
        <w:t>实验中涉及的所有智能体协同交互均采用统一的基础大语言模型 deepseek-v4-flash 进行驱动。需要严正说明的是，本研究采用单一基础模型是出于控制跨模型参数方差的科学考虑，本工作不使用多模型组合的措辞，单 Backbone 设定被明确列为本文的系统局限性之一。</w:t>
      </w:r>
    </w:p>
    <w:p w14:paraId="5EA9BDB4">
      <w:pPr>
        <w:keepNext/>
        <w:spacing w:before="120" w:after="40"/>
        <w:ind w:firstLine="0"/>
        <w:jc w:val="left"/>
      </w:pPr>
      <w:r>
        <w:rPr>
          <w:rFonts w:ascii="Times New Roman" w:hAnsi="Times New Roman" w:eastAsia="宋体" w:cs="Times New Roman"/>
          <w:b/>
          <w:i w:val="0"/>
          <w:sz w:val="21"/>
        </w:rPr>
        <w:t>4.1.3 对比基线体系</w:t>
      </w:r>
    </w:p>
    <w:p w14:paraId="0774C21E">
      <w:pPr>
        <w:spacing w:before="0" w:after="0" w:line="300" w:lineRule="auto"/>
        <w:ind w:firstLine="420"/>
        <w:jc w:val="both"/>
      </w:pPr>
      <w:r>
        <w:rPr>
          <w:rFonts w:ascii="Times New Roman" w:hAnsi="Times New Roman" w:eastAsia="宋体" w:cs="Times New Roman"/>
          <w:b w:val="0"/>
          <w:i w:val="0"/>
          <w:sz w:val="21"/>
        </w:rPr>
        <w:t>为系统评估 TraceEvo 各核心组件的有效性与经验门控的优越性，本研究构建了两大对比基线体系：</w:t>
      </w:r>
    </w:p>
    <w:p w14:paraId="6441E6DB">
      <w:pPr>
        <w:spacing w:before="0" w:after="0" w:line="300" w:lineRule="auto"/>
        <w:ind w:firstLine="420"/>
        <w:jc w:val="both"/>
      </w:pPr>
      <w:r>
        <w:rPr>
          <w:rFonts w:ascii="Times New Roman" w:hAnsi="Times New Roman" w:eastAsia="宋体" w:cs="Times New Roman"/>
          <w:b w:val="0"/>
          <w:i w:val="0"/>
          <w:sz w:val="21"/>
        </w:rPr>
        <w:t>（1）协作异常审计消融体系：Full TraceEvo（完整系统）、w/o ProvenanceTier（移除证据来源分级，退化为无来源感知的通用文本比对）、w/o CrossGraph（切断执行图与因果图之间的显式绑定，仅进行孤立分析）、w/o Integrity（移除哈希防篡改链保护）、w/o Ledger（移除底层物理调用账本，仅依赖顶层语义事件）；</w:t>
      </w:r>
    </w:p>
    <w:p w14:paraId="71A63488">
      <w:pPr>
        <w:spacing w:before="0" w:after="0" w:line="300" w:lineRule="auto"/>
        <w:ind w:firstLine="420"/>
        <w:jc w:val="both"/>
      </w:pPr>
      <w:r>
        <w:rPr>
          <w:rFonts w:ascii="Times New Roman" w:hAnsi="Times New Roman" w:eastAsia="宋体" w:cs="Times New Roman"/>
          <w:b w:val="0"/>
          <w:i w:val="0"/>
          <w:sz w:val="21"/>
        </w:rPr>
        <w:t>（2）经验准入门控基线体系：Naive（朴素基线：无差别将所有历史轨迹准入）、OutcomeOnly（传统记忆基线：仅依据最终诊断是否正确进行准入）、AuditOnly（过程审计基线：仅依据执行过程是否触发审计告警进行准入）、IntegrityOnly（仅依据哈希链完整性准入）、TraceEvo Gate（本文提出的结果—过程双信号联合准入门控）。</w:t>
      </w:r>
    </w:p>
    <w:p w14:paraId="6B1F78DF">
      <w:pPr>
        <w:keepNext/>
        <w:spacing w:before="120" w:after="40"/>
        <w:ind w:firstLine="0"/>
        <w:jc w:val="left"/>
      </w:pPr>
      <w:r>
        <w:rPr>
          <w:rFonts w:ascii="Times New Roman" w:hAnsi="Times New Roman" w:eastAsia="宋体" w:cs="Times New Roman"/>
          <w:b/>
          <w:i w:val="0"/>
          <w:sz w:val="21"/>
        </w:rPr>
        <w:t>4.1.4 评测指标与统计检验规范</w:t>
      </w:r>
    </w:p>
    <w:p w14:paraId="71D3EF7B">
      <w:pPr>
        <w:spacing w:before="0" w:after="0" w:line="300" w:lineRule="auto"/>
        <w:ind w:firstLine="420"/>
        <w:jc w:val="both"/>
      </w:pPr>
      <w:r>
        <w:rPr>
          <w:rFonts w:ascii="Times New Roman" w:hAnsi="Times New Roman" w:eastAsia="宋体" w:cs="Times New Roman"/>
          <w:b w:val="0"/>
          <w:i w:val="0"/>
          <w:sz w:val="21"/>
        </w:rPr>
        <w:t>针对四项核心研究问题（RQ1–RQ4），实验评测指标体系构建如下：RQ1 溯源性：终态封签验证率（Seal verification）、确定性重放一致性（Replay equivalence）、自然证据节点分级分布；RQ2 异常审计：受控原发注入下的各类异常精确率（Precision）、召回率（Recall）、F1 分数与 Macro-F1，可观测根因定位 Top-1 准确率；RQ3 经验门控：两类结构性反例（Incorrect-clean 与 Correct-but-poisoned）隔离拦截率、准入精确率（Admission precision）与成功保留率（Success retention）；RQ4 消融与开销：组件移除能力跌落幅度、系统各阶段端到端耗时（毫秒级）与存储开销（MiB/case）。统计检验规范：对于自然诊断指标采用病例级 Bootstrap 重抽样（10,000 次，固定随机种子 seed=20260920）计算 95% 置信区间；对于异常检测率与门控比例计算 Wilson 得分 95% 置信区间。</w:t>
      </w:r>
    </w:p>
    <w:p w14:paraId="57BFF571">
      <w:pPr>
        <w:keepNext/>
        <w:spacing w:before="180" w:after="60"/>
        <w:ind w:firstLine="0"/>
        <w:jc w:val="left"/>
      </w:pPr>
      <w:r>
        <w:rPr>
          <w:rFonts w:ascii="Arial" w:hAnsi="Arial" w:eastAsia="黑体" w:cs="Arial"/>
          <w:b/>
          <w:i w:val="0"/>
          <w:sz w:val="23"/>
        </w:rPr>
        <w:t>4.2 实验结果与分析</w:t>
      </w:r>
    </w:p>
    <w:p w14:paraId="57879CE2">
      <w:pPr>
        <w:keepNext/>
        <w:spacing w:before="120" w:after="40"/>
        <w:ind w:firstLine="0"/>
        <w:jc w:val="left"/>
      </w:pPr>
      <w:r>
        <w:rPr>
          <w:rFonts w:ascii="Times New Roman" w:hAnsi="Times New Roman" w:eastAsia="宋体" w:cs="Times New Roman"/>
          <w:b/>
          <w:i w:val="0"/>
          <w:sz w:val="21"/>
        </w:rPr>
        <w:t>4.2.1 RQ1：双图溯源完整性与无侵入可重放性验证</w:t>
      </w:r>
    </w:p>
    <w:p w14:paraId="2AD0ED39">
      <w:pPr>
        <w:spacing w:before="0" w:after="0" w:line="300" w:lineRule="auto"/>
        <w:ind w:firstLine="420"/>
        <w:jc w:val="both"/>
      </w:pPr>
      <w:r>
        <w:rPr>
          <w:rFonts w:ascii="Times New Roman" w:hAnsi="Times New Roman" w:eastAsia="宋体" w:cs="Times New Roman"/>
          <w:b w:val="0"/>
          <w:i w:val="0"/>
          <w:sz w:val="21"/>
        </w:rPr>
        <w:t>表 1 汇报了 TraceEvo 在 58 例最终保留病例上的自然运行表现与双图审计统计指标。必须首先在此进行科学定位说明：在自然运行状态下，GoS 底层推理实现的 Match 指标为 0.086（95% CI [0.017, 0.172]），Relevant 指标为 0.379（95% CI [0.259, 0.500]）。论文明确强调，TraceEvo 在本实验中以纯粹的旁路审计监控模式运行，完全不侵入、不修改底层 GoS 的任何诊断决策行为；因此，上述诊断指标仅用于真实、客观地表征底层医学推理基底的实际性能现状，严禁将其解读为 TraceEvo 的性能提升或方法缺陷。</w:t>
      </w:r>
    </w:p>
    <w:p w14:paraId="23D71022">
      <w:pPr>
        <w:spacing w:before="0" w:after="0" w:line="300" w:lineRule="auto"/>
        <w:ind w:firstLine="420"/>
        <w:jc w:val="both"/>
      </w:pPr>
      <w:r>
        <w:rPr>
          <w:rFonts w:ascii="Times New Roman" w:hAnsi="Times New Roman" w:eastAsia="宋体" w:cs="Times New Roman"/>
          <w:b w:val="0"/>
          <w:i w:val="0"/>
          <w:sz w:val="21"/>
        </w:rPr>
        <w:t>在系统溯源性方面，TraceEvo 展现出了极高的工程确定性：58/58（100%）的测试病例均成功完成全流程状态封签固化，且在重放引擎中实现了 100% 的严格确定性因果重放（Graph replay 完全一致）。在自然证据分布中，系统共解析生成 317 个 P0 直接事实节点与 438 个 P2 合法推导节点，同时准确捕获了 16 个自然 P3 未证实断言节点（其中 14 个被专科智能体用于后续推导），触发了 12 例自然证据告警（Clean Evidence Alert 20.7%）。这证实了在真实医学多智能体协同中，虚构事实断言是内生且客观存在的真实缺陷，构建来源分级审计具有强烈的现实必要性。</w:t>
      </w:r>
    </w:p>
    <w:p w14:paraId="58712E6E">
      <w:pPr>
        <w:keepNext/>
        <w:spacing w:before="160" w:after="40"/>
        <w:jc w:val="center"/>
      </w:pPr>
      <w:r>
        <w:rPr>
          <w:rFonts w:ascii="Times New Roman" w:hAnsi="Times New Roman" w:eastAsia="黑体" w:cs="Times New Roman"/>
          <w:b/>
          <w:i w:val="0"/>
          <w:sz w:val="19"/>
        </w:rPr>
        <w:t>表1  最终保留病例自然协同推理表现与审计统计</w:t>
      </w:r>
      <w:r>
        <w:rPr>
          <w:rFonts w:ascii="Times New Roman" w:hAnsi="Times New Roman" w:eastAsia="黑体" w:cs="Times New Roman"/>
          <w:b/>
          <w:i w:val="0"/>
          <w:sz w:val="19"/>
        </w:rPr>
        <w:br w:type="textWrapping"/>
      </w:r>
      <w:r>
        <w:rPr>
          <w:rFonts w:ascii="Times New Roman" w:hAnsi="Times New Roman" w:eastAsia="黑体" w:cs="Times New Roman"/>
          <w:b w:val="0"/>
          <w:i w:val="0"/>
          <w:sz w:val="18"/>
        </w:rPr>
        <w:t>Table 1  Final held-out natural performance and provenance audit statistics</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92"/>
        <w:gridCol w:w="2818"/>
        <w:gridCol w:w="2847"/>
      </w:tblGrid>
      <w:tr w14:paraId="1386BBD7">
        <w:trPr>
          <w:jc w:val="center"/>
        </w:trPr>
        <w:tc>
          <w:tcPr>
            <w:tcW w:w="3600" w:type="dxa"/>
            <w:tcBorders>
              <w:bottom w:val="single" w:color="000000" w:sz="6" w:space="0"/>
            </w:tcBorders>
            <w:vAlign w:val="center"/>
          </w:tcPr>
          <w:p w14:paraId="43A4E7C5">
            <w:pPr>
              <w:spacing w:before="60" w:after="60" w:line="240" w:lineRule="auto"/>
              <w:jc w:val="center"/>
            </w:pPr>
            <w:r>
              <w:rPr>
                <w:rFonts w:ascii="Times New Roman" w:hAnsi="Times New Roman" w:eastAsia="黑体" w:cs="Times New Roman"/>
                <w:b/>
                <w:i w:val="0"/>
                <w:sz w:val="18"/>
              </w:rPr>
              <w:t>评测指标 (Metric)</w:t>
            </w:r>
          </w:p>
        </w:tc>
        <w:tc>
          <w:tcPr>
            <w:tcW w:w="3168" w:type="dxa"/>
            <w:tcBorders>
              <w:bottom w:val="single" w:color="000000" w:sz="6" w:space="0"/>
            </w:tcBorders>
            <w:vAlign w:val="center"/>
          </w:tcPr>
          <w:p w14:paraId="5B479A2F">
            <w:pPr>
              <w:spacing w:before="60" w:after="60" w:line="240" w:lineRule="auto"/>
              <w:jc w:val="center"/>
            </w:pPr>
            <w:r>
              <w:rPr>
                <w:rFonts w:ascii="Times New Roman" w:hAnsi="Times New Roman" w:eastAsia="黑体" w:cs="Times New Roman"/>
                <w:b/>
                <w:i w:val="0"/>
                <w:sz w:val="18"/>
              </w:rPr>
              <w:t>完整保留队列 (Final held-out, N=58)</w:t>
            </w:r>
          </w:p>
        </w:tc>
        <w:tc>
          <w:tcPr>
            <w:tcW w:w="3168" w:type="dxa"/>
            <w:tcBorders>
              <w:bottom w:val="single" w:color="000000" w:sz="6" w:space="0"/>
            </w:tcBorders>
            <w:vAlign w:val="center"/>
          </w:tcPr>
          <w:p w14:paraId="588388D9">
            <w:pPr>
              <w:spacing w:before="60" w:after="60" w:line="240" w:lineRule="auto"/>
              <w:jc w:val="center"/>
            </w:pPr>
            <w:r>
              <w:rPr>
                <w:rFonts w:ascii="Times New Roman" w:hAnsi="Times New Roman" w:eastAsia="黑体" w:cs="Times New Roman"/>
                <w:b/>
                <w:i w:val="0"/>
                <w:sz w:val="18"/>
              </w:rPr>
              <w:t>纯净敏感性子集 (Protocol-clean, N=52)</w:t>
            </w:r>
          </w:p>
        </w:tc>
      </w:tr>
      <w:tr w14:paraId="22FE1F67">
        <w:trPr>
          <w:jc w:val="center"/>
        </w:trPr>
        <w:tc>
          <w:tcPr>
            <w:tcW w:w="3600" w:type="dxa"/>
            <w:vAlign w:val="center"/>
          </w:tcPr>
          <w:p w14:paraId="6C721CF5">
            <w:pPr>
              <w:spacing w:before="50" w:after="50" w:line="240" w:lineRule="auto"/>
              <w:jc w:val="left"/>
            </w:pPr>
            <w:r>
              <w:rPr>
                <w:rFonts w:ascii="Times New Roman" w:hAnsi="Times New Roman" w:eastAsia="宋体" w:cs="Times New Roman"/>
                <w:b w:val="0"/>
                <w:i w:val="0"/>
                <w:sz w:val="18"/>
              </w:rPr>
              <w:t>Match (诊断完全匹配率)</w:t>
            </w:r>
          </w:p>
        </w:tc>
        <w:tc>
          <w:tcPr>
            <w:tcW w:w="3168" w:type="dxa"/>
            <w:vAlign w:val="center"/>
          </w:tcPr>
          <w:p w14:paraId="773DBE01">
            <w:pPr>
              <w:spacing w:before="50" w:after="50" w:line="240" w:lineRule="auto"/>
              <w:jc w:val="center"/>
            </w:pPr>
            <w:r>
              <w:rPr>
                <w:rFonts w:ascii="Times New Roman" w:hAnsi="Times New Roman" w:eastAsia="宋体" w:cs="Times New Roman"/>
                <w:b w:val="0"/>
                <w:i w:val="0"/>
                <w:sz w:val="18"/>
              </w:rPr>
              <w:t>0.086 [0.017, 0.172]</w:t>
            </w:r>
          </w:p>
        </w:tc>
        <w:tc>
          <w:tcPr>
            <w:tcW w:w="3168" w:type="dxa"/>
            <w:vAlign w:val="center"/>
          </w:tcPr>
          <w:p w14:paraId="030D1DC7">
            <w:pPr>
              <w:spacing w:before="50" w:after="50" w:line="240" w:lineRule="auto"/>
              <w:jc w:val="center"/>
            </w:pPr>
            <w:r>
              <w:rPr>
                <w:rFonts w:ascii="Times New Roman" w:hAnsi="Times New Roman" w:eastAsia="宋体" w:cs="Times New Roman"/>
                <w:b w:val="0"/>
                <w:i w:val="0"/>
                <w:sz w:val="18"/>
              </w:rPr>
              <w:t>0.096 [0.019, 0.192]</w:t>
            </w:r>
          </w:p>
        </w:tc>
      </w:tr>
      <w:tr w14:paraId="671F5B24">
        <w:trPr>
          <w:jc w:val="center"/>
        </w:trPr>
        <w:tc>
          <w:tcPr>
            <w:tcW w:w="3600" w:type="dxa"/>
            <w:vAlign w:val="center"/>
          </w:tcPr>
          <w:p w14:paraId="155665B2">
            <w:pPr>
              <w:spacing w:before="50" w:after="50" w:line="240" w:lineRule="auto"/>
              <w:jc w:val="left"/>
            </w:pPr>
            <w:r>
              <w:rPr>
                <w:rFonts w:ascii="Times New Roman" w:hAnsi="Times New Roman" w:eastAsia="宋体" w:cs="Times New Roman"/>
                <w:b w:val="0"/>
                <w:i w:val="0"/>
                <w:sz w:val="18"/>
              </w:rPr>
              <w:t>Relevant (相关诊断覆盖率)</w:t>
            </w:r>
          </w:p>
        </w:tc>
        <w:tc>
          <w:tcPr>
            <w:tcW w:w="3168" w:type="dxa"/>
            <w:vAlign w:val="center"/>
          </w:tcPr>
          <w:p w14:paraId="412D62A1">
            <w:pPr>
              <w:spacing w:before="50" w:after="50" w:line="240" w:lineRule="auto"/>
              <w:jc w:val="center"/>
            </w:pPr>
            <w:r>
              <w:rPr>
                <w:rFonts w:ascii="Times New Roman" w:hAnsi="Times New Roman" w:eastAsia="宋体" w:cs="Times New Roman"/>
                <w:b w:val="0"/>
                <w:i w:val="0"/>
                <w:sz w:val="18"/>
              </w:rPr>
              <w:t>0.379 [0.259, 0.500]</w:t>
            </w:r>
          </w:p>
        </w:tc>
        <w:tc>
          <w:tcPr>
            <w:tcW w:w="3168" w:type="dxa"/>
            <w:vAlign w:val="center"/>
          </w:tcPr>
          <w:p w14:paraId="10D84FCF">
            <w:pPr>
              <w:spacing w:before="50" w:after="50" w:line="240" w:lineRule="auto"/>
              <w:jc w:val="center"/>
            </w:pPr>
            <w:r>
              <w:rPr>
                <w:rFonts w:ascii="Times New Roman" w:hAnsi="Times New Roman" w:eastAsia="宋体" w:cs="Times New Roman"/>
                <w:b w:val="0"/>
                <w:i w:val="0"/>
                <w:sz w:val="18"/>
              </w:rPr>
              <w:t>0.385 [0.250, 0.519]</w:t>
            </w:r>
          </w:p>
        </w:tc>
      </w:tr>
      <w:tr w14:paraId="386C5DDD">
        <w:trPr>
          <w:jc w:val="center"/>
        </w:trPr>
        <w:tc>
          <w:tcPr>
            <w:tcW w:w="3600" w:type="dxa"/>
            <w:vAlign w:val="center"/>
          </w:tcPr>
          <w:p w14:paraId="5A579A0A">
            <w:pPr>
              <w:spacing w:before="50" w:after="50" w:line="240" w:lineRule="auto"/>
              <w:jc w:val="left"/>
            </w:pPr>
            <w:r>
              <w:rPr>
                <w:rFonts w:ascii="Times New Roman" w:hAnsi="Times New Roman" w:eastAsia="宋体" w:cs="Times New Roman"/>
                <w:b w:val="0"/>
                <w:i w:val="0"/>
                <w:sz w:val="18"/>
              </w:rPr>
              <w:t>verified_success (验证成功数)</w:t>
            </w:r>
          </w:p>
        </w:tc>
        <w:tc>
          <w:tcPr>
            <w:tcW w:w="3168" w:type="dxa"/>
            <w:vAlign w:val="center"/>
          </w:tcPr>
          <w:p w14:paraId="7854CB51">
            <w:pPr>
              <w:spacing w:before="50" w:after="50" w:line="240" w:lineRule="auto"/>
              <w:jc w:val="center"/>
            </w:pPr>
            <w:r>
              <w:rPr>
                <w:rFonts w:ascii="Times New Roman" w:hAnsi="Times New Roman" w:eastAsia="宋体" w:cs="Times New Roman"/>
                <w:b w:val="0"/>
                <w:i w:val="0"/>
                <w:sz w:val="18"/>
              </w:rPr>
              <w:t>7</w:t>
            </w:r>
          </w:p>
        </w:tc>
        <w:tc>
          <w:tcPr>
            <w:tcW w:w="3168" w:type="dxa"/>
            <w:vAlign w:val="center"/>
          </w:tcPr>
          <w:p w14:paraId="3FF375C5">
            <w:pPr>
              <w:spacing w:before="50" w:after="50" w:line="240" w:lineRule="auto"/>
              <w:jc w:val="center"/>
            </w:pPr>
            <w:r>
              <w:rPr>
                <w:rFonts w:ascii="Times New Roman" w:hAnsi="Times New Roman" w:eastAsia="宋体" w:cs="Times New Roman"/>
                <w:b w:val="0"/>
                <w:i w:val="0"/>
                <w:sz w:val="18"/>
              </w:rPr>
              <w:t>7</w:t>
            </w:r>
          </w:p>
        </w:tc>
      </w:tr>
      <w:tr w14:paraId="116CA872">
        <w:trPr>
          <w:jc w:val="center"/>
        </w:trPr>
        <w:tc>
          <w:tcPr>
            <w:tcW w:w="3600" w:type="dxa"/>
            <w:vAlign w:val="center"/>
          </w:tcPr>
          <w:p w14:paraId="442C410B">
            <w:pPr>
              <w:spacing w:before="50" w:after="50" w:line="240" w:lineRule="auto"/>
              <w:jc w:val="left"/>
            </w:pPr>
            <w:r>
              <w:rPr>
                <w:rFonts w:ascii="Times New Roman" w:hAnsi="Times New Roman" w:eastAsia="宋体" w:cs="Times New Roman"/>
                <w:b w:val="0"/>
                <w:i w:val="0"/>
                <w:sz w:val="18"/>
              </w:rPr>
              <w:t>verified_incorrect (明确错误数)</w:t>
            </w:r>
          </w:p>
        </w:tc>
        <w:tc>
          <w:tcPr>
            <w:tcW w:w="3168" w:type="dxa"/>
            <w:vAlign w:val="center"/>
          </w:tcPr>
          <w:p w14:paraId="3FCB58D5">
            <w:pPr>
              <w:spacing w:before="50" w:after="50" w:line="240" w:lineRule="auto"/>
              <w:jc w:val="center"/>
            </w:pPr>
            <w:r>
              <w:rPr>
                <w:rFonts w:ascii="Times New Roman" w:hAnsi="Times New Roman" w:eastAsia="宋体" w:cs="Times New Roman"/>
                <w:b w:val="0"/>
                <w:i w:val="0"/>
                <w:sz w:val="18"/>
              </w:rPr>
              <w:t>31</w:t>
            </w:r>
          </w:p>
        </w:tc>
        <w:tc>
          <w:tcPr>
            <w:tcW w:w="3168" w:type="dxa"/>
            <w:vAlign w:val="center"/>
          </w:tcPr>
          <w:p w14:paraId="73A498C2">
            <w:pPr>
              <w:spacing w:before="50" w:after="50" w:line="240" w:lineRule="auto"/>
              <w:jc w:val="center"/>
            </w:pPr>
            <w:r>
              <w:rPr>
                <w:rFonts w:ascii="Times New Roman" w:hAnsi="Times New Roman" w:eastAsia="宋体" w:cs="Times New Roman"/>
                <w:b w:val="0"/>
                <w:i w:val="0"/>
                <w:sz w:val="18"/>
              </w:rPr>
              <w:t>28</w:t>
            </w:r>
          </w:p>
        </w:tc>
      </w:tr>
      <w:tr w14:paraId="641176A9">
        <w:trPr>
          <w:jc w:val="center"/>
        </w:trPr>
        <w:tc>
          <w:tcPr>
            <w:tcW w:w="3600" w:type="dxa"/>
            <w:vAlign w:val="center"/>
          </w:tcPr>
          <w:p w14:paraId="3D9C5854">
            <w:pPr>
              <w:spacing w:before="50" w:after="50" w:line="240" w:lineRule="auto"/>
              <w:jc w:val="left"/>
            </w:pPr>
            <w:r>
              <w:rPr>
                <w:rFonts w:ascii="Times New Roman" w:hAnsi="Times New Roman" w:eastAsia="宋体" w:cs="Times New Roman"/>
                <w:b w:val="0"/>
                <w:i w:val="0"/>
                <w:sz w:val="18"/>
              </w:rPr>
              <w:t>uncertain (裁判不确定数)</w:t>
            </w:r>
          </w:p>
        </w:tc>
        <w:tc>
          <w:tcPr>
            <w:tcW w:w="3168" w:type="dxa"/>
            <w:vAlign w:val="center"/>
          </w:tcPr>
          <w:p w14:paraId="0D714504">
            <w:pPr>
              <w:spacing w:before="50" w:after="50" w:line="240" w:lineRule="auto"/>
              <w:jc w:val="center"/>
            </w:pPr>
            <w:r>
              <w:rPr>
                <w:rFonts w:ascii="Times New Roman" w:hAnsi="Times New Roman" w:eastAsia="宋体" w:cs="Times New Roman"/>
                <w:b w:val="0"/>
                <w:i w:val="0"/>
                <w:sz w:val="18"/>
              </w:rPr>
              <w:t>20</w:t>
            </w:r>
          </w:p>
        </w:tc>
        <w:tc>
          <w:tcPr>
            <w:tcW w:w="3168" w:type="dxa"/>
            <w:vAlign w:val="center"/>
          </w:tcPr>
          <w:p w14:paraId="768FC8EE">
            <w:pPr>
              <w:spacing w:before="50" w:after="50" w:line="240" w:lineRule="auto"/>
              <w:jc w:val="center"/>
            </w:pPr>
            <w:r>
              <w:rPr>
                <w:rFonts w:ascii="Times New Roman" w:hAnsi="Times New Roman" w:eastAsia="宋体" w:cs="Times New Roman"/>
                <w:b w:val="0"/>
                <w:i w:val="0"/>
                <w:sz w:val="18"/>
              </w:rPr>
              <w:t>17</w:t>
            </w:r>
          </w:p>
        </w:tc>
      </w:tr>
      <w:tr w14:paraId="10FC7B44">
        <w:trPr>
          <w:jc w:val="center"/>
        </w:trPr>
        <w:tc>
          <w:tcPr>
            <w:tcW w:w="3600" w:type="dxa"/>
            <w:vAlign w:val="center"/>
          </w:tcPr>
          <w:p w14:paraId="6FCD9AC6">
            <w:pPr>
              <w:spacing w:before="50" w:after="50" w:line="240" w:lineRule="auto"/>
              <w:jc w:val="left"/>
            </w:pPr>
            <w:r>
              <w:rPr>
                <w:rFonts w:ascii="Times New Roman" w:hAnsi="Times New Roman" w:eastAsia="宋体" w:cs="Times New Roman"/>
                <w:b w:val="0"/>
                <w:i w:val="0"/>
                <w:sz w:val="18"/>
              </w:rPr>
              <w:t>Clean Trace Alert (自然轨迹告警率)</w:t>
            </w:r>
          </w:p>
        </w:tc>
        <w:tc>
          <w:tcPr>
            <w:tcW w:w="3168" w:type="dxa"/>
            <w:vAlign w:val="center"/>
          </w:tcPr>
          <w:p w14:paraId="5A92DEAD">
            <w:pPr>
              <w:spacing w:before="50" w:after="50" w:line="240" w:lineRule="auto"/>
              <w:jc w:val="center"/>
            </w:pPr>
            <w:r>
              <w:rPr>
                <w:rFonts w:ascii="Times New Roman" w:hAnsi="Times New Roman" w:eastAsia="宋体" w:cs="Times New Roman"/>
                <w:b w:val="0"/>
                <w:i w:val="0"/>
                <w:sz w:val="18"/>
              </w:rPr>
              <w:t>16 / 58 = 27.6%</w:t>
            </w:r>
          </w:p>
        </w:tc>
        <w:tc>
          <w:tcPr>
            <w:tcW w:w="3168" w:type="dxa"/>
            <w:vAlign w:val="center"/>
          </w:tcPr>
          <w:p w14:paraId="64363E88">
            <w:pPr>
              <w:spacing w:before="50" w:after="50" w:line="240" w:lineRule="auto"/>
              <w:jc w:val="center"/>
            </w:pPr>
            <w:r>
              <w:rPr>
                <w:rFonts w:ascii="Times New Roman" w:hAnsi="Times New Roman" w:eastAsia="宋体" w:cs="Times New Roman"/>
                <w:b w:val="0"/>
                <w:i w:val="0"/>
                <w:sz w:val="18"/>
              </w:rPr>
              <w:t>14 / 52 = 26.9%</w:t>
            </w:r>
          </w:p>
        </w:tc>
      </w:tr>
      <w:tr w14:paraId="7EE277A7">
        <w:trPr>
          <w:jc w:val="center"/>
        </w:trPr>
        <w:tc>
          <w:tcPr>
            <w:tcW w:w="3600" w:type="dxa"/>
            <w:vAlign w:val="center"/>
          </w:tcPr>
          <w:p w14:paraId="330309D4">
            <w:pPr>
              <w:spacing w:before="50" w:after="50" w:line="240" w:lineRule="auto"/>
              <w:jc w:val="left"/>
            </w:pPr>
            <w:r>
              <w:rPr>
                <w:rFonts w:ascii="Times New Roman" w:hAnsi="Times New Roman" w:eastAsia="宋体" w:cs="Times New Roman"/>
                <w:b w:val="0"/>
                <w:i w:val="0"/>
                <w:sz w:val="18"/>
              </w:rPr>
              <w:t>Clean Evidence Alert (自然证据告警率)</w:t>
            </w:r>
          </w:p>
        </w:tc>
        <w:tc>
          <w:tcPr>
            <w:tcW w:w="3168" w:type="dxa"/>
            <w:vAlign w:val="center"/>
          </w:tcPr>
          <w:p w14:paraId="6F4D0068">
            <w:pPr>
              <w:spacing w:before="50" w:after="50" w:line="240" w:lineRule="auto"/>
              <w:jc w:val="center"/>
            </w:pPr>
            <w:r>
              <w:rPr>
                <w:rFonts w:ascii="Times New Roman" w:hAnsi="Times New Roman" w:eastAsia="宋体" w:cs="Times New Roman"/>
                <w:b w:val="0"/>
                <w:i w:val="0"/>
                <w:sz w:val="18"/>
              </w:rPr>
              <w:t>12 / 58 = 20.7%</w:t>
            </w:r>
          </w:p>
        </w:tc>
        <w:tc>
          <w:tcPr>
            <w:tcW w:w="3168" w:type="dxa"/>
            <w:vAlign w:val="center"/>
          </w:tcPr>
          <w:p w14:paraId="76010ECB">
            <w:pPr>
              <w:spacing w:before="50" w:after="50" w:line="240" w:lineRule="auto"/>
              <w:jc w:val="center"/>
            </w:pPr>
            <w:r>
              <w:rPr>
                <w:rFonts w:ascii="Times New Roman" w:hAnsi="Times New Roman" w:eastAsia="宋体" w:cs="Times New Roman"/>
                <w:b w:val="0"/>
                <w:i w:val="0"/>
                <w:sz w:val="18"/>
              </w:rPr>
              <w:t>11 / 52 = 21.2%</w:t>
            </w:r>
          </w:p>
        </w:tc>
      </w:tr>
      <w:tr w14:paraId="15D5E0FE">
        <w:trPr>
          <w:jc w:val="center"/>
        </w:trPr>
        <w:tc>
          <w:tcPr>
            <w:tcW w:w="3600" w:type="dxa"/>
            <w:vAlign w:val="center"/>
          </w:tcPr>
          <w:p w14:paraId="44505D70">
            <w:pPr>
              <w:spacing w:before="50" w:after="50" w:line="240" w:lineRule="auto"/>
              <w:jc w:val="left"/>
            </w:pPr>
            <w:r>
              <w:rPr>
                <w:rFonts w:ascii="Times New Roman" w:hAnsi="Times New Roman" w:eastAsia="宋体" w:cs="Times New Roman"/>
                <w:b w:val="0"/>
                <w:i w:val="0"/>
                <w:sz w:val="18"/>
              </w:rPr>
              <w:t>P0 直接事实节点数 (Direct Grounded)</w:t>
            </w:r>
          </w:p>
        </w:tc>
        <w:tc>
          <w:tcPr>
            <w:tcW w:w="3168" w:type="dxa"/>
            <w:vAlign w:val="center"/>
          </w:tcPr>
          <w:p w14:paraId="4F5055A9">
            <w:pPr>
              <w:spacing w:before="50" w:after="50" w:line="240" w:lineRule="auto"/>
              <w:jc w:val="center"/>
            </w:pPr>
            <w:r>
              <w:rPr>
                <w:rFonts w:ascii="Times New Roman" w:hAnsi="Times New Roman" w:eastAsia="宋体" w:cs="Times New Roman"/>
                <w:b w:val="0"/>
                <w:i w:val="0"/>
                <w:sz w:val="18"/>
              </w:rPr>
              <w:t>317</w:t>
            </w:r>
          </w:p>
        </w:tc>
        <w:tc>
          <w:tcPr>
            <w:tcW w:w="3168" w:type="dxa"/>
            <w:vAlign w:val="center"/>
          </w:tcPr>
          <w:p w14:paraId="2512E0B4">
            <w:pPr>
              <w:spacing w:before="50" w:after="50" w:line="240" w:lineRule="auto"/>
              <w:jc w:val="center"/>
            </w:pPr>
            <w:r>
              <w:rPr>
                <w:rFonts w:ascii="Times New Roman" w:hAnsi="Times New Roman" w:eastAsia="宋体" w:cs="Times New Roman"/>
                <w:b w:val="0"/>
                <w:i w:val="0"/>
                <w:sz w:val="18"/>
              </w:rPr>
              <w:t>289</w:t>
            </w:r>
          </w:p>
        </w:tc>
      </w:tr>
      <w:tr w14:paraId="37659383">
        <w:trPr>
          <w:jc w:val="center"/>
        </w:trPr>
        <w:tc>
          <w:tcPr>
            <w:tcW w:w="3600" w:type="dxa"/>
            <w:vAlign w:val="center"/>
          </w:tcPr>
          <w:p w14:paraId="641F038D">
            <w:pPr>
              <w:spacing w:before="50" w:after="50" w:line="240" w:lineRule="auto"/>
              <w:jc w:val="left"/>
            </w:pPr>
            <w:r>
              <w:rPr>
                <w:rFonts w:ascii="Times New Roman" w:hAnsi="Times New Roman" w:eastAsia="宋体" w:cs="Times New Roman"/>
                <w:b w:val="0"/>
                <w:i w:val="0"/>
                <w:sz w:val="18"/>
              </w:rPr>
              <w:t>P1 软接地候选节点数 (Soft Grounded)</w:t>
            </w:r>
          </w:p>
        </w:tc>
        <w:tc>
          <w:tcPr>
            <w:tcW w:w="3168" w:type="dxa"/>
            <w:vAlign w:val="center"/>
          </w:tcPr>
          <w:p w14:paraId="1DE2F129">
            <w:pPr>
              <w:spacing w:before="50" w:after="50" w:line="240" w:lineRule="auto"/>
              <w:jc w:val="center"/>
            </w:pPr>
            <w:r>
              <w:rPr>
                <w:rFonts w:ascii="Times New Roman" w:hAnsi="Times New Roman" w:eastAsia="宋体" w:cs="Times New Roman"/>
                <w:b w:val="0"/>
                <w:i w:val="0"/>
                <w:sz w:val="18"/>
              </w:rPr>
              <w:t>4</w:t>
            </w:r>
          </w:p>
        </w:tc>
        <w:tc>
          <w:tcPr>
            <w:tcW w:w="3168" w:type="dxa"/>
            <w:vAlign w:val="center"/>
          </w:tcPr>
          <w:p w14:paraId="10361B22">
            <w:pPr>
              <w:spacing w:before="50" w:after="50" w:line="240" w:lineRule="auto"/>
              <w:jc w:val="center"/>
            </w:pPr>
            <w:r>
              <w:rPr>
                <w:rFonts w:ascii="Times New Roman" w:hAnsi="Times New Roman" w:eastAsia="宋体" w:cs="Times New Roman"/>
                <w:b w:val="0"/>
                <w:i w:val="0"/>
                <w:sz w:val="18"/>
              </w:rPr>
              <w:t>4</w:t>
            </w:r>
          </w:p>
        </w:tc>
      </w:tr>
      <w:tr w14:paraId="30625A77">
        <w:trPr>
          <w:jc w:val="center"/>
        </w:trPr>
        <w:tc>
          <w:tcPr>
            <w:tcW w:w="3600" w:type="dxa"/>
            <w:vAlign w:val="center"/>
          </w:tcPr>
          <w:p w14:paraId="3D21F858">
            <w:pPr>
              <w:spacing w:before="50" w:after="50" w:line="240" w:lineRule="auto"/>
              <w:jc w:val="left"/>
            </w:pPr>
            <w:r>
              <w:rPr>
                <w:rFonts w:ascii="Times New Roman" w:hAnsi="Times New Roman" w:eastAsia="宋体" w:cs="Times New Roman"/>
                <w:b w:val="0"/>
                <w:i w:val="0"/>
                <w:sz w:val="18"/>
              </w:rPr>
              <w:t>P2 合法推导节点数 (Derived)</w:t>
            </w:r>
          </w:p>
        </w:tc>
        <w:tc>
          <w:tcPr>
            <w:tcW w:w="3168" w:type="dxa"/>
            <w:vAlign w:val="center"/>
          </w:tcPr>
          <w:p w14:paraId="7487936F">
            <w:pPr>
              <w:spacing w:before="50" w:after="50" w:line="240" w:lineRule="auto"/>
              <w:jc w:val="center"/>
            </w:pPr>
            <w:r>
              <w:rPr>
                <w:rFonts w:ascii="Times New Roman" w:hAnsi="Times New Roman" w:eastAsia="宋体" w:cs="Times New Roman"/>
                <w:b w:val="0"/>
                <w:i w:val="0"/>
                <w:sz w:val="18"/>
              </w:rPr>
              <w:t>438</w:t>
            </w:r>
          </w:p>
        </w:tc>
        <w:tc>
          <w:tcPr>
            <w:tcW w:w="3168" w:type="dxa"/>
            <w:vAlign w:val="center"/>
          </w:tcPr>
          <w:p w14:paraId="0D4BF663">
            <w:pPr>
              <w:spacing w:before="50" w:after="50" w:line="240" w:lineRule="auto"/>
              <w:jc w:val="center"/>
            </w:pPr>
            <w:r>
              <w:rPr>
                <w:rFonts w:ascii="Times New Roman" w:hAnsi="Times New Roman" w:eastAsia="宋体" w:cs="Times New Roman"/>
                <w:b w:val="0"/>
                <w:i w:val="0"/>
                <w:sz w:val="18"/>
              </w:rPr>
              <w:t>390</w:t>
            </w:r>
          </w:p>
        </w:tc>
      </w:tr>
      <w:tr w14:paraId="0608F9DE">
        <w:trPr>
          <w:jc w:val="center"/>
        </w:trPr>
        <w:tc>
          <w:tcPr>
            <w:tcW w:w="3600" w:type="dxa"/>
            <w:vAlign w:val="center"/>
          </w:tcPr>
          <w:p w14:paraId="16444BA4">
            <w:pPr>
              <w:spacing w:before="50" w:after="50" w:line="240" w:lineRule="auto"/>
              <w:jc w:val="left"/>
            </w:pPr>
            <w:r>
              <w:rPr>
                <w:rFonts w:ascii="Times New Roman" w:hAnsi="Times New Roman" w:eastAsia="宋体" w:cs="Times New Roman"/>
                <w:b w:val="0"/>
                <w:i w:val="0"/>
                <w:sz w:val="18"/>
              </w:rPr>
              <w:t>P3 未证实断言节点数 (Unsupported)</w:t>
            </w:r>
          </w:p>
        </w:tc>
        <w:tc>
          <w:tcPr>
            <w:tcW w:w="3168" w:type="dxa"/>
            <w:vAlign w:val="center"/>
          </w:tcPr>
          <w:p w14:paraId="1F269C2C">
            <w:pPr>
              <w:spacing w:before="50" w:after="50" w:line="240" w:lineRule="auto"/>
              <w:jc w:val="center"/>
            </w:pPr>
            <w:r>
              <w:rPr>
                <w:rFonts w:ascii="Times New Roman" w:hAnsi="Times New Roman" w:eastAsia="宋体" w:cs="Times New Roman"/>
                <w:b w:val="0"/>
                <w:i w:val="0"/>
                <w:sz w:val="18"/>
              </w:rPr>
              <w:t>16</w:t>
            </w:r>
          </w:p>
        </w:tc>
        <w:tc>
          <w:tcPr>
            <w:tcW w:w="3168" w:type="dxa"/>
            <w:vAlign w:val="center"/>
          </w:tcPr>
          <w:p w14:paraId="29B46779">
            <w:pPr>
              <w:spacing w:before="50" w:after="50" w:line="240" w:lineRule="auto"/>
              <w:jc w:val="center"/>
            </w:pPr>
            <w:r>
              <w:rPr>
                <w:rFonts w:ascii="Times New Roman" w:hAnsi="Times New Roman" w:eastAsia="宋体" w:cs="Times New Roman"/>
                <w:b w:val="0"/>
                <w:i w:val="0"/>
                <w:sz w:val="18"/>
              </w:rPr>
              <w:t>14</w:t>
            </w:r>
          </w:p>
        </w:tc>
      </w:tr>
      <w:tr w14:paraId="2DB88AA5">
        <w:trPr>
          <w:jc w:val="center"/>
        </w:trPr>
        <w:tc>
          <w:tcPr>
            <w:tcW w:w="3600" w:type="dxa"/>
            <w:vAlign w:val="center"/>
          </w:tcPr>
          <w:p w14:paraId="2836162F">
            <w:pPr>
              <w:spacing w:before="50" w:after="50" w:line="240" w:lineRule="auto"/>
              <w:jc w:val="left"/>
            </w:pPr>
            <w:r>
              <w:rPr>
                <w:rFonts w:ascii="Times New Roman" w:hAnsi="Times New Roman" w:eastAsia="宋体" w:cs="Times New Roman"/>
                <w:b w:val="0"/>
                <w:i w:val="0"/>
                <w:sz w:val="18"/>
              </w:rPr>
              <w:t>P3 被后续推导采用数 (P3 used)</w:t>
            </w:r>
          </w:p>
        </w:tc>
        <w:tc>
          <w:tcPr>
            <w:tcW w:w="3168" w:type="dxa"/>
            <w:vAlign w:val="center"/>
          </w:tcPr>
          <w:p w14:paraId="25195E62">
            <w:pPr>
              <w:spacing w:before="50" w:after="50" w:line="240" w:lineRule="auto"/>
              <w:jc w:val="center"/>
            </w:pPr>
            <w:r>
              <w:rPr>
                <w:rFonts w:ascii="Times New Roman" w:hAnsi="Times New Roman" w:eastAsia="宋体" w:cs="Times New Roman"/>
                <w:b w:val="0"/>
                <w:i w:val="0"/>
                <w:sz w:val="18"/>
              </w:rPr>
              <w:t>14</w:t>
            </w:r>
          </w:p>
        </w:tc>
        <w:tc>
          <w:tcPr>
            <w:tcW w:w="3168" w:type="dxa"/>
            <w:vAlign w:val="center"/>
          </w:tcPr>
          <w:p w14:paraId="3966D7D2">
            <w:pPr>
              <w:spacing w:before="50" w:after="50" w:line="240" w:lineRule="auto"/>
              <w:jc w:val="center"/>
            </w:pPr>
            <w:r>
              <w:rPr>
                <w:rFonts w:ascii="Times New Roman" w:hAnsi="Times New Roman" w:eastAsia="宋体" w:cs="Times New Roman"/>
                <w:b w:val="0"/>
                <w:i w:val="0"/>
                <w:sz w:val="18"/>
              </w:rPr>
              <w:t>12</w:t>
            </w:r>
          </w:p>
        </w:tc>
      </w:tr>
      <w:tr w14:paraId="718DE3A1">
        <w:trPr>
          <w:jc w:val="center"/>
        </w:trPr>
        <w:tc>
          <w:tcPr>
            <w:tcW w:w="3600" w:type="dxa"/>
            <w:vAlign w:val="center"/>
          </w:tcPr>
          <w:p w14:paraId="3208448B">
            <w:pPr>
              <w:spacing w:before="50" w:after="50" w:line="240" w:lineRule="auto"/>
              <w:jc w:val="left"/>
            </w:pPr>
            <w:r>
              <w:rPr>
                <w:rFonts w:ascii="Times New Roman" w:hAnsi="Times New Roman" w:eastAsia="宋体" w:cs="Times New Roman"/>
                <w:b w:val="0"/>
                <w:i w:val="0"/>
                <w:sz w:val="18"/>
              </w:rPr>
              <w:t>Seal &amp; Replay (封签与严格重放成功率)</w:t>
            </w:r>
          </w:p>
        </w:tc>
        <w:tc>
          <w:tcPr>
            <w:tcW w:w="3168" w:type="dxa"/>
            <w:vAlign w:val="center"/>
          </w:tcPr>
          <w:p w14:paraId="707334BC">
            <w:pPr>
              <w:spacing w:before="50" w:after="50" w:line="240" w:lineRule="auto"/>
              <w:jc w:val="center"/>
            </w:pPr>
            <w:r>
              <w:rPr>
                <w:rFonts w:ascii="Times New Roman" w:hAnsi="Times New Roman" w:eastAsia="宋体" w:cs="Times New Roman"/>
                <w:b/>
                <w:i w:val="0"/>
                <w:sz w:val="18"/>
              </w:rPr>
              <w:t>58 / 58 (100%)</w:t>
            </w:r>
          </w:p>
        </w:tc>
        <w:tc>
          <w:tcPr>
            <w:tcW w:w="3168" w:type="dxa"/>
            <w:vAlign w:val="center"/>
          </w:tcPr>
          <w:p w14:paraId="2FD96EB4">
            <w:pPr>
              <w:spacing w:before="50" w:after="50" w:line="240" w:lineRule="auto"/>
              <w:jc w:val="center"/>
            </w:pPr>
            <w:r>
              <w:rPr>
                <w:rFonts w:ascii="Times New Roman" w:hAnsi="Times New Roman" w:eastAsia="宋体" w:cs="Times New Roman"/>
                <w:b/>
                <w:i w:val="0"/>
                <w:sz w:val="18"/>
              </w:rPr>
              <w:t>52 / 52 (100%)</w:t>
            </w:r>
          </w:p>
        </w:tc>
      </w:tr>
    </w:tbl>
    <w:p w14:paraId="51A9937E">
      <w:pPr>
        <w:spacing w:before="0" w:after="80" w:line="240" w:lineRule="auto"/>
      </w:pPr>
    </w:p>
    <w:p w14:paraId="32946C8B">
      <w:pPr>
        <w:keepNext/>
        <w:spacing w:before="120" w:after="40"/>
        <w:ind w:firstLine="0"/>
        <w:jc w:val="left"/>
      </w:pPr>
      <w:r>
        <w:rPr>
          <w:rFonts w:ascii="Times New Roman" w:hAnsi="Times New Roman" w:eastAsia="宋体" w:cs="Times New Roman"/>
          <w:b/>
          <w:i w:val="0"/>
          <w:sz w:val="21"/>
        </w:rPr>
        <w:t>4.2.2 RQ2：受控异常检测与根因精确定位性能</w:t>
      </w:r>
    </w:p>
    <w:p w14:paraId="78D695FA">
      <w:pPr>
        <w:spacing w:before="0" w:after="0" w:line="300" w:lineRule="auto"/>
        <w:ind w:firstLine="420"/>
        <w:jc w:val="both"/>
      </w:pPr>
      <w:r>
        <w:rPr>
          <w:rFonts w:ascii="Times New Roman" w:hAnsi="Times New Roman" w:eastAsia="宋体" w:cs="Times New Roman"/>
          <w:b w:val="0"/>
          <w:i w:val="0"/>
          <w:sz w:val="21"/>
        </w:rPr>
        <w:t>为评估系统对各类协同异常的防御能力，实验在 58 个保留病例上执行了 402 次受控原发异常注入测试。表 2 详细列出了 TraceEvo 在各个异常类别下的检测指标。在 402 次故障测试中，TraceEvo 实现了整体 Macro-F1 = 0.960（95% CI [0.943, 0.975]）与 Micro-F1 = 0.977 的卓越检测性能。</w:t>
      </w:r>
    </w:p>
    <w:p w14:paraId="7046BCD0">
      <w:pPr>
        <w:spacing w:before="0" w:after="0" w:line="300" w:lineRule="auto"/>
        <w:ind w:firstLine="420"/>
        <w:jc w:val="both"/>
      </w:pPr>
      <w:r>
        <w:rPr>
          <w:rFonts w:ascii="Times New Roman" w:hAnsi="Times New Roman" w:eastAsia="宋体" w:cs="Times New Roman"/>
          <w:b w:val="0"/>
          <w:i w:val="0"/>
          <w:sz w:val="21"/>
        </w:rPr>
        <w:t>分类别深入分析表明：对于 A3 非法专科能力调度与 A5 轨迹哈希篡改，系统凭借严格的注册表校验与密码学哈希雪崩效应实现了 100% 的精确率与召回率（F1 = 1.000）；对于 A2 证据错绑与篡改，借助精确的原始病历哈希校验与字段映射，取得了 0.941 的 F1 分数；而对于 A1 伪造与无支持证据，召回率高达 0.983，其精确率相对较低（0.826）。正文在此必须作出严肃的科学解释：A1 精确率较低主要源于在 58 例自然运行轨迹中，客观存在 12 条自然未注入 trace 自身触发了真实的 P3 发现；根据严格的预注册实验口径，这些自然真实存在的缺陷未被剔除，而是如实计入负样本分母（False-Positive Denominator），从而拉低了受控注入下的统计精确率，这恰恰从反面佐证了审计机制对真实事实缺陷的高度敏感性。</w:t>
      </w:r>
    </w:p>
    <w:p w14:paraId="32A2E26C">
      <w:pPr>
        <w:keepNext/>
        <w:spacing w:before="160" w:after="40"/>
        <w:jc w:val="center"/>
      </w:pPr>
      <w:r>
        <w:rPr>
          <w:rFonts w:ascii="Times New Roman" w:hAnsi="Times New Roman" w:eastAsia="黑体" w:cs="Times New Roman"/>
          <w:b/>
          <w:i w:val="0"/>
          <w:sz w:val="19"/>
        </w:rPr>
        <w:t>表2  受控协作异常检测性能评测结果</w:t>
      </w:r>
      <w:r>
        <w:rPr>
          <w:rFonts w:ascii="Times New Roman" w:hAnsi="Times New Roman" w:eastAsia="黑体" w:cs="Times New Roman"/>
          <w:b/>
          <w:i w:val="0"/>
          <w:sz w:val="19"/>
        </w:rPr>
        <w:br w:type="textWrapping"/>
      </w:r>
      <w:r>
        <w:rPr>
          <w:rFonts w:ascii="Times New Roman" w:hAnsi="Times New Roman" w:eastAsia="黑体" w:cs="Times New Roman"/>
          <w:b w:val="0"/>
          <w:i w:val="0"/>
          <w:sz w:val="18"/>
        </w:rPr>
        <w:t>Table 2  Performance evaluation on controlled collaborative anomaly detection</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36"/>
        <w:gridCol w:w="1255"/>
        <w:gridCol w:w="1480"/>
        <w:gridCol w:w="1435"/>
        <w:gridCol w:w="1651"/>
      </w:tblGrid>
      <w:tr w14:paraId="05C93167">
        <w:trPr>
          <w:jc w:val="center"/>
        </w:trPr>
        <w:tc>
          <w:tcPr>
            <w:tcW w:w="3600" w:type="dxa"/>
            <w:tcBorders>
              <w:bottom w:val="single" w:color="000000" w:sz="6" w:space="0"/>
            </w:tcBorders>
            <w:vAlign w:val="center"/>
          </w:tcPr>
          <w:p w14:paraId="0BAB4251">
            <w:pPr>
              <w:spacing w:before="60" w:after="60" w:line="240" w:lineRule="auto"/>
              <w:jc w:val="center"/>
            </w:pPr>
            <w:r>
              <w:rPr>
                <w:rFonts w:ascii="Times New Roman" w:hAnsi="Times New Roman" w:eastAsia="黑体" w:cs="Times New Roman"/>
                <w:b/>
                <w:i w:val="0"/>
                <w:sz w:val="18"/>
              </w:rPr>
              <w:t>受控异常类别 (Anomaly Class)</w:t>
            </w:r>
          </w:p>
        </w:tc>
        <w:tc>
          <w:tcPr>
            <w:tcW w:w="1440" w:type="dxa"/>
            <w:tcBorders>
              <w:bottom w:val="single" w:color="000000" w:sz="6" w:space="0"/>
            </w:tcBorders>
            <w:vAlign w:val="center"/>
          </w:tcPr>
          <w:p w14:paraId="02995401">
            <w:pPr>
              <w:spacing w:before="60" w:after="60" w:line="240" w:lineRule="auto"/>
              <w:jc w:val="center"/>
            </w:pPr>
            <w:r>
              <w:rPr>
                <w:rFonts w:ascii="Times New Roman" w:hAnsi="Times New Roman" w:eastAsia="黑体" w:cs="Times New Roman"/>
                <w:b/>
                <w:i w:val="0"/>
                <w:sz w:val="18"/>
              </w:rPr>
              <w:t>测试样本数 (N)</w:t>
            </w:r>
          </w:p>
        </w:tc>
        <w:tc>
          <w:tcPr>
            <w:tcW w:w="1584" w:type="dxa"/>
            <w:tcBorders>
              <w:bottom w:val="single" w:color="000000" w:sz="6" w:space="0"/>
            </w:tcBorders>
            <w:vAlign w:val="center"/>
          </w:tcPr>
          <w:p w14:paraId="1DFFC9CF">
            <w:pPr>
              <w:spacing w:before="60" w:after="60" w:line="240" w:lineRule="auto"/>
              <w:jc w:val="center"/>
            </w:pPr>
            <w:r>
              <w:rPr>
                <w:rFonts w:ascii="Times New Roman" w:hAnsi="Times New Roman" w:eastAsia="黑体" w:cs="Times New Roman"/>
                <w:b/>
                <w:i w:val="0"/>
                <w:sz w:val="18"/>
              </w:rPr>
              <w:t>精确率 (Precision)</w:t>
            </w:r>
          </w:p>
        </w:tc>
        <w:tc>
          <w:tcPr>
            <w:tcW w:w="1584" w:type="dxa"/>
            <w:tcBorders>
              <w:bottom w:val="single" w:color="000000" w:sz="6" w:space="0"/>
            </w:tcBorders>
            <w:vAlign w:val="center"/>
          </w:tcPr>
          <w:p w14:paraId="2B5EDF1B">
            <w:pPr>
              <w:spacing w:before="60" w:after="60" w:line="240" w:lineRule="auto"/>
              <w:jc w:val="center"/>
            </w:pPr>
            <w:r>
              <w:rPr>
                <w:rFonts w:ascii="Times New Roman" w:hAnsi="Times New Roman" w:eastAsia="黑体" w:cs="Times New Roman"/>
                <w:b/>
                <w:i w:val="0"/>
                <w:sz w:val="18"/>
              </w:rPr>
              <w:t>召回率 (Recall)</w:t>
            </w:r>
          </w:p>
        </w:tc>
        <w:tc>
          <w:tcPr>
            <w:tcW w:w="1872" w:type="dxa"/>
            <w:tcBorders>
              <w:bottom w:val="single" w:color="000000" w:sz="6" w:space="0"/>
            </w:tcBorders>
            <w:vAlign w:val="center"/>
          </w:tcPr>
          <w:p w14:paraId="12DDA562">
            <w:pPr>
              <w:spacing w:before="60" w:after="60" w:line="240" w:lineRule="auto"/>
              <w:jc w:val="center"/>
            </w:pPr>
            <w:r>
              <w:rPr>
                <w:rFonts w:ascii="Times New Roman" w:hAnsi="Times New Roman" w:eastAsia="黑体" w:cs="Times New Roman"/>
                <w:b/>
                <w:i w:val="0"/>
                <w:sz w:val="18"/>
              </w:rPr>
              <w:t>F1 分数 (F1-score)</w:t>
            </w:r>
          </w:p>
        </w:tc>
      </w:tr>
      <w:tr w14:paraId="0684B6E1">
        <w:trPr>
          <w:jc w:val="center"/>
        </w:trPr>
        <w:tc>
          <w:tcPr>
            <w:tcW w:w="3600" w:type="dxa"/>
            <w:vAlign w:val="center"/>
          </w:tcPr>
          <w:p w14:paraId="4E317FE7">
            <w:pPr>
              <w:spacing w:before="50" w:after="50" w:line="240" w:lineRule="auto"/>
              <w:jc w:val="left"/>
            </w:pPr>
            <w:r>
              <w:rPr>
                <w:rFonts w:ascii="Times New Roman" w:hAnsi="Times New Roman" w:eastAsia="宋体" w:cs="Times New Roman"/>
                <w:b w:val="0"/>
                <w:i w:val="0"/>
                <w:sz w:val="18"/>
              </w:rPr>
              <w:t>A1 伪造/无支持证据 (Unsupported Evidence)</w:t>
            </w:r>
          </w:p>
        </w:tc>
        <w:tc>
          <w:tcPr>
            <w:tcW w:w="1440" w:type="dxa"/>
            <w:vAlign w:val="center"/>
          </w:tcPr>
          <w:p w14:paraId="100CEBE1">
            <w:pPr>
              <w:spacing w:before="50" w:after="50" w:line="240" w:lineRule="auto"/>
              <w:jc w:val="center"/>
            </w:pPr>
            <w:r>
              <w:rPr>
                <w:rFonts w:ascii="Times New Roman" w:hAnsi="Times New Roman" w:eastAsia="宋体" w:cs="Times New Roman"/>
                <w:b w:val="0"/>
                <w:i w:val="0"/>
                <w:sz w:val="18"/>
              </w:rPr>
              <w:t>58</w:t>
            </w:r>
          </w:p>
        </w:tc>
        <w:tc>
          <w:tcPr>
            <w:tcW w:w="1584" w:type="dxa"/>
            <w:vAlign w:val="center"/>
          </w:tcPr>
          <w:p w14:paraId="641E2AD8">
            <w:pPr>
              <w:spacing w:before="50" w:after="50" w:line="240" w:lineRule="auto"/>
              <w:jc w:val="center"/>
            </w:pPr>
            <w:r>
              <w:rPr>
                <w:rFonts w:ascii="Times New Roman" w:hAnsi="Times New Roman" w:eastAsia="宋体" w:cs="Times New Roman"/>
                <w:b w:val="0"/>
                <w:i w:val="0"/>
                <w:sz w:val="18"/>
              </w:rPr>
              <w:t>0.826</w:t>
            </w:r>
          </w:p>
        </w:tc>
        <w:tc>
          <w:tcPr>
            <w:tcW w:w="1584" w:type="dxa"/>
            <w:vAlign w:val="center"/>
          </w:tcPr>
          <w:p w14:paraId="7BACEBC0">
            <w:pPr>
              <w:spacing w:before="50" w:after="50" w:line="240" w:lineRule="auto"/>
              <w:jc w:val="center"/>
            </w:pPr>
            <w:r>
              <w:rPr>
                <w:rFonts w:ascii="Times New Roman" w:hAnsi="Times New Roman" w:eastAsia="宋体" w:cs="Times New Roman"/>
                <w:b w:val="0"/>
                <w:i w:val="0"/>
                <w:sz w:val="18"/>
              </w:rPr>
              <w:t>0.983</w:t>
            </w:r>
          </w:p>
        </w:tc>
        <w:tc>
          <w:tcPr>
            <w:tcW w:w="1872" w:type="dxa"/>
            <w:vAlign w:val="center"/>
          </w:tcPr>
          <w:p w14:paraId="10A5C6A7">
            <w:pPr>
              <w:spacing w:before="50" w:after="50" w:line="240" w:lineRule="auto"/>
              <w:jc w:val="center"/>
            </w:pPr>
            <w:r>
              <w:rPr>
                <w:rFonts w:ascii="Times New Roman" w:hAnsi="Times New Roman" w:eastAsia="宋体" w:cs="Times New Roman"/>
                <w:b w:val="0"/>
                <w:i w:val="0"/>
                <w:sz w:val="18"/>
              </w:rPr>
              <w:t>0.898</w:t>
            </w:r>
          </w:p>
        </w:tc>
      </w:tr>
      <w:tr w14:paraId="32BE269F">
        <w:trPr>
          <w:jc w:val="center"/>
        </w:trPr>
        <w:tc>
          <w:tcPr>
            <w:tcW w:w="3600" w:type="dxa"/>
            <w:vAlign w:val="center"/>
          </w:tcPr>
          <w:p w14:paraId="6F16B85D">
            <w:pPr>
              <w:spacing w:before="50" w:after="50" w:line="240" w:lineRule="auto"/>
              <w:jc w:val="left"/>
            </w:pPr>
            <w:r>
              <w:rPr>
                <w:rFonts w:ascii="Times New Roman" w:hAnsi="Times New Roman" w:eastAsia="宋体" w:cs="Times New Roman"/>
                <w:b w:val="0"/>
                <w:i w:val="0"/>
                <w:sz w:val="18"/>
              </w:rPr>
              <w:t>A2 证据错绑/篡改 (Evidence Misbinding)</w:t>
            </w:r>
          </w:p>
        </w:tc>
        <w:tc>
          <w:tcPr>
            <w:tcW w:w="1440" w:type="dxa"/>
            <w:vAlign w:val="center"/>
          </w:tcPr>
          <w:p w14:paraId="28609859">
            <w:pPr>
              <w:spacing w:before="50" w:after="50" w:line="240" w:lineRule="auto"/>
              <w:jc w:val="center"/>
            </w:pPr>
            <w:r>
              <w:rPr>
                <w:rFonts w:ascii="Times New Roman" w:hAnsi="Times New Roman" w:eastAsia="宋体" w:cs="Times New Roman"/>
                <w:b w:val="0"/>
                <w:i w:val="0"/>
                <w:sz w:val="18"/>
              </w:rPr>
              <w:t>54</w:t>
            </w:r>
          </w:p>
        </w:tc>
        <w:tc>
          <w:tcPr>
            <w:tcW w:w="1584" w:type="dxa"/>
            <w:vAlign w:val="center"/>
          </w:tcPr>
          <w:p w14:paraId="4004DC54">
            <w:pPr>
              <w:spacing w:before="50" w:after="50" w:line="240" w:lineRule="auto"/>
              <w:jc w:val="center"/>
            </w:pPr>
            <w:r>
              <w:rPr>
                <w:rFonts w:ascii="Times New Roman" w:hAnsi="Times New Roman" w:eastAsia="宋体" w:cs="Times New Roman"/>
                <w:b w:val="0"/>
                <w:i w:val="0"/>
                <w:sz w:val="18"/>
              </w:rPr>
              <w:t>1.000</w:t>
            </w:r>
          </w:p>
        </w:tc>
        <w:tc>
          <w:tcPr>
            <w:tcW w:w="1584" w:type="dxa"/>
            <w:vAlign w:val="center"/>
          </w:tcPr>
          <w:p w14:paraId="629B6417">
            <w:pPr>
              <w:spacing w:before="50" w:after="50" w:line="240" w:lineRule="auto"/>
              <w:jc w:val="center"/>
            </w:pPr>
            <w:r>
              <w:rPr>
                <w:rFonts w:ascii="Times New Roman" w:hAnsi="Times New Roman" w:eastAsia="宋体" w:cs="Times New Roman"/>
                <w:b w:val="0"/>
                <w:i w:val="0"/>
                <w:sz w:val="18"/>
              </w:rPr>
              <w:t>0.889</w:t>
            </w:r>
          </w:p>
        </w:tc>
        <w:tc>
          <w:tcPr>
            <w:tcW w:w="1872" w:type="dxa"/>
            <w:vAlign w:val="center"/>
          </w:tcPr>
          <w:p w14:paraId="222BC7DE">
            <w:pPr>
              <w:spacing w:before="50" w:after="50" w:line="240" w:lineRule="auto"/>
              <w:jc w:val="center"/>
            </w:pPr>
            <w:r>
              <w:rPr>
                <w:rFonts w:ascii="Times New Roman" w:hAnsi="Times New Roman" w:eastAsia="宋体" w:cs="Times New Roman"/>
                <w:b w:val="0"/>
                <w:i w:val="0"/>
                <w:sz w:val="18"/>
              </w:rPr>
              <w:t>0.941</w:t>
            </w:r>
          </w:p>
        </w:tc>
      </w:tr>
      <w:tr w14:paraId="4B30E7A5">
        <w:trPr>
          <w:jc w:val="center"/>
        </w:trPr>
        <w:tc>
          <w:tcPr>
            <w:tcW w:w="3600" w:type="dxa"/>
            <w:vAlign w:val="center"/>
          </w:tcPr>
          <w:p w14:paraId="4F9DE4DC">
            <w:pPr>
              <w:spacing w:before="50" w:after="50" w:line="240" w:lineRule="auto"/>
              <w:jc w:val="left"/>
            </w:pPr>
            <w:r>
              <w:rPr>
                <w:rFonts w:ascii="Times New Roman" w:hAnsi="Times New Roman" w:eastAsia="宋体" w:cs="Times New Roman"/>
                <w:b w:val="0"/>
                <w:i w:val="0"/>
                <w:sz w:val="18"/>
              </w:rPr>
              <w:t>A3 非法专科能力调度 (Invalid Capability)</w:t>
            </w:r>
          </w:p>
        </w:tc>
        <w:tc>
          <w:tcPr>
            <w:tcW w:w="1440" w:type="dxa"/>
            <w:vAlign w:val="center"/>
          </w:tcPr>
          <w:p w14:paraId="0B6DA930">
            <w:pPr>
              <w:spacing w:before="50" w:after="50" w:line="240" w:lineRule="auto"/>
              <w:jc w:val="center"/>
            </w:pPr>
            <w:r>
              <w:rPr>
                <w:rFonts w:ascii="Times New Roman" w:hAnsi="Times New Roman" w:eastAsia="宋体" w:cs="Times New Roman"/>
                <w:b w:val="0"/>
                <w:i w:val="0"/>
                <w:sz w:val="18"/>
              </w:rPr>
              <w:t>58</w:t>
            </w:r>
          </w:p>
        </w:tc>
        <w:tc>
          <w:tcPr>
            <w:tcW w:w="1584" w:type="dxa"/>
            <w:vAlign w:val="center"/>
          </w:tcPr>
          <w:p w14:paraId="0E2C8ED8">
            <w:pPr>
              <w:spacing w:before="50" w:after="50" w:line="240" w:lineRule="auto"/>
              <w:jc w:val="center"/>
            </w:pPr>
            <w:r>
              <w:rPr>
                <w:rFonts w:ascii="Times New Roman" w:hAnsi="Times New Roman" w:eastAsia="宋体" w:cs="Times New Roman"/>
                <w:b w:val="0"/>
                <w:i w:val="0"/>
                <w:sz w:val="18"/>
              </w:rPr>
              <w:t>1.000</w:t>
            </w:r>
          </w:p>
        </w:tc>
        <w:tc>
          <w:tcPr>
            <w:tcW w:w="1584" w:type="dxa"/>
            <w:vAlign w:val="center"/>
          </w:tcPr>
          <w:p w14:paraId="262C2D38">
            <w:pPr>
              <w:spacing w:before="50" w:after="50" w:line="240" w:lineRule="auto"/>
              <w:jc w:val="center"/>
            </w:pPr>
            <w:r>
              <w:rPr>
                <w:rFonts w:ascii="Times New Roman" w:hAnsi="Times New Roman" w:eastAsia="宋体" w:cs="Times New Roman"/>
                <w:b w:val="0"/>
                <w:i w:val="0"/>
                <w:sz w:val="18"/>
              </w:rPr>
              <w:t>1.000</w:t>
            </w:r>
          </w:p>
        </w:tc>
        <w:tc>
          <w:tcPr>
            <w:tcW w:w="1872" w:type="dxa"/>
            <w:vAlign w:val="center"/>
          </w:tcPr>
          <w:p w14:paraId="3B20DA16">
            <w:pPr>
              <w:spacing w:before="50" w:after="50" w:line="240" w:lineRule="auto"/>
              <w:jc w:val="center"/>
            </w:pPr>
            <w:r>
              <w:rPr>
                <w:rFonts w:ascii="Times New Roman" w:hAnsi="Times New Roman" w:eastAsia="宋体" w:cs="Times New Roman"/>
                <w:b w:val="0"/>
                <w:i w:val="0"/>
                <w:sz w:val="18"/>
              </w:rPr>
              <w:t>1.000</w:t>
            </w:r>
          </w:p>
        </w:tc>
      </w:tr>
      <w:tr w14:paraId="5C1C1D8C">
        <w:trPr>
          <w:jc w:val="center"/>
        </w:trPr>
        <w:tc>
          <w:tcPr>
            <w:tcW w:w="3600" w:type="dxa"/>
            <w:vAlign w:val="center"/>
          </w:tcPr>
          <w:p w14:paraId="57F32723">
            <w:pPr>
              <w:spacing w:before="50" w:after="50" w:line="240" w:lineRule="auto"/>
              <w:jc w:val="left"/>
            </w:pPr>
            <w:r>
              <w:rPr>
                <w:rFonts w:ascii="Times New Roman" w:hAnsi="Times New Roman" w:eastAsia="宋体" w:cs="Times New Roman"/>
                <w:b w:val="0"/>
                <w:i w:val="0"/>
                <w:sz w:val="18"/>
              </w:rPr>
              <w:t>A5 轨迹完整性篡改 (Trace Tampering)</w:t>
            </w:r>
          </w:p>
        </w:tc>
        <w:tc>
          <w:tcPr>
            <w:tcW w:w="1440" w:type="dxa"/>
            <w:vAlign w:val="center"/>
          </w:tcPr>
          <w:p w14:paraId="11077C82">
            <w:pPr>
              <w:spacing w:before="50" w:after="50" w:line="240" w:lineRule="auto"/>
              <w:jc w:val="center"/>
            </w:pPr>
            <w:r>
              <w:rPr>
                <w:rFonts w:ascii="Times New Roman" w:hAnsi="Times New Roman" w:eastAsia="宋体" w:cs="Times New Roman"/>
                <w:b w:val="0"/>
                <w:i w:val="0"/>
                <w:sz w:val="18"/>
              </w:rPr>
              <w:t>232</w:t>
            </w:r>
          </w:p>
        </w:tc>
        <w:tc>
          <w:tcPr>
            <w:tcW w:w="1584" w:type="dxa"/>
            <w:vAlign w:val="center"/>
          </w:tcPr>
          <w:p w14:paraId="411A9D14">
            <w:pPr>
              <w:spacing w:before="50" w:after="50" w:line="240" w:lineRule="auto"/>
              <w:jc w:val="center"/>
            </w:pPr>
            <w:r>
              <w:rPr>
                <w:rFonts w:ascii="Times New Roman" w:hAnsi="Times New Roman" w:eastAsia="宋体" w:cs="Times New Roman"/>
                <w:b w:val="0"/>
                <w:i w:val="0"/>
                <w:sz w:val="18"/>
              </w:rPr>
              <w:t>1.000</w:t>
            </w:r>
          </w:p>
        </w:tc>
        <w:tc>
          <w:tcPr>
            <w:tcW w:w="1584" w:type="dxa"/>
            <w:vAlign w:val="center"/>
          </w:tcPr>
          <w:p w14:paraId="2DF8DC87">
            <w:pPr>
              <w:spacing w:before="50" w:after="50" w:line="240" w:lineRule="auto"/>
              <w:jc w:val="center"/>
            </w:pPr>
            <w:r>
              <w:rPr>
                <w:rFonts w:ascii="Times New Roman" w:hAnsi="Times New Roman" w:eastAsia="宋体" w:cs="Times New Roman"/>
                <w:b w:val="0"/>
                <w:i w:val="0"/>
                <w:sz w:val="18"/>
              </w:rPr>
              <w:t>1.000</w:t>
            </w:r>
          </w:p>
        </w:tc>
        <w:tc>
          <w:tcPr>
            <w:tcW w:w="1872" w:type="dxa"/>
            <w:vAlign w:val="center"/>
          </w:tcPr>
          <w:p w14:paraId="1DB29ADB">
            <w:pPr>
              <w:spacing w:before="50" w:after="50" w:line="240" w:lineRule="auto"/>
              <w:jc w:val="center"/>
            </w:pPr>
            <w:r>
              <w:rPr>
                <w:rFonts w:ascii="Times New Roman" w:hAnsi="Times New Roman" w:eastAsia="宋体" w:cs="Times New Roman"/>
                <w:b w:val="0"/>
                <w:i w:val="0"/>
                <w:sz w:val="18"/>
              </w:rPr>
              <w:t>1.000</w:t>
            </w:r>
          </w:p>
        </w:tc>
      </w:tr>
      <w:tr w14:paraId="5A02496E">
        <w:trPr>
          <w:jc w:val="center"/>
        </w:trPr>
        <w:tc>
          <w:tcPr>
            <w:tcW w:w="3600" w:type="dxa"/>
            <w:vAlign w:val="center"/>
          </w:tcPr>
          <w:p w14:paraId="312055E0">
            <w:pPr>
              <w:spacing w:before="50" w:after="50" w:line="240" w:lineRule="auto"/>
              <w:jc w:val="left"/>
            </w:pPr>
            <w:r>
              <w:rPr>
                <w:rFonts w:ascii="Times New Roman" w:hAnsi="Times New Roman" w:eastAsia="宋体" w:cs="Times New Roman"/>
                <w:b/>
                <w:i w:val="0"/>
                <w:sz w:val="18"/>
              </w:rPr>
              <w:t>Macro 平均 (Macro Average)</w:t>
            </w:r>
          </w:p>
        </w:tc>
        <w:tc>
          <w:tcPr>
            <w:tcW w:w="1440" w:type="dxa"/>
            <w:vAlign w:val="center"/>
          </w:tcPr>
          <w:p w14:paraId="58B56771">
            <w:pPr>
              <w:spacing w:before="50" w:after="50" w:line="240" w:lineRule="auto"/>
              <w:jc w:val="center"/>
            </w:pPr>
            <w:r>
              <w:rPr>
                <w:rFonts w:ascii="Times New Roman" w:hAnsi="Times New Roman" w:eastAsia="宋体" w:cs="Times New Roman"/>
                <w:b/>
                <w:i w:val="0"/>
                <w:sz w:val="18"/>
              </w:rPr>
              <w:t>402</w:t>
            </w:r>
          </w:p>
        </w:tc>
        <w:tc>
          <w:tcPr>
            <w:tcW w:w="1584" w:type="dxa"/>
            <w:vAlign w:val="center"/>
          </w:tcPr>
          <w:p w14:paraId="186A2B1B">
            <w:pPr>
              <w:spacing w:before="50" w:after="50" w:line="240" w:lineRule="auto"/>
              <w:jc w:val="center"/>
            </w:pPr>
            <w:r>
              <w:rPr>
                <w:rFonts w:ascii="Times New Roman" w:hAnsi="Times New Roman" w:eastAsia="宋体" w:cs="Times New Roman"/>
                <w:b/>
                <w:i w:val="0"/>
                <w:sz w:val="18"/>
              </w:rPr>
              <w:t>0.957</w:t>
            </w:r>
          </w:p>
        </w:tc>
        <w:tc>
          <w:tcPr>
            <w:tcW w:w="1584" w:type="dxa"/>
            <w:vAlign w:val="center"/>
          </w:tcPr>
          <w:p w14:paraId="5FBC74B6">
            <w:pPr>
              <w:spacing w:before="50" w:after="50" w:line="240" w:lineRule="auto"/>
              <w:jc w:val="center"/>
            </w:pPr>
            <w:r>
              <w:rPr>
                <w:rFonts w:ascii="Times New Roman" w:hAnsi="Times New Roman" w:eastAsia="宋体" w:cs="Times New Roman"/>
                <w:b/>
                <w:i w:val="0"/>
                <w:sz w:val="18"/>
              </w:rPr>
              <w:t>0.968</w:t>
            </w:r>
          </w:p>
        </w:tc>
        <w:tc>
          <w:tcPr>
            <w:tcW w:w="1872" w:type="dxa"/>
            <w:vAlign w:val="center"/>
          </w:tcPr>
          <w:p w14:paraId="5215A736">
            <w:pPr>
              <w:spacing w:before="50" w:after="50" w:line="240" w:lineRule="auto"/>
              <w:jc w:val="center"/>
            </w:pPr>
            <w:r>
              <w:rPr>
                <w:rFonts w:ascii="Times New Roman" w:hAnsi="Times New Roman" w:eastAsia="宋体" w:cs="Times New Roman"/>
                <w:b/>
                <w:i w:val="0"/>
                <w:sz w:val="18"/>
              </w:rPr>
              <w:t>0.960 [0.943, 0.975]</w:t>
            </w:r>
          </w:p>
        </w:tc>
      </w:tr>
      <w:tr w14:paraId="58FD43B8">
        <w:trPr>
          <w:jc w:val="center"/>
        </w:trPr>
        <w:tc>
          <w:tcPr>
            <w:tcW w:w="3600" w:type="dxa"/>
            <w:vAlign w:val="center"/>
          </w:tcPr>
          <w:p w14:paraId="1C72FC50">
            <w:pPr>
              <w:spacing w:before="50" w:after="50" w:line="240" w:lineRule="auto"/>
              <w:jc w:val="left"/>
            </w:pPr>
            <w:r>
              <w:rPr>
                <w:rFonts w:ascii="Times New Roman" w:hAnsi="Times New Roman" w:eastAsia="宋体" w:cs="Times New Roman"/>
                <w:b/>
                <w:i w:val="0"/>
                <w:sz w:val="18"/>
              </w:rPr>
              <w:t>Micro 平均 (Micro Average)</w:t>
            </w:r>
          </w:p>
        </w:tc>
        <w:tc>
          <w:tcPr>
            <w:tcW w:w="1440" w:type="dxa"/>
            <w:vAlign w:val="center"/>
          </w:tcPr>
          <w:p w14:paraId="557B64F5">
            <w:pPr>
              <w:spacing w:before="50" w:after="50" w:line="240" w:lineRule="auto"/>
              <w:jc w:val="center"/>
            </w:pPr>
            <w:r>
              <w:rPr>
                <w:rFonts w:ascii="Times New Roman" w:hAnsi="Times New Roman" w:eastAsia="宋体" w:cs="Times New Roman"/>
                <w:b/>
                <w:i w:val="0"/>
                <w:sz w:val="18"/>
              </w:rPr>
              <w:t>402</w:t>
            </w:r>
          </w:p>
        </w:tc>
        <w:tc>
          <w:tcPr>
            <w:tcW w:w="1584" w:type="dxa"/>
            <w:vAlign w:val="center"/>
          </w:tcPr>
          <w:p w14:paraId="0F94B55E">
            <w:pPr>
              <w:spacing w:before="50" w:after="50" w:line="240" w:lineRule="auto"/>
              <w:jc w:val="center"/>
            </w:pPr>
            <w:r>
              <w:rPr>
                <w:rFonts w:ascii="Times New Roman" w:hAnsi="Times New Roman" w:eastAsia="宋体" w:cs="Times New Roman"/>
                <w:b/>
                <w:i w:val="0"/>
                <w:sz w:val="18"/>
              </w:rPr>
              <w:t>0.971</w:t>
            </w:r>
          </w:p>
        </w:tc>
        <w:tc>
          <w:tcPr>
            <w:tcW w:w="1584" w:type="dxa"/>
            <w:vAlign w:val="center"/>
          </w:tcPr>
          <w:p w14:paraId="24275B61">
            <w:pPr>
              <w:spacing w:before="50" w:after="50" w:line="240" w:lineRule="auto"/>
              <w:jc w:val="center"/>
            </w:pPr>
            <w:r>
              <w:rPr>
                <w:rFonts w:ascii="Times New Roman" w:hAnsi="Times New Roman" w:eastAsia="宋体" w:cs="Times New Roman"/>
                <w:b/>
                <w:i w:val="0"/>
                <w:sz w:val="18"/>
              </w:rPr>
              <w:t>0.983</w:t>
            </w:r>
          </w:p>
        </w:tc>
        <w:tc>
          <w:tcPr>
            <w:tcW w:w="1872" w:type="dxa"/>
            <w:vAlign w:val="center"/>
          </w:tcPr>
          <w:p w14:paraId="367433C1">
            <w:pPr>
              <w:spacing w:before="50" w:after="50" w:line="240" w:lineRule="auto"/>
              <w:jc w:val="center"/>
            </w:pPr>
            <w:r>
              <w:rPr>
                <w:rFonts w:ascii="Times New Roman" w:hAnsi="Times New Roman" w:eastAsia="宋体" w:cs="Times New Roman"/>
                <w:b/>
                <w:i w:val="0"/>
                <w:sz w:val="18"/>
              </w:rPr>
              <w:t>0.977</w:t>
            </w:r>
          </w:p>
        </w:tc>
      </w:tr>
    </w:tbl>
    <w:p w14:paraId="3963AF12">
      <w:pPr>
        <w:spacing w:before="0" w:after="80" w:line="240" w:lineRule="auto"/>
      </w:pPr>
    </w:p>
    <w:p w14:paraId="4854A71B">
      <w:pPr>
        <w:spacing w:before="0" w:after="0" w:line="300" w:lineRule="auto"/>
        <w:ind w:firstLine="420"/>
        <w:jc w:val="both"/>
      </w:pPr>
      <w:r>
        <w:rPr>
          <w:rFonts w:ascii="Times New Roman" w:hAnsi="Times New Roman" w:eastAsia="宋体" w:cs="Times New Roman"/>
          <w:b w:val="0"/>
          <w:i w:val="0"/>
          <w:sz w:val="21"/>
        </w:rPr>
        <w:t>在定位根因方面，表 3 展示了系统的追溯定位性能。在 402 次注入测试中，TraceEvo 实现了 0.978（393/402）的可观测断裂缝根因 Top-1 定位准确率；在排除物理删除等不可观测场景的 286 次适用子集中，潜在注入根因（Latent-root exact）匹配率达到 0.969（277/286）。这证明借助执行溯源 DAG 与跨图绑定，审计人员能够沿着调用依赖路径极其精准地逆向追溯并锁定引发医学结论污染的原始事件源头。</w:t>
      </w:r>
    </w:p>
    <w:p w14:paraId="4E4206FD">
      <w:pPr>
        <w:keepNext/>
        <w:spacing w:before="160" w:after="40"/>
        <w:jc w:val="center"/>
      </w:pPr>
      <w:r>
        <w:rPr>
          <w:rFonts w:ascii="Times New Roman" w:hAnsi="Times New Roman" w:eastAsia="黑体" w:cs="Times New Roman"/>
          <w:b/>
          <w:i w:val="0"/>
          <w:sz w:val="19"/>
        </w:rPr>
        <w:t>表3  系统可溯源性与根因定位评估结果</w:t>
      </w:r>
      <w:r>
        <w:rPr>
          <w:rFonts w:ascii="Times New Roman" w:hAnsi="Times New Roman" w:eastAsia="黑体" w:cs="Times New Roman"/>
          <w:b/>
          <w:i w:val="0"/>
          <w:sz w:val="19"/>
        </w:rPr>
        <w:br w:type="textWrapping"/>
      </w:r>
      <w:r>
        <w:rPr>
          <w:rFonts w:ascii="Times New Roman" w:hAnsi="Times New Roman" w:eastAsia="黑体" w:cs="Times New Roman"/>
          <w:b w:val="0"/>
          <w:i w:val="0"/>
          <w:sz w:val="18"/>
        </w:rPr>
        <w:t>Table 3  Evaluation results of traceability and root cause localization</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93"/>
        <w:gridCol w:w="2131"/>
        <w:gridCol w:w="3633"/>
      </w:tblGrid>
      <w:tr w14:paraId="113AFEE4">
        <w:trPr>
          <w:jc w:val="center"/>
        </w:trPr>
        <w:tc>
          <w:tcPr>
            <w:tcW w:w="3456" w:type="dxa"/>
            <w:tcBorders>
              <w:bottom w:val="single" w:color="000000" w:sz="6" w:space="0"/>
            </w:tcBorders>
            <w:vAlign w:val="center"/>
          </w:tcPr>
          <w:p w14:paraId="00E762D3">
            <w:pPr>
              <w:spacing w:before="60" w:after="60" w:line="240" w:lineRule="auto"/>
              <w:jc w:val="center"/>
            </w:pPr>
            <w:r>
              <w:rPr>
                <w:rFonts w:ascii="Times New Roman" w:hAnsi="Times New Roman" w:eastAsia="黑体" w:cs="Times New Roman"/>
                <w:b/>
                <w:i w:val="0"/>
                <w:sz w:val="18"/>
              </w:rPr>
              <w:t>追溯与定位指标 (Traceability Metric)</w:t>
            </w:r>
          </w:p>
        </w:tc>
        <w:tc>
          <w:tcPr>
            <w:tcW w:w="2304" w:type="dxa"/>
            <w:tcBorders>
              <w:bottom w:val="single" w:color="000000" w:sz="6" w:space="0"/>
            </w:tcBorders>
            <w:vAlign w:val="center"/>
          </w:tcPr>
          <w:p w14:paraId="1A3EBBAA">
            <w:pPr>
              <w:spacing w:before="60" w:after="60" w:line="240" w:lineRule="auto"/>
              <w:jc w:val="center"/>
            </w:pPr>
            <w:r>
              <w:rPr>
                <w:rFonts w:ascii="Times New Roman" w:hAnsi="Times New Roman" w:eastAsia="黑体" w:cs="Times New Roman"/>
                <w:b/>
                <w:i w:val="0"/>
                <w:sz w:val="18"/>
              </w:rPr>
              <w:t>评测结果 (Result)</w:t>
            </w:r>
          </w:p>
        </w:tc>
        <w:tc>
          <w:tcPr>
            <w:tcW w:w="4032" w:type="dxa"/>
            <w:tcBorders>
              <w:bottom w:val="single" w:color="000000" w:sz="6" w:space="0"/>
            </w:tcBorders>
            <w:vAlign w:val="center"/>
          </w:tcPr>
          <w:p w14:paraId="3073D5A9">
            <w:pPr>
              <w:spacing w:before="60" w:after="60" w:line="240" w:lineRule="auto"/>
              <w:jc w:val="center"/>
            </w:pPr>
            <w:r>
              <w:rPr>
                <w:rFonts w:ascii="Times New Roman" w:hAnsi="Times New Roman" w:eastAsia="黑体" w:cs="Times New Roman"/>
                <w:b/>
                <w:i w:val="0"/>
                <w:sz w:val="18"/>
              </w:rPr>
              <w:t>口径说明与设计依据</w:t>
            </w:r>
          </w:p>
        </w:tc>
      </w:tr>
      <w:tr w14:paraId="4BB302B0">
        <w:trPr>
          <w:jc w:val="center"/>
        </w:trPr>
        <w:tc>
          <w:tcPr>
            <w:tcW w:w="3456" w:type="dxa"/>
            <w:vAlign w:val="center"/>
          </w:tcPr>
          <w:p w14:paraId="2656BFAB">
            <w:pPr>
              <w:spacing w:before="50" w:after="50" w:line="240" w:lineRule="auto"/>
              <w:jc w:val="left"/>
            </w:pPr>
            <w:r>
              <w:rPr>
                <w:rFonts w:ascii="Times New Roman" w:hAnsi="Times New Roman" w:eastAsia="宋体" w:cs="Times New Roman"/>
                <w:b w:val="0"/>
                <w:i w:val="0"/>
                <w:sz w:val="18"/>
              </w:rPr>
              <w:t>可观测根因定位准确率 (Observable-root Top-1)</w:t>
            </w:r>
          </w:p>
        </w:tc>
        <w:tc>
          <w:tcPr>
            <w:tcW w:w="2304" w:type="dxa"/>
            <w:vAlign w:val="center"/>
          </w:tcPr>
          <w:p w14:paraId="0B07D960">
            <w:pPr>
              <w:spacing w:before="50" w:after="50" w:line="240" w:lineRule="auto"/>
              <w:jc w:val="center"/>
            </w:pPr>
            <w:r>
              <w:rPr>
                <w:rFonts w:ascii="Times New Roman" w:hAnsi="Times New Roman" w:eastAsia="宋体" w:cs="Times New Roman"/>
                <w:b/>
                <w:i w:val="0"/>
                <w:sz w:val="18"/>
              </w:rPr>
              <w:t>393 / 402 = 0.978</w:t>
            </w:r>
          </w:p>
        </w:tc>
        <w:tc>
          <w:tcPr>
            <w:tcW w:w="4032" w:type="dxa"/>
            <w:vAlign w:val="center"/>
          </w:tcPr>
          <w:p w14:paraId="50E53186">
            <w:pPr>
              <w:spacing w:before="50" w:after="50" w:line="240" w:lineRule="auto"/>
              <w:jc w:val="center"/>
            </w:pPr>
            <w:r>
              <w:rPr>
                <w:rFonts w:ascii="Times New Roman" w:hAnsi="Times New Roman" w:eastAsia="宋体" w:cs="Times New Roman"/>
                <w:b w:val="0"/>
                <w:i w:val="0"/>
                <w:sz w:val="18"/>
              </w:rPr>
              <w:t>基于最早可检测断裂缝事件进行严格拓扑匹配</w:t>
            </w:r>
          </w:p>
        </w:tc>
      </w:tr>
      <w:tr w14:paraId="54D272A0">
        <w:trPr>
          <w:jc w:val="center"/>
        </w:trPr>
        <w:tc>
          <w:tcPr>
            <w:tcW w:w="3456" w:type="dxa"/>
            <w:vAlign w:val="center"/>
          </w:tcPr>
          <w:p w14:paraId="017506B9">
            <w:pPr>
              <w:spacing w:before="50" w:after="50" w:line="240" w:lineRule="auto"/>
              <w:jc w:val="left"/>
            </w:pPr>
            <w:r>
              <w:rPr>
                <w:rFonts w:ascii="Times New Roman" w:hAnsi="Times New Roman" w:eastAsia="宋体" w:cs="Times New Roman"/>
                <w:b w:val="0"/>
                <w:i w:val="0"/>
                <w:sz w:val="18"/>
              </w:rPr>
              <w:t>潜在注入根因完全匹配 (Latent-root exact)</w:t>
            </w:r>
          </w:p>
        </w:tc>
        <w:tc>
          <w:tcPr>
            <w:tcW w:w="2304" w:type="dxa"/>
            <w:vAlign w:val="center"/>
          </w:tcPr>
          <w:p w14:paraId="6C34FE61">
            <w:pPr>
              <w:spacing w:before="50" w:after="50" w:line="240" w:lineRule="auto"/>
              <w:jc w:val="center"/>
            </w:pPr>
            <w:r>
              <w:rPr>
                <w:rFonts w:ascii="Times New Roman" w:hAnsi="Times New Roman" w:eastAsia="宋体" w:cs="Times New Roman"/>
                <w:b/>
                <w:i w:val="0"/>
                <w:sz w:val="18"/>
              </w:rPr>
              <w:t>277 / 286 = 0.969</w:t>
            </w:r>
          </w:p>
        </w:tc>
        <w:tc>
          <w:tcPr>
            <w:tcW w:w="4032" w:type="dxa"/>
            <w:vAlign w:val="center"/>
          </w:tcPr>
          <w:p w14:paraId="27641C82">
            <w:pPr>
              <w:spacing w:before="50" w:after="50" w:line="240" w:lineRule="auto"/>
              <w:jc w:val="center"/>
            </w:pPr>
            <w:r>
              <w:rPr>
                <w:rFonts w:ascii="Times New Roman" w:hAnsi="Times New Roman" w:eastAsia="宋体" w:cs="Times New Roman"/>
                <w:b w:val="0"/>
                <w:i w:val="0"/>
                <w:sz w:val="18"/>
              </w:rPr>
              <w:t>在事件实体未被物理删除的适用子集上评测</w:t>
            </w:r>
          </w:p>
        </w:tc>
      </w:tr>
      <w:tr w14:paraId="2227D11D">
        <w:trPr>
          <w:jc w:val="center"/>
        </w:trPr>
        <w:tc>
          <w:tcPr>
            <w:tcW w:w="3456" w:type="dxa"/>
            <w:vAlign w:val="center"/>
          </w:tcPr>
          <w:p w14:paraId="32079D3E">
            <w:pPr>
              <w:spacing w:before="50" w:after="50" w:line="240" w:lineRule="auto"/>
              <w:jc w:val="left"/>
            </w:pPr>
            <w:r>
              <w:rPr>
                <w:rFonts w:ascii="Times New Roman" w:hAnsi="Times New Roman" w:eastAsia="宋体" w:cs="Times New Roman"/>
                <w:b w:val="0"/>
                <w:i w:val="0"/>
                <w:sz w:val="18"/>
              </w:rPr>
              <w:t>会话封签验证通过率 (Seal verified)</w:t>
            </w:r>
          </w:p>
        </w:tc>
        <w:tc>
          <w:tcPr>
            <w:tcW w:w="2304" w:type="dxa"/>
            <w:vAlign w:val="center"/>
          </w:tcPr>
          <w:p w14:paraId="2D73A3A7">
            <w:pPr>
              <w:spacing w:before="50" w:after="50" w:line="240" w:lineRule="auto"/>
              <w:jc w:val="center"/>
            </w:pPr>
            <w:r>
              <w:rPr>
                <w:rFonts w:ascii="Times New Roman" w:hAnsi="Times New Roman" w:eastAsia="宋体" w:cs="Times New Roman"/>
                <w:b w:val="0"/>
                <w:i w:val="0"/>
                <w:sz w:val="18"/>
              </w:rPr>
              <w:t>58 / 58 = 1.000</w:t>
            </w:r>
          </w:p>
        </w:tc>
        <w:tc>
          <w:tcPr>
            <w:tcW w:w="4032" w:type="dxa"/>
            <w:vAlign w:val="center"/>
          </w:tcPr>
          <w:p w14:paraId="64353ECB">
            <w:pPr>
              <w:spacing w:before="50" w:after="50" w:line="240" w:lineRule="auto"/>
              <w:jc w:val="center"/>
            </w:pPr>
            <w:r>
              <w:rPr>
                <w:rFonts w:ascii="Times New Roman" w:hAnsi="Times New Roman" w:eastAsia="宋体" w:cs="Times New Roman"/>
                <w:b w:val="0"/>
                <w:i w:val="0"/>
                <w:sz w:val="18"/>
              </w:rPr>
              <w:t>全量保留病例密码学封签完整无误</w:t>
            </w:r>
          </w:p>
        </w:tc>
      </w:tr>
      <w:tr w14:paraId="2C5D3DD7">
        <w:trPr>
          <w:jc w:val="center"/>
        </w:trPr>
        <w:tc>
          <w:tcPr>
            <w:tcW w:w="3456" w:type="dxa"/>
            <w:vAlign w:val="center"/>
          </w:tcPr>
          <w:p w14:paraId="02936A77">
            <w:pPr>
              <w:spacing w:before="50" w:after="50" w:line="240" w:lineRule="auto"/>
              <w:jc w:val="left"/>
            </w:pPr>
            <w:r>
              <w:rPr>
                <w:rFonts w:ascii="Times New Roman" w:hAnsi="Times New Roman" w:eastAsia="宋体" w:cs="Times New Roman"/>
                <w:b w:val="0"/>
                <w:i w:val="0"/>
                <w:sz w:val="18"/>
              </w:rPr>
              <w:t>全生命周期轨迹完备率 (Trace complete)</w:t>
            </w:r>
          </w:p>
        </w:tc>
        <w:tc>
          <w:tcPr>
            <w:tcW w:w="2304" w:type="dxa"/>
            <w:vAlign w:val="center"/>
          </w:tcPr>
          <w:p w14:paraId="1E73E030">
            <w:pPr>
              <w:spacing w:before="50" w:after="50" w:line="240" w:lineRule="auto"/>
              <w:jc w:val="center"/>
            </w:pPr>
            <w:r>
              <w:rPr>
                <w:rFonts w:ascii="Times New Roman" w:hAnsi="Times New Roman" w:eastAsia="宋体" w:cs="Times New Roman"/>
                <w:b w:val="0"/>
                <w:i w:val="0"/>
                <w:sz w:val="18"/>
              </w:rPr>
              <w:t>58 / 58 = 1.000</w:t>
            </w:r>
          </w:p>
        </w:tc>
        <w:tc>
          <w:tcPr>
            <w:tcW w:w="4032" w:type="dxa"/>
            <w:vAlign w:val="center"/>
          </w:tcPr>
          <w:p w14:paraId="35B999A1">
            <w:pPr>
              <w:spacing w:before="50" w:after="50" w:line="240" w:lineRule="auto"/>
              <w:jc w:val="center"/>
            </w:pPr>
            <w:r>
              <w:rPr>
                <w:rFonts w:ascii="Times New Roman" w:hAnsi="Times New Roman" w:eastAsia="宋体" w:cs="Times New Roman"/>
                <w:b w:val="0"/>
                <w:i w:val="0"/>
                <w:sz w:val="18"/>
              </w:rPr>
              <w:t>涵盖从初始化到终报的全部九类事件流</w:t>
            </w:r>
          </w:p>
        </w:tc>
      </w:tr>
      <w:tr w14:paraId="0DA8F93F">
        <w:trPr>
          <w:jc w:val="center"/>
        </w:trPr>
        <w:tc>
          <w:tcPr>
            <w:tcW w:w="3456" w:type="dxa"/>
            <w:vAlign w:val="center"/>
          </w:tcPr>
          <w:p w14:paraId="2CB427F8">
            <w:pPr>
              <w:spacing w:before="50" w:after="50" w:line="240" w:lineRule="auto"/>
              <w:jc w:val="left"/>
            </w:pPr>
            <w:r>
              <w:rPr>
                <w:rFonts w:ascii="Times New Roman" w:hAnsi="Times New Roman" w:eastAsia="宋体" w:cs="Times New Roman"/>
                <w:b w:val="0"/>
                <w:i w:val="0"/>
                <w:sz w:val="18"/>
              </w:rPr>
              <w:t>双图确定性重放一致性 (Graph replay)</w:t>
            </w:r>
          </w:p>
        </w:tc>
        <w:tc>
          <w:tcPr>
            <w:tcW w:w="2304" w:type="dxa"/>
            <w:vAlign w:val="center"/>
          </w:tcPr>
          <w:p w14:paraId="47223EDA">
            <w:pPr>
              <w:spacing w:before="50" w:after="50" w:line="240" w:lineRule="auto"/>
              <w:jc w:val="center"/>
            </w:pPr>
            <w:r>
              <w:rPr>
                <w:rFonts w:ascii="Times New Roman" w:hAnsi="Times New Roman" w:eastAsia="宋体" w:cs="Times New Roman"/>
                <w:b w:val="0"/>
                <w:i w:val="0"/>
                <w:sz w:val="18"/>
              </w:rPr>
              <w:t>58 / 58 = 1.000</w:t>
            </w:r>
          </w:p>
        </w:tc>
        <w:tc>
          <w:tcPr>
            <w:tcW w:w="4032" w:type="dxa"/>
            <w:vAlign w:val="center"/>
          </w:tcPr>
          <w:p w14:paraId="283A19DA">
            <w:pPr>
              <w:spacing w:before="50" w:after="50" w:line="240" w:lineRule="auto"/>
              <w:jc w:val="center"/>
            </w:pPr>
            <w:r>
              <w:rPr>
                <w:rFonts w:ascii="Times New Roman" w:hAnsi="Times New Roman" w:eastAsia="宋体" w:cs="Times New Roman"/>
                <w:b w:val="0"/>
                <w:i w:val="0"/>
                <w:sz w:val="18"/>
              </w:rPr>
              <w:t>重放生成的因果图与原图结构 100% 一致</w:t>
            </w:r>
          </w:p>
        </w:tc>
      </w:tr>
      <w:tr w14:paraId="2B775424">
        <w:trPr>
          <w:jc w:val="center"/>
        </w:trPr>
        <w:tc>
          <w:tcPr>
            <w:tcW w:w="3456" w:type="dxa"/>
            <w:vAlign w:val="center"/>
          </w:tcPr>
          <w:p w14:paraId="728F5E94">
            <w:pPr>
              <w:spacing w:before="50" w:after="50" w:line="240" w:lineRule="auto"/>
              <w:jc w:val="left"/>
            </w:pPr>
            <w:r>
              <w:rPr>
                <w:rFonts w:ascii="Times New Roman" w:hAnsi="Times New Roman" w:eastAsia="宋体" w:cs="Times New Roman"/>
                <w:b w:val="0"/>
                <w:i w:val="0"/>
                <w:sz w:val="18"/>
              </w:rPr>
              <w:t>原始审计工件防变异性 (Artifact invariance)</w:t>
            </w:r>
          </w:p>
        </w:tc>
        <w:tc>
          <w:tcPr>
            <w:tcW w:w="2304" w:type="dxa"/>
            <w:vAlign w:val="center"/>
          </w:tcPr>
          <w:p w14:paraId="7EB8CCB2">
            <w:pPr>
              <w:spacing w:before="50" w:after="50" w:line="240" w:lineRule="auto"/>
              <w:jc w:val="center"/>
            </w:pPr>
            <w:r>
              <w:rPr>
                <w:rFonts w:ascii="Times New Roman" w:hAnsi="Times New Roman" w:eastAsia="宋体" w:cs="Times New Roman"/>
                <w:b w:val="0"/>
                <w:i w:val="0"/>
                <w:sz w:val="18"/>
              </w:rPr>
              <w:t>Yes (100% 保持未变)</w:t>
            </w:r>
          </w:p>
        </w:tc>
        <w:tc>
          <w:tcPr>
            <w:tcW w:w="4032" w:type="dxa"/>
            <w:vAlign w:val="center"/>
          </w:tcPr>
          <w:p w14:paraId="1512D82D">
            <w:pPr>
              <w:spacing w:before="50" w:after="50" w:line="240" w:lineRule="auto"/>
              <w:jc w:val="center"/>
            </w:pPr>
            <w:r>
              <w:rPr>
                <w:rFonts w:ascii="Times New Roman" w:hAnsi="Times New Roman" w:eastAsia="宋体" w:cs="Times New Roman"/>
                <w:b w:val="0"/>
                <w:i w:val="0"/>
                <w:sz w:val="18"/>
              </w:rPr>
              <w:t>注入测试与分析后原始运行时工件完好无损</w:t>
            </w:r>
          </w:p>
        </w:tc>
      </w:tr>
    </w:tbl>
    <w:p w14:paraId="7DF14DC9">
      <w:pPr>
        <w:spacing w:before="0" w:after="80" w:line="240" w:lineRule="auto"/>
      </w:pPr>
    </w:p>
    <w:p w14:paraId="4328C153">
      <w:pPr>
        <w:keepNext/>
        <w:spacing w:before="120" w:after="40"/>
        <w:ind w:firstLine="0"/>
        <w:jc w:val="left"/>
      </w:pPr>
      <w:r>
        <w:rPr>
          <w:rFonts w:ascii="Times New Roman" w:hAnsi="Times New Roman" w:eastAsia="宋体" w:cs="Times New Roman"/>
          <w:b/>
          <w:i w:val="0"/>
          <w:sz w:val="21"/>
        </w:rPr>
        <w:t>4.2.3 RQ3：结果—过程双信号经验准入的必要性剖析</w:t>
      </w:r>
    </w:p>
    <w:p w14:paraId="6CC94666">
      <w:pPr>
        <w:spacing w:before="0" w:after="0" w:line="300" w:lineRule="auto"/>
        <w:ind w:firstLine="420"/>
        <w:jc w:val="both"/>
      </w:pPr>
      <w:r>
        <w:rPr>
          <w:rFonts w:ascii="Times New Roman" w:hAnsi="Times New Roman" w:eastAsia="宋体" w:cs="Times New Roman"/>
          <w:b w:val="0"/>
          <w:i w:val="0"/>
          <w:sz w:val="21"/>
        </w:rPr>
        <w:t>表 4A 与表 4B 汇报了本研究最具决定性意义的核心实验结果，系统论证了为何可信经验准入必须实施结果与过程的双重约束。实验设计了两组极为严苛的结构性反例队列：（1）错误结果但过程干净（Incorrect-clean，N=22）：智能体执行合规无告警，但由于模型能力局限得出了错误诊断；（2）正确结果但过程污染（Correct-but-poisoned，N=19）：智能体推理过程中注入了严重的伪造或篡改证据，但最终诊断“侥幸巧合命中”正确答案。</w:t>
      </w:r>
    </w:p>
    <w:p w14:paraId="05560EBD">
      <w:pPr>
        <w:keepNext/>
        <w:spacing w:before="160" w:after="40"/>
        <w:jc w:val="center"/>
      </w:pPr>
      <w:r>
        <w:rPr>
          <w:rFonts w:ascii="Times New Roman" w:hAnsi="Times New Roman" w:eastAsia="黑体" w:cs="Times New Roman"/>
          <w:b/>
          <w:i w:val="0"/>
          <w:sz w:val="19"/>
        </w:rPr>
        <w:t>表4A  不同经验准入门控在两类结构性反例下的隔离能力对比</w:t>
      </w:r>
      <w:r>
        <w:rPr>
          <w:rFonts w:ascii="Times New Roman" w:hAnsi="Times New Roman" w:eastAsia="黑体" w:cs="Times New Roman"/>
          <w:b/>
          <w:i w:val="0"/>
          <w:sz w:val="19"/>
        </w:rPr>
        <w:br w:type="textWrapping"/>
      </w:r>
      <w:r>
        <w:rPr>
          <w:rFonts w:ascii="Times New Roman" w:hAnsi="Times New Roman" w:eastAsia="黑体" w:cs="Times New Roman"/>
          <w:b w:val="0"/>
          <w:i w:val="0"/>
          <w:sz w:val="18"/>
        </w:rPr>
        <w:t>Table 4A  Isolation capability against structural counterexamples across different gates</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31"/>
        <w:gridCol w:w="3016"/>
        <w:gridCol w:w="3010"/>
      </w:tblGrid>
      <w:tr w14:paraId="23F5F08F">
        <w:trPr>
          <w:jc w:val="center"/>
        </w:trPr>
        <w:tc>
          <w:tcPr>
            <w:tcW w:w="3168" w:type="dxa"/>
            <w:tcBorders>
              <w:bottom w:val="single" w:color="000000" w:sz="6" w:space="0"/>
            </w:tcBorders>
            <w:vAlign w:val="center"/>
          </w:tcPr>
          <w:p w14:paraId="2E0E031A">
            <w:pPr>
              <w:spacing w:before="60" w:after="60" w:line="240" w:lineRule="auto"/>
              <w:jc w:val="center"/>
            </w:pPr>
            <w:r>
              <w:rPr>
                <w:rFonts w:ascii="Times New Roman" w:hAnsi="Times New Roman" w:eastAsia="黑体" w:cs="Times New Roman"/>
                <w:b/>
                <w:i w:val="0"/>
                <w:sz w:val="18"/>
              </w:rPr>
              <w:t>经验准入门控策略 (Gate Rule)</w:t>
            </w:r>
          </w:p>
        </w:tc>
        <w:tc>
          <w:tcPr>
            <w:tcW w:w="3312" w:type="dxa"/>
            <w:tcBorders>
              <w:bottom w:val="single" w:color="000000" w:sz="6" w:space="0"/>
            </w:tcBorders>
            <w:vAlign w:val="center"/>
          </w:tcPr>
          <w:p w14:paraId="68D65C35">
            <w:pPr>
              <w:spacing w:before="60" w:after="60" w:line="240" w:lineRule="auto"/>
              <w:jc w:val="center"/>
            </w:pPr>
            <w:r>
              <w:rPr>
                <w:rFonts w:ascii="Times New Roman" w:hAnsi="Times New Roman" w:eastAsia="黑体" w:cs="Times New Roman"/>
                <w:b/>
                <w:i w:val="0"/>
                <w:sz w:val="18"/>
              </w:rPr>
              <w:t>错误但过程干净接纳数 (Incorrect-clean Admitted)</w:t>
            </w:r>
          </w:p>
        </w:tc>
        <w:tc>
          <w:tcPr>
            <w:tcW w:w="3312" w:type="dxa"/>
            <w:tcBorders>
              <w:bottom w:val="single" w:color="000000" w:sz="6" w:space="0"/>
            </w:tcBorders>
            <w:vAlign w:val="center"/>
          </w:tcPr>
          <w:p w14:paraId="0F929CF2">
            <w:pPr>
              <w:spacing w:before="60" w:after="60" w:line="240" w:lineRule="auto"/>
              <w:jc w:val="center"/>
            </w:pPr>
            <w:r>
              <w:rPr>
                <w:rFonts w:ascii="Times New Roman" w:hAnsi="Times New Roman" w:eastAsia="黑体" w:cs="Times New Roman"/>
                <w:b/>
                <w:i w:val="0"/>
                <w:sz w:val="18"/>
              </w:rPr>
              <w:t>正确但过程污染接纳数 (Correct-but-poisoned Admitted)</w:t>
            </w:r>
          </w:p>
        </w:tc>
      </w:tr>
      <w:tr w14:paraId="60AA4335">
        <w:trPr>
          <w:jc w:val="center"/>
        </w:trPr>
        <w:tc>
          <w:tcPr>
            <w:tcW w:w="3168" w:type="dxa"/>
            <w:vAlign w:val="center"/>
          </w:tcPr>
          <w:p w14:paraId="77CB4248">
            <w:pPr>
              <w:spacing w:before="50" w:after="50" w:line="240" w:lineRule="auto"/>
              <w:jc w:val="left"/>
            </w:pPr>
            <w:r>
              <w:rPr>
                <w:rFonts w:ascii="Times New Roman" w:hAnsi="Times New Roman" w:eastAsia="宋体" w:cs="Times New Roman"/>
                <w:b w:val="0"/>
                <w:i w:val="0"/>
                <w:sz w:val="18"/>
              </w:rPr>
              <w:t>朴素全量接纳 (Naive)</w:t>
            </w:r>
          </w:p>
        </w:tc>
        <w:tc>
          <w:tcPr>
            <w:tcW w:w="3312" w:type="dxa"/>
            <w:vAlign w:val="center"/>
          </w:tcPr>
          <w:p w14:paraId="6CF50C0D">
            <w:pPr>
              <w:spacing w:before="50" w:after="50" w:line="240" w:lineRule="auto"/>
              <w:jc w:val="center"/>
            </w:pPr>
            <w:r>
              <w:rPr>
                <w:rFonts w:ascii="Times New Roman" w:hAnsi="Times New Roman" w:eastAsia="宋体" w:cs="Times New Roman"/>
                <w:b w:val="0"/>
                <w:i w:val="0"/>
                <w:sz w:val="18"/>
              </w:rPr>
              <w:t>22 / 22 (100% 严重错误准入)</w:t>
            </w:r>
          </w:p>
        </w:tc>
        <w:tc>
          <w:tcPr>
            <w:tcW w:w="3312" w:type="dxa"/>
            <w:vAlign w:val="center"/>
          </w:tcPr>
          <w:p w14:paraId="72B38F80">
            <w:pPr>
              <w:spacing w:before="50" w:after="50" w:line="240" w:lineRule="auto"/>
              <w:jc w:val="center"/>
            </w:pPr>
            <w:r>
              <w:rPr>
                <w:rFonts w:ascii="Times New Roman" w:hAnsi="Times New Roman" w:eastAsia="宋体" w:cs="Times New Roman"/>
                <w:b w:val="0"/>
                <w:i w:val="0"/>
                <w:sz w:val="18"/>
              </w:rPr>
              <w:t>19 / 19 (100% 严重毒害准入)</w:t>
            </w:r>
          </w:p>
        </w:tc>
      </w:tr>
      <w:tr w14:paraId="68D1989D">
        <w:trPr>
          <w:jc w:val="center"/>
        </w:trPr>
        <w:tc>
          <w:tcPr>
            <w:tcW w:w="3168" w:type="dxa"/>
            <w:vAlign w:val="center"/>
          </w:tcPr>
          <w:p w14:paraId="5F2A755E">
            <w:pPr>
              <w:spacing w:before="50" w:after="50" w:line="240" w:lineRule="auto"/>
              <w:jc w:val="left"/>
            </w:pPr>
            <w:r>
              <w:rPr>
                <w:rFonts w:ascii="Times New Roman" w:hAnsi="Times New Roman" w:eastAsia="宋体" w:cs="Times New Roman"/>
                <w:b w:val="0"/>
                <w:i w:val="0"/>
                <w:sz w:val="18"/>
              </w:rPr>
              <w:t>仅看结果正确性 (OutcomeOnly)</w:t>
            </w:r>
          </w:p>
        </w:tc>
        <w:tc>
          <w:tcPr>
            <w:tcW w:w="3312" w:type="dxa"/>
            <w:vAlign w:val="center"/>
          </w:tcPr>
          <w:p w14:paraId="10840963">
            <w:pPr>
              <w:spacing w:before="50" w:after="50" w:line="240" w:lineRule="auto"/>
              <w:jc w:val="center"/>
            </w:pPr>
            <w:r>
              <w:rPr>
                <w:rFonts w:ascii="Times New Roman" w:hAnsi="Times New Roman" w:eastAsia="宋体" w:cs="Times New Roman"/>
                <w:b/>
                <w:i w:val="0"/>
                <w:sz w:val="18"/>
              </w:rPr>
              <w:t>0 / 22 (完美阻断)</w:t>
            </w:r>
          </w:p>
        </w:tc>
        <w:tc>
          <w:tcPr>
            <w:tcW w:w="3312" w:type="dxa"/>
            <w:vAlign w:val="center"/>
          </w:tcPr>
          <w:p w14:paraId="24950506">
            <w:pPr>
              <w:spacing w:before="50" w:after="50" w:line="240" w:lineRule="auto"/>
              <w:jc w:val="center"/>
            </w:pPr>
            <w:r>
              <w:rPr>
                <w:rFonts w:ascii="Times New Roman" w:hAnsi="Times New Roman" w:eastAsia="宋体" w:cs="Times New Roman"/>
                <w:b w:val="0"/>
                <w:i w:val="0"/>
                <w:sz w:val="18"/>
              </w:rPr>
              <w:t>19 / 19 (100% 严重毒害准入)</w:t>
            </w:r>
          </w:p>
        </w:tc>
      </w:tr>
      <w:tr w14:paraId="19A05127">
        <w:trPr>
          <w:jc w:val="center"/>
        </w:trPr>
        <w:tc>
          <w:tcPr>
            <w:tcW w:w="3168" w:type="dxa"/>
            <w:vAlign w:val="center"/>
          </w:tcPr>
          <w:p w14:paraId="4B5F974C">
            <w:pPr>
              <w:spacing w:before="50" w:after="50" w:line="240" w:lineRule="auto"/>
              <w:jc w:val="left"/>
            </w:pPr>
            <w:r>
              <w:rPr>
                <w:rFonts w:ascii="Times New Roman" w:hAnsi="Times New Roman" w:eastAsia="宋体" w:cs="Times New Roman"/>
                <w:b w:val="0"/>
                <w:i w:val="0"/>
                <w:sz w:val="18"/>
              </w:rPr>
              <w:t>仅看过程审计合规 (AuditOnly)</w:t>
            </w:r>
          </w:p>
        </w:tc>
        <w:tc>
          <w:tcPr>
            <w:tcW w:w="3312" w:type="dxa"/>
            <w:vAlign w:val="center"/>
          </w:tcPr>
          <w:p w14:paraId="2554FCDD">
            <w:pPr>
              <w:spacing w:before="50" w:after="50" w:line="240" w:lineRule="auto"/>
              <w:jc w:val="center"/>
            </w:pPr>
            <w:r>
              <w:rPr>
                <w:rFonts w:ascii="Times New Roman" w:hAnsi="Times New Roman" w:eastAsia="宋体" w:cs="Times New Roman"/>
                <w:b w:val="0"/>
                <w:i w:val="0"/>
                <w:sz w:val="18"/>
              </w:rPr>
              <w:t>22 / 22 (100% 严重错误准入)</w:t>
            </w:r>
          </w:p>
        </w:tc>
        <w:tc>
          <w:tcPr>
            <w:tcW w:w="3312" w:type="dxa"/>
            <w:vAlign w:val="center"/>
          </w:tcPr>
          <w:p w14:paraId="5F5BFC48">
            <w:pPr>
              <w:spacing w:before="50" w:after="50" w:line="240" w:lineRule="auto"/>
              <w:jc w:val="center"/>
            </w:pPr>
            <w:r>
              <w:rPr>
                <w:rFonts w:ascii="Times New Roman" w:hAnsi="Times New Roman" w:eastAsia="宋体" w:cs="Times New Roman"/>
                <w:b w:val="0"/>
                <w:i w:val="0"/>
                <w:sz w:val="18"/>
              </w:rPr>
              <w:t>2 / 19 (部分误准入)</w:t>
            </w:r>
          </w:p>
        </w:tc>
      </w:tr>
      <w:tr w14:paraId="41B06A28">
        <w:trPr>
          <w:jc w:val="center"/>
        </w:trPr>
        <w:tc>
          <w:tcPr>
            <w:tcW w:w="3168" w:type="dxa"/>
            <w:vAlign w:val="center"/>
          </w:tcPr>
          <w:p w14:paraId="0AD14AAC">
            <w:pPr>
              <w:spacing w:before="50" w:after="50" w:line="240" w:lineRule="auto"/>
              <w:jc w:val="left"/>
            </w:pPr>
            <w:r>
              <w:rPr>
                <w:rFonts w:ascii="Times New Roman" w:hAnsi="Times New Roman" w:eastAsia="宋体" w:cs="Times New Roman"/>
                <w:b w:val="0"/>
                <w:i w:val="0"/>
                <w:sz w:val="18"/>
              </w:rPr>
              <w:t>仅看完整性哈希 (IntegrityOnly)</w:t>
            </w:r>
          </w:p>
        </w:tc>
        <w:tc>
          <w:tcPr>
            <w:tcW w:w="3312" w:type="dxa"/>
            <w:vAlign w:val="center"/>
          </w:tcPr>
          <w:p w14:paraId="79CFD6B0">
            <w:pPr>
              <w:spacing w:before="50" w:after="50" w:line="240" w:lineRule="auto"/>
              <w:jc w:val="center"/>
            </w:pPr>
            <w:r>
              <w:rPr>
                <w:rFonts w:ascii="Times New Roman" w:hAnsi="Times New Roman" w:eastAsia="宋体" w:cs="Times New Roman"/>
                <w:b w:val="0"/>
                <w:i w:val="0"/>
                <w:sz w:val="18"/>
              </w:rPr>
              <w:t>22 / 22 (100% 严重错误准入)</w:t>
            </w:r>
          </w:p>
        </w:tc>
        <w:tc>
          <w:tcPr>
            <w:tcW w:w="3312" w:type="dxa"/>
            <w:vAlign w:val="center"/>
          </w:tcPr>
          <w:p w14:paraId="1A15CD3E">
            <w:pPr>
              <w:spacing w:before="50" w:after="50" w:line="240" w:lineRule="auto"/>
              <w:jc w:val="center"/>
            </w:pPr>
            <w:r>
              <w:rPr>
                <w:rFonts w:ascii="Times New Roman" w:hAnsi="Times New Roman" w:eastAsia="宋体" w:cs="Times New Roman"/>
                <w:b w:val="0"/>
                <w:i w:val="0"/>
                <w:sz w:val="18"/>
              </w:rPr>
              <w:t>0 / 19 (阻断)</w:t>
            </w:r>
          </w:p>
        </w:tc>
      </w:tr>
      <w:tr w14:paraId="6790B708">
        <w:trPr>
          <w:jc w:val="center"/>
        </w:trPr>
        <w:tc>
          <w:tcPr>
            <w:tcW w:w="3168" w:type="dxa"/>
            <w:vAlign w:val="center"/>
          </w:tcPr>
          <w:p w14:paraId="462CD8EB">
            <w:pPr>
              <w:spacing w:before="50" w:after="50" w:line="240" w:lineRule="auto"/>
              <w:jc w:val="left"/>
            </w:pPr>
            <w:r>
              <w:rPr>
                <w:rFonts w:ascii="Times New Roman" w:hAnsi="Times New Roman" w:eastAsia="宋体" w:cs="Times New Roman"/>
                <w:b/>
                <w:i w:val="0"/>
                <w:sz w:val="18"/>
              </w:rPr>
              <w:t>TraceEvo 双信号门控 (Ours)</w:t>
            </w:r>
          </w:p>
        </w:tc>
        <w:tc>
          <w:tcPr>
            <w:tcW w:w="3312" w:type="dxa"/>
            <w:vAlign w:val="center"/>
          </w:tcPr>
          <w:p w14:paraId="1CCE5939">
            <w:pPr>
              <w:spacing w:before="50" w:after="50" w:line="240" w:lineRule="auto"/>
              <w:jc w:val="center"/>
            </w:pPr>
            <w:r>
              <w:rPr>
                <w:rFonts w:ascii="Times New Roman" w:hAnsi="Times New Roman" w:eastAsia="宋体" w:cs="Times New Roman"/>
                <w:b/>
                <w:i w:val="0"/>
                <w:sz w:val="18"/>
              </w:rPr>
              <w:t>0 / 22 (100% 完美阻断)</w:t>
            </w:r>
          </w:p>
        </w:tc>
        <w:tc>
          <w:tcPr>
            <w:tcW w:w="3312" w:type="dxa"/>
            <w:vAlign w:val="center"/>
          </w:tcPr>
          <w:p w14:paraId="7860C233">
            <w:pPr>
              <w:spacing w:before="50" w:after="50" w:line="240" w:lineRule="auto"/>
              <w:jc w:val="center"/>
            </w:pPr>
            <w:r>
              <w:rPr>
                <w:rFonts w:ascii="Times New Roman" w:hAnsi="Times New Roman" w:eastAsia="宋体" w:cs="Times New Roman"/>
                <w:b/>
                <w:i w:val="0"/>
                <w:sz w:val="18"/>
              </w:rPr>
              <w:t>0 / 19 (100% 完美阻断)</w:t>
            </w:r>
          </w:p>
        </w:tc>
      </w:tr>
    </w:tbl>
    <w:p w14:paraId="0CD3FED2">
      <w:pPr>
        <w:spacing w:before="0" w:after="80" w:line="240" w:lineRule="auto"/>
      </w:pPr>
    </w:p>
    <w:p w14:paraId="382EC9AA">
      <w:pPr>
        <w:spacing w:before="160" w:after="80"/>
        <w:jc w:val="center"/>
      </w:pPr>
      <w:r>
        <w:rPr>
          <w:rFonts w:ascii="Times New Roman" w:hAnsi="Times New Roman" w:eastAsia="KaiTi" w:cs="Times New Roman"/>
          <w:b w:val="0"/>
          <w:i/>
          <w:color w:val="505050"/>
          <w:sz w:val="18"/>
        </w:rPr>
        <w:t>【图 4 架构/流程示意图：结果—过程双信号经验准入门控决策逻辑与反例隔离】</w:t>
      </w:r>
      <w:r>
        <w:rPr>
          <w:rFonts w:ascii="Times New Roman" w:hAnsi="Times New Roman" w:eastAsia="KaiTi" w:cs="Times New Roman"/>
          <w:b w:val="0"/>
          <w:i/>
          <w:color w:val="505050"/>
          <w:sz w:val="18"/>
        </w:rPr>
        <w:br w:type="textWrapping"/>
      </w:r>
      <w:r>
        <w:rPr>
          <w:rFonts w:ascii="Times New Roman" w:hAnsi="Times New Roman" w:eastAsia="KaiTi" w:cs="Times New Roman"/>
          <w:b w:val="0"/>
          <w:i/>
          <w:color w:val="505050"/>
          <w:sz w:val="18"/>
        </w:rPr>
        <w:t>二维决策空间：横轴代表过程可信性（Trustworthy vs Polluted），纵轴代表任务结果（Correct vs Wrong）。</w:t>
      </w:r>
      <w:r>
        <w:rPr>
          <w:rFonts w:ascii="Times New Roman" w:hAnsi="Times New Roman" w:eastAsia="KaiTi" w:cs="Times New Roman"/>
          <w:b w:val="0"/>
          <w:i/>
          <w:color w:val="505050"/>
          <w:sz w:val="18"/>
        </w:rPr>
        <w:br w:type="textWrapping"/>
      </w:r>
      <w:r>
        <w:rPr>
          <w:rFonts w:ascii="Times New Roman" w:hAnsi="Times New Roman" w:eastAsia="KaiTi" w:cs="Times New Roman"/>
          <w:b w:val="0"/>
          <w:i/>
          <w:color w:val="505050"/>
          <w:sz w:val="18"/>
        </w:rPr>
        <w:t>OutcomeOnly 陷入毒害经验接纳盲区（19/19）；AuditOnly 陷入错误经验接纳盲区（22/22）；TraceEvo 唯有在象限一（正确且干净）准入，彻底封闭两类结构性漏洞。</w:t>
      </w:r>
    </w:p>
    <w:p w14:paraId="07E00DD2">
      <w:pPr>
        <w:spacing w:before="40" w:after="160"/>
        <w:jc w:val="center"/>
      </w:pPr>
      <w:r>
        <w:rPr>
          <w:rFonts w:ascii="Times New Roman" w:hAnsi="Times New Roman" w:eastAsia="黑体" w:cs="Times New Roman"/>
          <w:b/>
          <w:i w:val="0"/>
          <w:sz w:val="19"/>
        </w:rPr>
        <w:t>图4</w:t>
      </w:r>
      <w:r>
        <w:rPr>
          <w:rFonts w:ascii="Times New Roman" w:hAnsi="Times New Roman" w:eastAsia="黑体" w:cs="Times New Roman"/>
          <w:b/>
          <w:i w:val="0"/>
          <w:sz w:val="19"/>
        </w:rPr>
        <w:tab/>
      </w:r>
      <w:r>
        <w:rPr>
          <w:rFonts w:ascii="Times New Roman" w:hAnsi="Times New Roman" w:eastAsia="黑体" w:cs="Times New Roman"/>
          <w:b/>
          <w:i w:val="0"/>
          <w:sz w:val="19"/>
        </w:rPr>
        <w:t>结果—过程双信号经验准入门控决策逻辑与反例隔离</w:t>
      </w:r>
      <w:r>
        <w:rPr>
          <w:rFonts w:ascii="Times New Roman" w:hAnsi="Times New Roman" w:eastAsia="黑体" w:cs="Times New Roman"/>
          <w:b/>
          <w:i w:val="0"/>
          <w:sz w:val="19"/>
        </w:rPr>
        <w:br w:type="textWrapping"/>
      </w:r>
      <w:r>
        <w:rPr>
          <w:rFonts w:ascii="Times New Roman" w:hAnsi="Times New Roman" w:eastAsia="黑体" w:cs="Times New Roman"/>
          <w:b w:val="0"/>
          <w:i w:val="0"/>
          <w:sz w:val="18"/>
        </w:rPr>
        <w:t>Fig.4  Experience gate decision space and isolation of structural counterexamples</w:t>
      </w:r>
    </w:p>
    <w:p w14:paraId="79F0C873">
      <w:pPr>
        <w:spacing w:before="0" w:after="0" w:line="300" w:lineRule="auto"/>
        <w:ind w:firstLine="420"/>
        <w:jc w:val="both"/>
      </w:pPr>
      <w:r>
        <w:rPr>
          <w:rFonts w:ascii="Times New Roman" w:hAnsi="Times New Roman" w:eastAsia="宋体" w:cs="Times New Roman"/>
          <w:b w:val="0"/>
          <w:i w:val="0"/>
          <w:sz w:val="21"/>
        </w:rPr>
        <w:t>表 4A 展现出惊人的对比结果：传统的 OutcomeOnly 策略仅凭最终诊断正确，盲目将 19 例包含虚构证据的毒害轨迹全部接纳（19/19）；而单一的 AuditOnly 策略因未见过程违规，盲目将 22 例诊断彻底错误的轨迹全部判定为优质经验（22/22）。唯有 TraceEvo 联合双重信号，实现了对两类反例的完全拦截（0/22 与 0/19）。进一步如表 4B 所示，在全量经验筛选池中，TraceEvo 将成功经验的准入精确率由 Naive 的 0.065 跃升至 1.000（5/5，95% CI [0.566, 1.000]），并实现了 100% 的成功经验保留率（5/5）与 100% 的失败经验捕获率（16/16）。正文在此客观指出，准入精确率 1.000 基于严格正例数量，其置信区间较宽，但这确凿证明了双信号门控是构建无毒经验闭环的根本保障。</w:t>
      </w:r>
    </w:p>
    <w:p w14:paraId="3502F73B">
      <w:pPr>
        <w:keepNext/>
        <w:spacing w:before="160" w:after="40"/>
        <w:jc w:val="center"/>
      </w:pPr>
      <w:r>
        <w:rPr>
          <w:rFonts w:ascii="Times New Roman" w:hAnsi="Times New Roman" w:eastAsia="黑体" w:cs="Times New Roman"/>
          <w:b/>
          <w:i w:val="0"/>
          <w:sz w:val="19"/>
        </w:rPr>
        <w:t>表4B  经验准入门控综合筛选质量与捕获效率评测</w:t>
      </w:r>
      <w:r>
        <w:rPr>
          <w:rFonts w:ascii="Times New Roman" w:hAnsi="Times New Roman" w:eastAsia="黑体" w:cs="Times New Roman"/>
          <w:b/>
          <w:i w:val="0"/>
          <w:sz w:val="19"/>
        </w:rPr>
        <w:br w:type="textWrapping"/>
      </w:r>
      <w:r>
        <w:rPr>
          <w:rFonts w:ascii="Times New Roman" w:hAnsi="Times New Roman" w:eastAsia="黑体" w:cs="Times New Roman"/>
          <w:b w:val="0"/>
          <w:i w:val="0"/>
          <w:sz w:val="18"/>
        </w:rPr>
        <w:t>Table 4B  Evaluation of experience admission precision, retention, and failure capture</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30"/>
        <w:gridCol w:w="2290"/>
        <w:gridCol w:w="2301"/>
        <w:gridCol w:w="2036"/>
      </w:tblGrid>
      <w:tr w14:paraId="1D793251">
        <w:trPr>
          <w:jc w:val="center"/>
        </w:trPr>
        <w:tc>
          <w:tcPr>
            <w:tcW w:w="2592" w:type="dxa"/>
            <w:tcBorders>
              <w:bottom w:val="single" w:color="000000" w:sz="6" w:space="0"/>
            </w:tcBorders>
            <w:vAlign w:val="center"/>
          </w:tcPr>
          <w:p w14:paraId="506350C1">
            <w:pPr>
              <w:spacing w:before="60" w:after="60" w:line="240" w:lineRule="auto"/>
              <w:jc w:val="center"/>
            </w:pPr>
            <w:r>
              <w:rPr>
                <w:rFonts w:ascii="Times New Roman" w:hAnsi="Times New Roman" w:eastAsia="黑体" w:cs="Times New Roman"/>
                <w:b/>
                <w:i w:val="0"/>
                <w:sz w:val="18"/>
              </w:rPr>
              <w:t>经验准入规则 (Rule)</w:t>
            </w:r>
          </w:p>
        </w:tc>
        <w:tc>
          <w:tcPr>
            <w:tcW w:w="2592" w:type="dxa"/>
            <w:tcBorders>
              <w:bottom w:val="single" w:color="000000" w:sz="6" w:space="0"/>
            </w:tcBorders>
            <w:vAlign w:val="center"/>
          </w:tcPr>
          <w:p w14:paraId="7B209FE0">
            <w:pPr>
              <w:spacing w:before="60" w:after="60" w:line="240" w:lineRule="auto"/>
              <w:jc w:val="center"/>
            </w:pPr>
            <w:r>
              <w:rPr>
                <w:rFonts w:ascii="Times New Roman" w:hAnsi="Times New Roman" w:eastAsia="黑体" w:cs="Times New Roman"/>
                <w:b/>
                <w:i w:val="0"/>
                <w:sz w:val="18"/>
              </w:rPr>
              <w:t>成功经验保留率 (Success Retention)</w:t>
            </w:r>
          </w:p>
        </w:tc>
        <w:tc>
          <w:tcPr>
            <w:tcW w:w="2592" w:type="dxa"/>
            <w:tcBorders>
              <w:bottom w:val="single" w:color="000000" w:sz="6" w:space="0"/>
            </w:tcBorders>
            <w:vAlign w:val="center"/>
          </w:tcPr>
          <w:p w14:paraId="47CFF83D">
            <w:pPr>
              <w:spacing w:before="60" w:after="60" w:line="240" w:lineRule="auto"/>
              <w:jc w:val="center"/>
            </w:pPr>
            <w:r>
              <w:rPr>
                <w:rFonts w:ascii="Times New Roman" w:hAnsi="Times New Roman" w:eastAsia="黑体" w:cs="Times New Roman"/>
                <w:b/>
                <w:i w:val="0"/>
                <w:sz w:val="18"/>
              </w:rPr>
              <w:t>准入精确率 (Admission Precision)</w:t>
            </w:r>
          </w:p>
        </w:tc>
        <w:tc>
          <w:tcPr>
            <w:tcW w:w="2304" w:type="dxa"/>
            <w:tcBorders>
              <w:bottom w:val="single" w:color="000000" w:sz="6" w:space="0"/>
            </w:tcBorders>
            <w:vAlign w:val="center"/>
          </w:tcPr>
          <w:p w14:paraId="1787BC6B">
            <w:pPr>
              <w:spacing w:before="60" w:after="60" w:line="240" w:lineRule="auto"/>
              <w:jc w:val="center"/>
            </w:pPr>
            <w:r>
              <w:rPr>
                <w:rFonts w:ascii="Times New Roman" w:hAnsi="Times New Roman" w:eastAsia="黑体" w:cs="Times New Roman"/>
                <w:b/>
                <w:i w:val="0"/>
                <w:sz w:val="18"/>
              </w:rPr>
              <w:t>失败经验捕获率 (Failure Capture)</w:t>
            </w:r>
          </w:p>
        </w:tc>
      </w:tr>
      <w:tr w14:paraId="5DDF8118">
        <w:trPr>
          <w:jc w:val="center"/>
        </w:trPr>
        <w:tc>
          <w:tcPr>
            <w:tcW w:w="2592" w:type="dxa"/>
            <w:vAlign w:val="center"/>
          </w:tcPr>
          <w:p w14:paraId="200C3191">
            <w:pPr>
              <w:spacing w:before="50" w:after="50" w:line="240" w:lineRule="auto"/>
              <w:jc w:val="left"/>
            </w:pPr>
            <w:r>
              <w:rPr>
                <w:rFonts w:ascii="Times New Roman" w:hAnsi="Times New Roman" w:eastAsia="宋体" w:cs="Times New Roman"/>
                <w:b w:val="0"/>
                <w:i w:val="0"/>
                <w:sz w:val="18"/>
              </w:rPr>
              <w:t>Naive</w:t>
            </w:r>
          </w:p>
        </w:tc>
        <w:tc>
          <w:tcPr>
            <w:tcW w:w="2592" w:type="dxa"/>
            <w:vAlign w:val="center"/>
          </w:tcPr>
          <w:p w14:paraId="4BB9ED98">
            <w:pPr>
              <w:spacing w:before="50" w:after="50" w:line="240" w:lineRule="auto"/>
              <w:jc w:val="center"/>
            </w:pPr>
            <w:r>
              <w:rPr>
                <w:rFonts w:ascii="Times New Roman" w:hAnsi="Times New Roman" w:eastAsia="宋体" w:cs="Times New Roman"/>
                <w:b w:val="0"/>
                <w:i w:val="0"/>
                <w:sz w:val="18"/>
              </w:rPr>
              <w:t>5 / 5 (100%)</w:t>
            </w:r>
          </w:p>
        </w:tc>
        <w:tc>
          <w:tcPr>
            <w:tcW w:w="2592" w:type="dxa"/>
            <w:vAlign w:val="center"/>
          </w:tcPr>
          <w:p w14:paraId="50D75827">
            <w:pPr>
              <w:spacing w:before="50" w:after="50" w:line="240" w:lineRule="auto"/>
              <w:jc w:val="center"/>
            </w:pPr>
            <w:r>
              <w:rPr>
                <w:rFonts w:ascii="Times New Roman" w:hAnsi="Times New Roman" w:eastAsia="宋体" w:cs="Times New Roman"/>
                <w:b w:val="0"/>
                <w:i w:val="0"/>
                <w:sz w:val="18"/>
              </w:rPr>
              <w:t>5 / 77 = 0.065</w:t>
            </w:r>
          </w:p>
        </w:tc>
        <w:tc>
          <w:tcPr>
            <w:tcW w:w="2304" w:type="dxa"/>
            <w:vAlign w:val="center"/>
          </w:tcPr>
          <w:p w14:paraId="35D092E6">
            <w:pPr>
              <w:spacing w:before="50" w:after="50" w:line="240" w:lineRule="auto"/>
              <w:jc w:val="center"/>
            </w:pPr>
            <w:r>
              <w:rPr>
                <w:rFonts w:ascii="Times New Roman" w:hAnsi="Times New Roman" w:eastAsia="宋体" w:cs="Times New Roman"/>
                <w:b w:val="0"/>
                <w:i w:val="0"/>
                <w:sz w:val="18"/>
              </w:rPr>
              <w:t>0 / 16 (0%)</w:t>
            </w:r>
          </w:p>
        </w:tc>
      </w:tr>
      <w:tr w14:paraId="709578F9">
        <w:trPr>
          <w:jc w:val="center"/>
        </w:trPr>
        <w:tc>
          <w:tcPr>
            <w:tcW w:w="2592" w:type="dxa"/>
            <w:vAlign w:val="center"/>
          </w:tcPr>
          <w:p w14:paraId="74873F31">
            <w:pPr>
              <w:spacing w:before="50" w:after="50" w:line="240" w:lineRule="auto"/>
              <w:jc w:val="left"/>
            </w:pPr>
            <w:r>
              <w:rPr>
                <w:rFonts w:ascii="Times New Roman" w:hAnsi="Times New Roman" w:eastAsia="宋体" w:cs="Times New Roman"/>
                <w:b w:val="0"/>
                <w:i w:val="0"/>
                <w:sz w:val="18"/>
              </w:rPr>
              <w:t>OutcomeOnly</w:t>
            </w:r>
          </w:p>
        </w:tc>
        <w:tc>
          <w:tcPr>
            <w:tcW w:w="2592" w:type="dxa"/>
            <w:vAlign w:val="center"/>
          </w:tcPr>
          <w:p w14:paraId="4F554815">
            <w:pPr>
              <w:spacing w:before="50" w:after="50" w:line="240" w:lineRule="auto"/>
              <w:jc w:val="center"/>
            </w:pPr>
            <w:r>
              <w:rPr>
                <w:rFonts w:ascii="Times New Roman" w:hAnsi="Times New Roman" w:eastAsia="宋体" w:cs="Times New Roman"/>
                <w:b w:val="0"/>
                <w:i w:val="0"/>
                <w:sz w:val="18"/>
              </w:rPr>
              <w:t>5 / 5 (100%)</w:t>
            </w:r>
          </w:p>
        </w:tc>
        <w:tc>
          <w:tcPr>
            <w:tcW w:w="2592" w:type="dxa"/>
            <w:vAlign w:val="center"/>
          </w:tcPr>
          <w:p w14:paraId="58031F92">
            <w:pPr>
              <w:spacing w:before="50" w:after="50" w:line="240" w:lineRule="auto"/>
              <w:jc w:val="center"/>
            </w:pPr>
            <w:r>
              <w:rPr>
                <w:rFonts w:ascii="Times New Roman" w:hAnsi="Times New Roman" w:eastAsia="宋体" w:cs="Times New Roman"/>
                <w:b w:val="0"/>
                <w:i w:val="0"/>
                <w:sz w:val="18"/>
              </w:rPr>
              <w:t>5 / 26 = 0.192</w:t>
            </w:r>
          </w:p>
        </w:tc>
        <w:tc>
          <w:tcPr>
            <w:tcW w:w="2304" w:type="dxa"/>
            <w:vAlign w:val="center"/>
          </w:tcPr>
          <w:p w14:paraId="127A5C76">
            <w:pPr>
              <w:spacing w:before="50" w:after="50" w:line="240" w:lineRule="auto"/>
              <w:jc w:val="center"/>
            </w:pPr>
            <w:r>
              <w:rPr>
                <w:rFonts w:ascii="Times New Roman" w:hAnsi="Times New Roman" w:eastAsia="宋体" w:cs="Times New Roman"/>
                <w:b w:val="0"/>
                <w:i w:val="0"/>
                <w:sz w:val="18"/>
              </w:rPr>
              <w:t>0 / 2 (0%)</w:t>
            </w:r>
          </w:p>
        </w:tc>
      </w:tr>
      <w:tr w14:paraId="24046B35">
        <w:trPr>
          <w:jc w:val="center"/>
        </w:trPr>
        <w:tc>
          <w:tcPr>
            <w:tcW w:w="2592" w:type="dxa"/>
            <w:vAlign w:val="center"/>
          </w:tcPr>
          <w:p w14:paraId="424EB802">
            <w:pPr>
              <w:spacing w:before="50" w:after="50" w:line="240" w:lineRule="auto"/>
              <w:jc w:val="left"/>
            </w:pPr>
            <w:r>
              <w:rPr>
                <w:rFonts w:ascii="Times New Roman" w:hAnsi="Times New Roman" w:eastAsia="宋体" w:cs="Times New Roman"/>
                <w:b w:val="0"/>
                <w:i w:val="0"/>
                <w:sz w:val="18"/>
              </w:rPr>
              <w:t>AuditOnly</w:t>
            </w:r>
          </w:p>
        </w:tc>
        <w:tc>
          <w:tcPr>
            <w:tcW w:w="2592" w:type="dxa"/>
            <w:vAlign w:val="center"/>
          </w:tcPr>
          <w:p w14:paraId="409C318A">
            <w:pPr>
              <w:spacing w:before="50" w:after="50" w:line="240" w:lineRule="auto"/>
              <w:jc w:val="center"/>
            </w:pPr>
            <w:r>
              <w:rPr>
                <w:rFonts w:ascii="Times New Roman" w:hAnsi="Times New Roman" w:eastAsia="宋体" w:cs="Times New Roman"/>
                <w:b w:val="0"/>
                <w:i w:val="0"/>
                <w:sz w:val="18"/>
              </w:rPr>
              <w:t>5 / 5 (100%)</w:t>
            </w:r>
          </w:p>
        </w:tc>
        <w:tc>
          <w:tcPr>
            <w:tcW w:w="2592" w:type="dxa"/>
            <w:vAlign w:val="center"/>
          </w:tcPr>
          <w:p w14:paraId="38C8AFA8">
            <w:pPr>
              <w:spacing w:before="50" w:after="50" w:line="240" w:lineRule="auto"/>
              <w:jc w:val="center"/>
            </w:pPr>
            <w:r>
              <w:rPr>
                <w:rFonts w:ascii="Times New Roman" w:hAnsi="Times New Roman" w:eastAsia="宋体" w:cs="Times New Roman"/>
                <w:b w:val="0"/>
                <w:i w:val="0"/>
                <w:sz w:val="18"/>
              </w:rPr>
              <w:t>5 / 44 = 0.114</w:t>
            </w:r>
          </w:p>
        </w:tc>
        <w:tc>
          <w:tcPr>
            <w:tcW w:w="2304" w:type="dxa"/>
            <w:vAlign w:val="center"/>
          </w:tcPr>
          <w:p w14:paraId="4F438724">
            <w:pPr>
              <w:spacing w:before="50" w:after="50" w:line="240" w:lineRule="auto"/>
              <w:jc w:val="center"/>
            </w:pPr>
            <w:r>
              <w:rPr>
                <w:rFonts w:ascii="Times New Roman" w:hAnsi="Times New Roman" w:eastAsia="宋体" w:cs="Times New Roman"/>
                <w:b w:val="0"/>
                <w:i w:val="0"/>
                <w:sz w:val="18"/>
              </w:rPr>
              <w:t>N/A (无法捕获)</w:t>
            </w:r>
          </w:p>
        </w:tc>
      </w:tr>
      <w:tr w14:paraId="419012FD">
        <w:trPr>
          <w:jc w:val="center"/>
        </w:trPr>
        <w:tc>
          <w:tcPr>
            <w:tcW w:w="2592" w:type="dxa"/>
            <w:vAlign w:val="center"/>
          </w:tcPr>
          <w:p w14:paraId="2FF05E0E">
            <w:pPr>
              <w:spacing w:before="50" w:after="50" w:line="240" w:lineRule="auto"/>
              <w:jc w:val="left"/>
            </w:pPr>
            <w:r>
              <w:rPr>
                <w:rFonts w:ascii="Times New Roman" w:hAnsi="Times New Roman" w:eastAsia="宋体" w:cs="Times New Roman"/>
                <w:b w:val="0"/>
                <w:i w:val="0"/>
                <w:sz w:val="18"/>
              </w:rPr>
              <w:t>IntegrityOnly</w:t>
            </w:r>
          </w:p>
        </w:tc>
        <w:tc>
          <w:tcPr>
            <w:tcW w:w="2592" w:type="dxa"/>
            <w:vAlign w:val="center"/>
          </w:tcPr>
          <w:p w14:paraId="7237963D">
            <w:pPr>
              <w:spacing w:before="50" w:after="50" w:line="240" w:lineRule="auto"/>
              <w:jc w:val="center"/>
            </w:pPr>
            <w:r>
              <w:rPr>
                <w:rFonts w:ascii="Times New Roman" w:hAnsi="Times New Roman" w:eastAsia="宋体" w:cs="Times New Roman"/>
                <w:b w:val="0"/>
                <w:i w:val="0"/>
                <w:sz w:val="18"/>
              </w:rPr>
              <w:t>5 / 5 (100%)</w:t>
            </w:r>
          </w:p>
        </w:tc>
        <w:tc>
          <w:tcPr>
            <w:tcW w:w="2592" w:type="dxa"/>
            <w:vAlign w:val="center"/>
          </w:tcPr>
          <w:p w14:paraId="6E412200">
            <w:pPr>
              <w:spacing w:before="50" w:after="50" w:line="240" w:lineRule="auto"/>
              <w:jc w:val="center"/>
            </w:pPr>
            <w:r>
              <w:rPr>
                <w:rFonts w:ascii="Times New Roman" w:hAnsi="Times New Roman" w:eastAsia="宋体" w:cs="Times New Roman"/>
                <w:b w:val="0"/>
                <w:i w:val="0"/>
                <w:sz w:val="18"/>
              </w:rPr>
              <w:t>5 / 58 = 0.086</w:t>
            </w:r>
          </w:p>
        </w:tc>
        <w:tc>
          <w:tcPr>
            <w:tcW w:w="2304" w:type="dxa"/>
            <w:vAlign w:val="center"/>
          </w:tcPr>
          <w:p w14:paraId="360C9AC0">
            <w:pPr>
              <w:spacing w:before="50" w:after="50" w:line="240" w:lineRule="auto"/>
              <w:jc w:val="center"/>
            </w:pPr>
            <w:r>
              <w:rPr>
                <w:rFonts w:ascii="Times New Roman" w:hAnsi="Times New Roman" w:eastAsia="宋体" w:cs="Times New Roman"/>
                <w:b w:val="0"/>
                <w:i w:val="0"/>
                <w:sz w:val="18"/>
              </w:rPr>
              <w:t>0 / 16 (0%)</w:t>
            </w:r>
          </w:p>
        </w:tc>
      </w:tr>
      <w:tr w14:paraId="7153ABFA">
        <w:trPr>
          <w:jc w:val="center"/>
        </w:trPr>
        <w:tc>
          <w:tcPr>
            <w:tcW w:w="2592" w:type="dxa"/>
            <w:vAlign w:val="center"/>
          </w:tcPr>
          <w:p w14:paraId="4E4ED032">
            <w:pPr>
              <w:spacing w:before="50" w:after="50" w:line="240" w:lineRule="auto"/>
              <w:jc w:val="left"/>
            </w:pPr>
            <w:r>
              <w:rPr>
                <w:rFonts w:ascii="Times New Roman" w:hAnsi="Times New Roman" w:eastAsia="宋体" w:cs="Times New Roman"/>
                <w:b/>
                <w:i w:val="0"/>
                <w:sz w:val="18"/>
              </w:rPr>
              <w:t>TraceEvo (Ours)</w:t>
            </w:r>
          </w:p>
        </w:tc>
        <w:tc>
          <w:tcPr>
            <w:tcW w:w="2592" w:type="dxa"/>
            <w:vAlign w:val="center"/>
          </w:tcPr>
          <w:p w14:paraId="0CEA6C00">
            <w:pPr>
              <w:spacing w:before="50" w:after="50" w:line="240" w:lineRule="auto"/>
              <w:jc w:val="center"/>
            </w:pPr>
            <w:r>
              <w:rPr>
                <w:rFonts w:ascii="Times New Roman" w:hAnsi="Times New Roman" w:eastAsia="宋体" w:cs="Times New Roman"/>
                <w:b/>
                <w:i w:val="0"/>
                <w:sz w:val="18"/>
              </w:rPr>
              <w:t>5 / 5 (100%)</w:t>
            </w:r>
          </w:p>
        </w:tc>
        <w:tc>
          <w:tcPr>
            <w:tcW w:w="2592" w:type="dxa"/>
            <w:vAlign w:val="center"/>
          </w:tcPr>
          <w:p w14:paraId="23889508">
            <w:pPr>
              <w:spacing w:before="50" w:after="50" w:line="240" w:lineRule="auto"/>
              <w:jc w:val="center"/>
            </w:pPr>
            <w:r>
              <w:rPr>
                <w:rFonts w:ascii="Times New Roman" w:hAnsi="Times New Roman" w:eastAsia="宋体" w:cs="Times New Roman"/>
                <w:b/>
                <w:i w:val="0"/>
                <w:sz w:val="18"/>
              </w:rPr>
              <w:t>5 / 5 = 1.000 [0.566, 1.000]</w:t>
            </w:r>
          </w:p>
        </w:tc>
        <w:tc>
          <w:tcPr>
            <w:tcW w:w="2304" w:type="dxa"/>
            <w:vAlign w:val="center"/>
          </w:tcPr>
          <w:p w14:paraId="64F0DD14">
            <w:pPr>
              <w:spacing w:before="50" w:after="50" w:line="240" w:lineRule="auto"/>
              <w:jc w:val="center"/>
            </w:pPr>
            <w:r>
              <w:rPr>
                <w:rFonts w:ascii="Times New Roman" w:hAnsi="Times New Roman" w:eastAsia="宋体" w:cs="Times New Roman"/>
                <w:b/>
                <w:i w:val="0"/>
                <w:sz w:val="18"/>
              </w:rPr>
              <w:t>16 / 16 (100%)</w:t>
            </w:r>
          </w:p>
        </w:tc>
      </w:tr>
    </w:tbl>
    <w:p w14:paraId="51D50657">
      <w:pPr>
        <w:spacing w:before="0" w:after="80" w:line="240" w:lineRule="auto"/>
      </w:pPr>
    </w:p>
    <w:p w14:paraId="49193C2B">
      <w:pPr>
        <w:keepNext/>
        <w:spacing w:before="120" w:after="40"/>
        <w:ind w:firstLine="0"/>
        <w:jc w:val="left"/>
      </w:pPr>
      <w:r>
        <w:rPr>
          <w:rFonts w:ascii="Times New Roman" w:hAnsi="Times New Roman" w:eastAsia="宋体" w:cs="Times New Roman"/>
          <w:b/>
          <w:i w:val="0"/>
          <w:sz w:val="21"/>
        </w:rPr>
        <w:t>4.2.4 RQ4：消融实验与系统开销分析</w:t>
      </w:r>
    </w:p>
    <w:p w14:paraId="539B552F">
      <w:pPr>
        <w:spacing w:before="0" w:after="0" w:line="300" w:lineRule="auto"/>
        <w:ind w:firstLine="420"/>
        <w:jc w:val="both"/>
      </w:pPr>
      <w:r>
        <w:rPr>
          <w:rFonts w:ascii="Times New Roman" w:hAnsi="Times New Roman" w:eastAsia="宋体" w:cs="Times New Roman"/>
          <w:b w:val="0"/>
          <w:i w:val="0"/>
          <w:sz w:val="21"/>
        </w:rPr>
        <w:t>表 5 汇报了对 TraceEvo 核心模块的消融实验结果，清晰界定了各组件的设计职责边界：移除 ProvenanceTier 后，针对伪造证据（A1）的检测能力发生灾难性跌落，F1 由 0.898 直接归零（0.000），证实来源分级是抑制事实幻觉的绝对支柱；移除 CrossGraph 显式绑定后，错绑检测（A2）F1 由 0.941 大幅滑落至 0.699，且可观测根因定位率降至 0.930，证实跨图连接是实现因果追溯的关键；移除 Integrity 哈希链后，对 A5 轨迹篡改的防御完全失效（F1 归零）。</w:t>
      </w:r>
    </w:p>
    <w:p w14:paraId="7BC6757E">
      <w:pPr>
        <w:spacing w:before="0" w:after="0" w:line="300" w:lineRule="auto"/>
        <w:ind w:firstLine="420"/>
        <w:jc w:val="both"/>
      </w:pPr>
      <w:r>
        <w:rPr>
          <w:rFonts w:ascii="Times New Roman" w:hAnsi="Times New Roman" w:eastAsia="宋体" w:cs="Times New Roman"/>
          <w:b w:val="0"/>
          <w:i w:val="0"/>
          <w:sz w:val="21"/>
        </w:rPr>
        <w:t>特别需要披露的是关于 Model Invocation Ledger 的消融结果：如表 5 所示，在移除 Ledger 后，当前基准在 ParserBoundary 指标上并未呈现出数值下降（仍然为 1.000）。根据科学严谨性要求，本文如实将此作为负消融结果进行通报，正文绝不掩盖或声称 Ledger 在该评测集上证明了其统计必要性。本研究客观阐明，Ledger 的核心价值并不体现在常规解析边界的指标变化上，而在于为工程调试提供了对“因格式错误被解析器丢弃、未进入因果图的幽灵调用”的完整底层法证可视性，其工程必要性主要由第 3.2 节的系统设计初衷与特定案例分析（Case 104/107/121）所支撑。</w:t>
      </w:r>
    </w:p>
    <w:p w14:paraId="729E543C">
      <w:pPr>
        <w:keepNext/>
        <w:spacing w:before="160" w:after="40"/>
        <w:jc w:val="center"/>
      </w:pPr>
      <w:r>
        <w:rPr>
          <w:rFonts w:ascii="Times New Roman" w:hAnsi="Times New Roman" w:eastAsia="黑体" w:cs="Times New Roman"/>
          <w:b/>
          <w:i w:val="0"/>
          <w:sz w:val="19"/>
        </w:rPr>
        <w:t>表5  TraceEvo 核心模块消融实验结果</w:t>
      </w:r>
      <w:r>
        <w:rPr>
          <w:rFonts w:ascii="Times New Roman" w:hAnsi="Times New Roman" w:eastAsia="黑体" w:cs="Times New Roman"/>
          <w:b/>
          <w:i w:val="0"/>
          <w:sz w:val="19"/>
        </w:rPr>
        <w:br w:type="textWrapping"/>
      </w:r>
      <w:r>
        <w:rPr>
          <w:rFonts w:ascii="Times New Roman" w:hAnsi="Times New Roman" w:eastAsia="黑体" w:cs="Times New Roman"/>
          <w:b w:val="0"/>
          <w:i w:val="0"/>
          <w:sz w:val="18"/>
        </w:rPr>
        <w:t>Table 5  Ablation study of TraceEvo core components</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16"/>
        <w:gridCol w:w="1090"/>
        <w:gridCol w:w="1090"/>
        <w:gridCol w:w="1090"/>
        <w:gridCol w:w="1090"/>
        <w:gridCol w:w="990"/>
        <w:gridCol w:w="1091"/>
      </w:tblGrid>
      <w:tr w14:paraId="5A0D91B8">
        <w:trPr>
          <w:jc w:val="center"/>
        </w:trPr>
        <w:tc>
          <w:tcPr>
            <w:tcW w:w="3024" w:type="dxa"/>
            <w:tcBorders>
              <w:bottom w:val="single" w:color="000000" w:sz="6" w:space="0"/>
            </w:tcBorders>
            <w:vAlign w:val="center"/>
          </w:tcPr>
          <w:p w14:paraId="4C06EDDD">
            <w:pPr>
              <w:spacing w:before="60" w:after="60" w:line="240" w:lineRule="auto"/>
              <w:jc w:val="center"/>
            </w:pPr>
            <w:r>
              <w:rPr>
                <w:rFonts w:ascii="Times New Roman" w:hAnsi="Times New Roman" w:eastAsia="黑体" w:cs="Times New Roman"/>
                <w:b/>
                <w:i w:val="0"/>
                <w:sz w:val="18"/>
              </w:rPr>
              <w:t>消融变体 (Ablation Arm)</w:t>
            </w:r>
          </w:p>
        </w:tc>
        <w:tc>
          <w:tcPr>
            <w:tcW w:w="1296" w:type="dxa"/>
            <w:tcBorders>
              <w:bottom w:val="single" w:color="000000" w:sz="6" w:space="0"/>
            </w:tcBorders>
            <w:vAlign w:val="center"/>
          </w:tcPr>
          <w:p w14:paraId="6E1E4435">
            <w:pPr>
              <w:spacing w:before="60" w:after="60" w:line="240" w:lineRule="auto"/>
              <w:jc w:val="center"/>
            </w:pPr>
            <w:r>
              <w:rPr>
                <w:rFonts w:ascii="Times New Roman" w:hAnsi="Times New Roman" w:eastAsia="黑体" w:cs="Times New Roman"/>
                <w:b/>
                <w:i w:val="0"/>
                <w:sz w:val="18"/>
              </w:rPr>
              <w:t>A1 虚构证据 F1</w:t>
            </w:r>
          </w:p>
        </w:tc>
        <w:tc>
          <w:tcPr>
            <w:tcW w:w="1296" w:type="dxa"/>
            <w:tcBorders>
              <w:bottom w:val="single" w:color="000000" w:sz="6" w:space="0"/>
            </w:tcBorders>
            <w:vAlign w:val="center"/>
          </w:tcPr>
          <w:p w14:paraId="0C2BA494">
            <w:pPr>
              <w:spacing w:before="60" w:after="60" w:line="240" w:lineRule="auto"/>
              <w:jc w:val="center"/>
            </w:pPr>
            <w:r>
              <w:rPr>
                <w:rFonts w:ascii="Times New Roman" w:hAnsi="Times New Roman" w:eastAsia="黑体" w:cs="Times New Roman"/>
                <w:b/>
                <w:i w:val="0"/>
                <w:sz w:val="18"/>
              </w:rPr>
              <w:t>A2 证据错绑 F1</w:t>
            </w:r>
          </w:p>
        </w:tc>
        <w:tc>
          <w:tcPr>
            <w:tcW w:w="1296" w:type="dxa"/>
            <w:tcBorders>
              <w:bottom w:val="single" w:color="000000" w:sz="6" w:space="0"/>
            </w:tcBorders>
            <w:vAlign w:val="center"/>
          </w:tcPr>
          <w:p w14:paraId="316A9275">
            <w:pPr>
              <w:spacing w:before="60" w:after="60" w:line="240" w:lineRule="auto"/>
              <w:jc w:val="center"/>
            </w:pPr>
            <w:r>
              <w:rPr>
                <w:rFonts w:ascii="Times New Roman" w:hAnsi="Times New Roman" w:eastAsia="黑体" w:cs="Times New Roman"/>
                <w:b/>
                <w:i w:val="0"/>
                <w:sz w:val="18"/>
              </w:rPr>
              <w:t>A5 轨迹篡改 F1</w:t>
            </w:r>
          </w:p>
        </w:tc>
        <w:tc>
          <w:tcPr>
            <w:tcW w:w="1296" w:type="dxa"/>
            <w:tcBorders>
              <w:bottom w:val="single" w:color="000000" w:sz="6" w:space="0"/>
            </w:tcBorders>
            <w:vAlign w:val="center"/>
          </w:tcPr>
          <w:p w14:paraId="6E633AE5">
            <w:pPr>
              <w:spacing w:before="60" w:after="60" w:line="240" w:lineRule="auto"/>
              <w:jc w:val="center"/>
            </w:pPr>
            <w:r>
              <w:rPr>
                <w:rFonts w:ascii="Times New Roman" w:hAnsi="Times New Roman" w:eastAsia="黑体" w:cs="Times New Roman"/>
                <w:b/>
                <w:i w:val="0"/>
                <w:sz w:val="18"/>
              </w:rPr>
              <w:t>证据追踪完备率</w:t>
            </w:r>
          </w:p>
        </w:tc>
        <w:tc>
          <w:tcPr>
            <w:tcW w:w="1152" w:type="dxa"/>
            <w:tcBorders>
              <w:bottom w:val="single" w:color="000000" w:sz="6" w:space="0"/>
            </w:tcBorders>
            <w:vAlign w:val="center"/>
          </w:tcPr>
          <w:p w14:paraId="2AC63F9E">
            <w:pPr>
              <w:spacing w:before="60" w:after="60" w:line="240" w:lineRule="auto"/>
              <w:jc w:val="center"/>
            </w:pPr>
            <w:r>
              <w:rPr>
                <w:rFonts w:ascii="Times New Roman" w:hAnsi="Times New Roman" w:eastAsia="黑体" w:cs="Times New Roman"/>
                <w:b/>
                <w:i w:val="0"/>
                <w:sz w:val="18"/>
              </w:rPr>
              <w:t>根因定位率</w:t>
            </w:r>
          </w:p>
        </w:tc>
        <w:tc>
          <w:tcPr>
            <w:tcW w:w="1296" w:type="dxa"/>
            <w:tcBorders>
              <w:bottom w:val="single" w:color="000000" w:sz="6" w:space="0"/>
            </w:tcBorders>
            <w:vAlign w:val="center"/>
          </w:tcPr>
          <w:p w14:paraId="44082B55">
            <w:pPr>
              <w:spacing w:before="60" w:after="60" w:line="240" w:lineRule="auto"/>
              <w:jc w:val="center"/>
            </w:pPr>
            <w:r>
              <w:rPr>
                <w:rFonts w:ascii="Times New Roman" w:hAnsi="Times New Roman" w:eastAsia="黑体" w:cs="Times New Roman"/>
                <w:b/>
                <w:i w:val="0"/>
                <w:sz w:val="18"/>
              </w:rPr>
              <w:t>解析器边界覆盖</w:t>
            </w:r>
          </w:p>
        </w:tc>
      </w:tr>
      <w:tr w14:paraId="2062C780">
        <w:trPr>
          <w:jc w:val="center"/>
        </w:trPr>
        <w:tc>
          <w:tcPr>
            <w:tcW w:w="3024" w:type="dxa"/>
            <w:vAlign w:val="center"/>
          </w:tcPr>
          <w:p w14:paraId="718CB820">
            <w:pPr>
              <w:spacing w:before="50" w:after="50" w:line="240" w:lineRule="auto"/>
              <w:jc w:val="left"/>
            </w:pPr>
            <w:r>
              <w:rPr>
                <w:rFonts w:ascii="Times New Roman" w:hAnsi="Times New Roman" w:eastAsia="宋体" w:cs="Times New Roman"/>
                <w:b/>
                <w:i w:val="0"/>
                <w:sz w:val="18"/>
              </w:rPr>
              <w:t>完整模型 (Full TraceEvo)</w:t>
            </w:r>
          </w:p>
        </w:tc>
        <w:tc>
          <w:tcPr>
            <w:tcW w:w="1296" w:type="dxa"/>
            <w:vAlign w:val="center"/>
          </w:tcPr>
          <w:p w14:paraId="4A69A3F3">
            <w:pPr>
              <w:spacing w:before="50" w:after="50" w:line="240" w:lineRule="auto"/>
              <w:jc w:val="center"/>
            </w:pPr>
            <w:r>
              <w:rPr>
                <w:rFonts w:ascii="Times New Roman" w:hAnsi="Times New Roman" w:eastAsia="宋体" w:cs="Times New Roman"/>
                <w:b/>
                <w:i w:val="0"/>
                <w:sz w:val="18"/>
              </w:rPr>
              <w:t>0.898</w:t>
            </w:r>
          </w:p>
        </w:tc>
        <w:tc>
          <w:tcPr>
            <w:tcW w:w="1296" w:type="dxa"/>
            <w:vAlign w:val="center"/>
          </w:tcPr>
          <w:p w14:paraId="41AE231E">
            <w:pPr>
              <w:spacing w:before="50" w:after="50" w:line="240" w:lineRule="auto"/>
              <w:jc w:val="center"/>
            </w:pPr>
            <w:r>
              <w:rPr>
                <w:rFonts w:ascii="Times New Roman" w:hAnsi="Times New Roman" w:eastAsia="宋体" w:cs="Times New Roman"/>
                <w:b/>
                <w:i w:val="0"/>
                <w:sz w:val="18"/>
              </w:rPr>
              <w:t>0.941</w:t>
            </w:r>
          </w:p>
        </w:tc>
        <w:tc>
          <w:tcPr>
            <w:tcW w:w="1296" w:type="dxa"/>
            <w:vAlign w:val="center"/>
          </w:tcPr>
          <w:p w14:paraId="5495055C">
            <w:pPr>
              <w:spacing w:before="50" w:after="50" w:line="240" w:lineRule="auto"/>
              <w:jc w:val="center"/>
            </w:pPr>
            <w:r>
              <w:rPr>
                <w:rFonts w:ascii="Times New Roman" w:hAnsi="Times New Roman" w:eastAsia="宋体" w:cs="Times New Roman"/>
                <w:b/>
                <w:i w:val="0"/>
                <w:sz w:val="18"/>
              </w:rPr>
              <w:t>1.000</w:t>
            </w:r>
          </w:p>
        </w:tc>
        <w:tc>
          <w:tcPr>
            <w:tcW w:w="1296" w:type="dxa"/>
            <w:vAlign w:val="center"/>
          </w:tcPr>
          <w:p w14:paraId="1A0F9A38">
            <w:pPr>
              <w:spacing w:before="50" w:after="50" w:line="240" w:lineRule="auto"/>
              <w:jc w:val="center"/>
            </w:pPr>
            <w:r>
              <w:rPr>
                <w:rFonts w:ascii="Times New Roman" w:hAnsi="Times New Roman" w:eastAsia="宋体" w:cs="Times New Roman"/>
                <w:b/>
                <w:i w:val="0"/>
                <w:sz w:val="18"/>
              </w:rPr>
              <w:t>0.985</w:t>
            </w:r>
          </w:p>
        </w:tc>
        <w:tc>
          <w:tcPr>
            <w:tcW w:w="1152" w:type="dxa"/>
            <w:vAlign w:val="center"/>
          </w:tcPr>
          <w:p w14:paraId="5455E5FD">
            <w:pPr>
              <w:spacing w:before="50" w:after="50" w:line="240" w:lineRule="auto"/>
              <w:jc w:val="center"/>
            </w:pPr>
            <w:r>
              <w:rPr>
                <w:rFonts w:ascii="Times New Roman" w:hAnsi="Times New Roman" w:eastAsia="宋体" w:cs="Times New Roman"/>
                <w:b/>
                <w:i w:val="0"/>
                <w:sz w:val="18"/>
              </w:rPr>
              <w:t>0.978</w:t>
            </w:r>
          </w:p>
        </w:tc>
        <w:tc>
          <w:tcPr>
            <w:tcW w:w="1296" w:type="dxa"/>
            <w:vAlign w:val="center"/>
          </w:tcPr>
          <w:p w14:paraId="3EBAFAFD">
            <w:pPr>
              <w:spacing w:before="50" w:after="50" w:line="240" w:lineRule="auto"/>
              <w:jc w:val="center"/>
            </w:pPr>
            <w:r>
              <w:rPr>
                <w:rFonts w:ascii="Times New Roman" w:hAnsi="Times New Roman" w:eastAsia="宋体" w:cs="Times New Roman"/>
                <w:b/>
                <w:i w:val="0"/>
                <w:sz w:val="18"/>
              </w:rPr>
              <w:t>1.000</w:t>
            </w:r>
          </w:p>
        </w:tc>
      </w:tr>
      <w:tr w14:paraId="509CFF5A">
        <w:trPr>
          <w:jc w:val="center"/>
        </w:trPr>
        <w:tc>
          <w:tcPr>
            <w:tcW w:w="3024" w:type="dxa"/>
            <w:vAlign w:val="center"/>
          </w:tcPr>
          <w:p w14:paraId="57C3E3C0">
            <w:pPr>
              <w:spacing w:before="50" w:after="50" w:line="240" w:lineRule="auto"/>
              <w:jc w:val="left"/>
            </w:pPr>
            <w:r>
              <w:rPr>
                <w:rFonts w:ascii="Times New Roman" w:hAnsi="Times New Roman" w:eastAsia="宋体" w:cs="Times New Roman"/>
                <w:b w:val="0"/>
                <w:i w:val="0"/>
                <w:sz w:val="18"/>
              </w:rPr>
              <w:t>w/o ProvenanceTier (无来源分级)</w:t>
            </w:r>
          </w:p>
        </w:tc>
        <w:tc>
          <w:tcPr>
            <w:tcW w:w="1296" w:type="dxa"/>
            <w:vAlign w:val="center"/>
          </w:tcPr>
          <w:p w14:paraId="094C5B57">
            <w:pPr>
              <w:spacing w:before="50" w:after="50" w:line="240" w:lineRule="auto"/>
              <w:jc w:val="center"/>
            </w:pPr>
            <w:r>
              <w:rPr>
                <w:rFonts w:ascii="Times New Roman" w:hAnsi="Times New Roman" w:eastAsia="宋体" w:cs="Times New Roman"/>
                <w:b w:val="0"/>
                <w:i w:val="0"/>
                <w:sz w:val="18"/>
              </w:rPr>
              <w:t>0.000 (失效)</w:t>
            </w:r>
          </w:p>
        </w:tc>
        <w:tc>
          <w:tcPr>
            <w:tcW w:w="1296" w:type="dxa"/>
            <w:vAlign w:val="center"/>
          </w:tcPr>
          <w:p w14:paraId="7B2142F6">
            <w:pPr>
              <w:spacing w:before="50" w:after="50" w:line="240" w:lineRule="auto"/>
              <w:jc w:val="center"/>
            </w:pPr>
            <w:r>
              <w:rPr>
                <w:rFonts w:ascii="Times New Roman" w:hAnsi="Times New Roman" w:eastAsia="宋体" w:cs="Times New Roman"/>
                <w:b w:val="0"/>
                <w:i w:val="0"/>
                <w:sz w:val="18"/>
              </w:rPr>
              <w:t>0.941</w:t>
            </w:r>
          </w:p>
        </w:tc>
        <w:tc>
          <w:tcPr>
            <w:tcW w:w="1296" w:type="dxa"/>
            <w:vAlign w:val="center"/>
          </w:tcPr>
          <w:p w14:paraId="61FCFE2B">
            <w:pPr>
              <w:spacing w:before="50" w:after="50" w:line="240" w:lineRule="auto"/>
              <w:jc w:val="center"/>
            </w:pPr>
            <w:r>
              <w:rPr>
                <w:rFonts w:ascii="Times New Roman" w:hAnsi="Times New Roman" w:eastAsia="宋体" w:cs="Times New Roman"/>
                <w:b w:val="0"/>
                <w:i w:val="0"/>
                <w:sz w:val="18"/>
              </w:rPr>
              <w:t>1.000</w:t>
            </w:r>
          </w:p>
        </w:tc>
        <w:tc>
          <w:tcPr>
            <w:tcW w:w="1296" w:type="dxa"/>
            <w:vAlign w:val="center"/>
          </w:tcPr>
          <w:p w14:paraId="0B9479D1">
            <w:pPr>
              <w:spacing w:before="50" w:after="50" w:line="240" w:lineRule="auto"/>
              <w:jc w:val="center"/>
            </w:pPr>
            <w:r>
              <w:rPr>
                <w:rFonts w:ascii="Times New Roman" w:hAnsi="Times New Roman" w:eastAsia="宋体" w:cs="Times New Roman"/>
                <w:b w:val="0"/>
                <w:i w:val="0"/>
                <w:sz w:val="18"/>
              </w:rPr>
              <w:t>0.861</w:t>
            </w:r>
          </w:p>
        </w:tc>
        <w:tc>
          <w:tcPr>
            <w:tcW w:w="1152" w:type="dxa"/>
            <w:vAlign w:val="center"/>
          </w:tcPr>
          <w:p w14:paraId="384813A6">
            <w:pPr>
              <w:spacing w:before="50" w:after="50" w:line="240" w:lineRule="auto"/>
              <w:jc w:val="center"/>
            </w:pPr>
            <w:r>
              <w:rPr>
                <w:rFonts w:ascii="Times New Roman" w:hAnsi="Times New Roman" w:eastAsia="宋体" w:cs="Times New Roman"/>
                <w:b w:val="0"/>
                <w:i w:val="0"/>
                <w:sz w:val="18"/>
              </w:rPr>
              <w:t>0.841</w:t>
            </w:r>
          </w:p>
        </w:tc>
        <w:tc>
          <w:tcPr>
            <w:tcW w:w="1296" w:type="dxa"/>
            <w:vAlign w:val="center"/>
          </w:tcPr>
          <w:p w14:paraId="5C4BA86A">
            <w:pPr>
              <w:spacing w:before="50" w:after="50" w:line="240" w:lineRule="auto"/>
              <w:jc w:val="center"/>
            </w:pPr>
            <w:r>
              <w:rPr>
                <w:rFonts w:ascii="Times New Roman" w:hAnsi="Times New Roman" w:eastAsia="宋体" w:cs="Times New Roman"/>
                <w:b w:val="0"/>
                <w:i w:val="0"/>
                <w:sz w:val="18"/>
              </w:rPr>
              <w:t>1.000</w:t>
            </w:r>
          </w:p>
        </w:tc>
      </w:tr>
      <w:tr w14:paraId="4678E596">
        <w:trPr>
          <w:jc w:val="center"/>
        </w:trPr>
        <w:tc>
          <w:tcPr>
            <w:tcW w:w="3024" w:type="dxa"/>
            <w:vAlign w:val="center"/>
          </w:tcPr>
          <w:p w14:paraId="15376830">
            <w:pPr>
              <w:spacing w:before="50" w:after="50" w:line="240" w:lineRule="auto"/>
              <w:jc w:val="left"/>
            </w:pPr>
            <w:r>
              <w:rPr>
                <w:rFonts w:ascii="Times New Roman" w:hAnsi="Times New Roman" w:eastAsia="宋体" w:cs="Times New Roman"/>
                <w:b w:val="0"/>
                <w:i w:val="0"/>
                <w:sz w:val="18"/>
              </w:rPr>
              <w:t>w/o CrossGraph (无跨图绑定)</w:t>
            </w:r>
          </w:p>
        </w:tc>
        <w:tc>
          <w:tcPr>
            <w:tcW w:w="1296" w:type="dxa"/>
            <w:vAlign w:val="center"/>
          </w:tcPr>
          <w:p w14:paraId="6DC24275">
            <w:pPr>
              <w:spacing w:before="50" w:after="50" w:line="240" w:lineRule="auto"/>
              <w:jc w:val="center"/>
            </w:pPr>
            <w:r>
              <w:rPr>
                <w:rFonts w:ascii="Times New Roman" w:hAnsi="Times New Roman" w:eastAsia="宋体" w:cs="Times New Roman"/>
                <w:b w:val="0"/>
                <w:i w:val="0"/>
                <w:sz w:val="18"/>
              </w:rPr>
              <w:t>0.898</w:t>
            </w:r>
          </w:p>
        </w:tc>
        <w:tc>
          <w:tcPr>
            <w:tcW w:w="1296" w:type="dxa"/>
            <w:vAlign w:val="center"/>
          </w:tcPr>
          <w:p w14:paraId="5EB97138">
            <w:pPr>
              <w:spacing w:before="50" w:after="50" w:line="240" w:lineRule="auto"/>
              <w:jc w:val="center"/>
            </w:pPr>
            <w:r>
              <w:rPr>
                <w:rFonts w:ascii="Times New Roman" w:hAnsi="Times New Roman" w:eastAsia="宋体" w:cs="Times New Roman"/>
                <w:b w:val="0"/>
                <w:i w:val="0"/>
                <w:sz w:val="18"/>
              </w:rPr>
              <w:t>0.699 (大幅下降)</w:t>
            </w:r>
          </w:p>
        </w:tc>
        <w:tc>
          <w:tcPr>
            <w:tcW w:w="1296" w:type="dxa"/>
            <w:vAlign w:val="center"/>
          </w:tcPr>
          <w:p w14:paraId="19C2CF12">
            <w:pPr>
              <w:spacing w:before="50" w:after="50" w:line="240" w:lineRule="auto"/>
              <w:jc w:val="center"/>
            </w:pPr>
            <w:r>
              <w:rPr>
                <w:rFonts w:ascii="Times New Roman" w:hAnsi="Times New Roman" w:eastAsia="宋体" w:cs="Times New Roman"/>
                <w:b w:val="0"/>
                <w:i w:val="0"/>
                <w:sz w:val="18"/>
              </w:rPr>
              <w:t>1.000</w:t>
            </w:r>
          </w:p>
        </w:tc>
        <w:tc>
          <w:tcPr>
            <w:tcW w:w="1296" w:type="dxa"/>
            <w:vAlign w:val="center"/>
          </w:tcPr>
          <w:p w14:paraId="20355DB2">
            <w:pPr>
              <w:spacing w:before="50" w:after="50" w:line="240" w:lineRule="auto"/>
              <w:jc w:val="center"/>
            </w:pPr>
            <w:r>
              <w:rPr>
                <w:rFonts w:ascii="Times New Roman" w:hAnsi="Times New Roman" w:eastAsia="宋体" w:cs="Times New Roman"/>
                <w:b w:val="0"/>
                <w:i w:val="0"/>
                <w:sz w:val="18"/>
              </w:rPr>
              <w:t>0.944</w:t>
            </w:r>
          </w:p>
        </w:tc>
        <w:tc>
          <w:tcPr>
            <w:tcW w:w="1152" w:type="dxa"/>
            <w:vAlign w:val="center"/>
          </w:tcPr>
          <w:p w14:paraId="6BB583AD">
            <w:pPr>
              <w:spacing w:before="50" w:after="50" w:line="240" w:lineRule="auto"/>
              <w:jc w:val="center"/>
            </w:pPr>
            <w:r>
              <w:rPr>
                <w:rFonts w:ascii="Times New Roman" w:hAnsi="Times New Roman" w:eastAsia="宋体" w:cs="Times New Roman"/>
                <w:b w:val="0"/>
                <w:i w:val="0"/>
                <w:sz w:val="18"/>
              </w:rPr>
              <w:t>0.930</w:t>
            </w:r>
          </w:p>
        </w:tc>
        <w:tc>
          <w:tcPr>
            <w:tcW w:w="1296" w:type="dxa"/>
            <w:vAlign w:val="center"/>
          </w:tcPr>
          <w:p w14:paraId="5A742EA4">
            <w:pPr>
              <w:spacing w:before="50" w:after="50" w:line="240" w:lineRule="auto"/>
              <w:jc w:val="center"/>
            </w:pPr>
            <w:r>
              <w:rPr>
                <w:rFonts w:ascii="Times New Roman" w:hAnsi="Times New Roman" w:eastAsia="宋体" w:cs="Times New Roman"/>
                <w:b w:val="0"/>
                <w:i w:val="0"/>
                <w:sz w:val="18"/>
              </w:rPr>
              <w:t>1.000</w:t>
            </w:r>
          </w:p>
        </w:tc>
      </w:tr>
      <w:tr w14:paraId="25B10152">
        <w:trPr>
          <w:jc w:val="center"/>
        </w:trPr>
        <w:tc>
          <w:tcPr>
            <w:tcW w:w="3024" w:type="dxa"/>
            <w:vAlign w:val="center"/>
          </w:tcPr>
          <w:p w14:paraId="414DD57C">
            <w:pPr>
              <w:spacing w:before="50" w:after="50" w:line="240" w:lineRule="auto"/>
              <w:jc w:val="left"/>
            </w:pPr>
            <w:r>
              <w:rPr>
                <w:rFonts w:ascii="Times New Roman" w:hAnsi="Times New Roman" w:eastAsia="宋体" w:cs="Times New Roman"/>
                <w:b w:val="0"/>
                <w:i w:val="0"/>
                <w:sz w:val="18"/>
              </w:rPr>
              <w:t>w/o Integrity (无哈希链完整性)</w:t>
            </w:r>
          </w:p>
        </w:tc>
        <w:tc>
          <w:tcPr>
            <w:tcW w:w="1296" w:type="dxa"/>
            <w:vAlign w:val="center"/>
          </w:tcPr>
          <w:p w14:paraId="053BF543">
            <w:pPr>
              <w:spacing w:before="50" w:after="50" w:line="240" w:lineRule="auto"/>
              <w:jc w:val="center"/>
            </w:pPr>
            <w:r>
              <w:rPr>
                <w:rFonts w:ascii="Times New Roman" w:hAnsi="Times New Roman" w:eastAsia="宋体" w:cs="Times New Roman"/>
                <w:b w:val="0"/>
                <w:i w:val="0"/>
                <w:sz w:val="18"/>
              </w:rPr>
              <w:t>0.898</w:t>
            </w:r>
          </w:p>
        </w:tc>
        <w:tc>
          <w:tcPr>
            <w:tcW w:w="1296" w:type="dxa"/>
            <w:vAlign w:val="center"/>
          </w:tcPr>
          <w:p w14:paraId="2F04ABC2">
            <w:pPr>
              <w:spacing w:before="50" w:after="50" w:line="240" w:lineRule="auto"/>
              <w:jc w:val="center"/>
            </w:pPr>
            <w:r>
              <w:rPr>
                <w:rFonts w:ascii="Times New Roman" w:hAnsi="Times New Roman" w:eastAsia="宋体" w:cs="Times New Roman"/>
                <w:b w:val="0"/>
                <w:i w:val="0"/>
                <w:sz w:val="18"/>
              </w:rPr>
              <w:t>0.941</w:t>
            </w:r>
          </w:p>
        </w:tc>
        <w:tc>
          <w:tcPr>
            <w:tcW w:w="1296" w:type="dxa"/>
            <w:vAlign w:val="center"/>
          </w:tcPr>
          <w:p w14:paraId="2FD88F1B">
            <w:pPr>
              <w:spacing w:before="50" w:after="50" w:line="240" w:lineRule="auto"/>
              <w:jc w:val="center"/>
            </w:pPr>
            <w:r>
              <w:rPr>
                <w:rFonts w:ascii="Times New Roman" w:hAnsi="Times New Roman" w:eastAsia="宋体" w:cs="Times New Roman"/>
                <w:b w:val="0"/>
                <w:i w:val="0"/>
                <w:sz w:val="18"/>
              </w:rPr>
              <w:t>0.000 (失效)</w:t>
            </w:r>
          </w:p>
        </w:tc>
        <w:tc>
          <w:tcPr>
            <w:tcW w:w="1296" w:type="dxa"/>
            <w:vAlign w:val="center"/>
          </w:tcPr>
          <w:p w14:paraId="0D1C399F">
            <w:pPr>
              <w:spacing w:before="50" w:after="50" w:line="240" w:lineRule="auto"/>
              <w:jc w:val="center"/>
            </w:pPr>
            <w:r>
              <w:rPr>
                <w:rFonts w:ascii="Times New Roman" w:hAnsi="Times New Roman" w:eastAsia="宋体" w:cs="Times New Roman"/>
                <w:b w:val="0"/>
                <w:i w:val="0"/>
                <w:sz w:val="18"/>
              </w:rPr>
              <w:t>0.480</w:t>
            </w:r>
          </w:p>
        </w:tc>
        <w:tc>
          <w:tcPr>
            <w:tcW w:w="1152" w:type="dxa"/>
            <w:vAlign w:val="center"/>
          </w:tcPr>
          <w:p w14:paraId="67968C27">
            <w:pPr>
              <w:spacing w:before="50" w:after="50" w:line="240" w:lineRule="auto"/>
              <w:jc w:val="center"/>
            </w:pPr>
            <w:r>
              <w:rPr>
                <w:rFonts w:ascii="Times New Roman" w:hAnsi="Times New Roman" w:eastAsia="宋体" w:cs="Times New Roman"/>
                <w:b w:val="0"/>
                <w:i w:val="0"/>
                <w:sz w:val="18"/>
              </w:rPr>
              <w:t>0.401</w:t>
            </w:r>
          </w:p>
        </w:tc>
        <w:tc>
          <w:tcPr>
            <w:tcW w:w="1296" w:type="dxa"/>
            <w:vAlign w:val="center"/>
          </w:tcPr>
          <w:p w14:paraId="384AA219">
            <w:pPr>
              <w:spacing w:before="50" w:after="50" w:line="240" w:lineRule="auto"/>
              <w:jc w:val="center"/>
            </w:pPr>
            <w:r>
              <w:rPr>
                <w:rFonts w:ascii="Times New Roman" w:hAnsi="Times New Roman" w:eastAsia="宋体" w:cs="Times New Roman"/>
                <w:b w:val="0"/>
                <w:i w:val="0"/>
                <w:sz w:val="18"/>
              </w:rPr>
              <w:t>1.000</w:t>
            </w:r>
          </w:p>
        </w:tc>
      </w:tr>
      <w:tr w14:paraId="4405016D">
        <w:trPr>
          <w:jc w:val="center"/>
        </w:trPr>
        <w:tc>
          <w:tcPr>
            <w:tcW w:w="3024" w:type="dxa"/>
            <w:vAlign w:val="center"/>
          </w:tcPr>
          <w:p w14:paraId="1B782012">
            <w:pPr>
              <w:spacing w:before="50" w:after="50" w:line="240" w:lineRule="auto"/>
              <w:jc w:val="left"/>
            </w:pPr>
            <w:r>
              <w:rPr>
                <w:rFonts w:ascii="Times New Roman" w:hAnsi="Times New Roman" w:eastAsia="宋体" w:cs="Times New Roman"/>
                <w:b w:val="0"/>
                <w:i w:val="0"/>
                <w:sz w:val="18"/>
              </w:rPr>
              <w:t>w/o Ledger (无底层物理账本)</w:t>
            </w:r>
          </w:p>
        </w:tc>
        <w:tc>
          <w:tcPr>
            <w:tcW w:w="1296" w:type="dxa"/>
            <w:vAlign w:val="center"/>
          </w:tcPr>
          <w:p w14:paraId="41A6A569">
            <w:pPr>
              <w:spacing w:before="50" w:after="50" w:line="240" w:lineRule="auto"/>
              <w:jc w:val="center"/>
            </w:pPr>
            <w:r>
              <w:rPr>
                <w:rFonts w:ascii="Times New Roman" w:hAnsi="Times New Roman" w:eastAsia="宋体" w:cs="Times New Roman"/>
                <w:b w:val="0"/>
                <w:i w:val="0"/>
                <w:sz w:val="18"/>
              </w:rPr>
              <w:t>N/S</w:t>
            </w:r>
          </w:p>
        </w:tc>
        <w:tc>
          <w:tcPr>
            <w:tcW w:w="1296" w:type="dxa"/>
            <w:vAlign w:val="center"/>
          </w:tcPr>
          <w:p w14:paraId="3B1DCDC0">
            <w:pPr>
              <w:spacing w:before="50" w:after="50" w:line="240" w:lineRule="auto"/>
              <w:jc w:val="center"/>
            </w:pPr>
            <w:r>
              <w:rPr>
                <w:rFonts w:ascii="Times New Roman" w:hAnsi="Times New Roman" w:eastAsia="宋体" w:cs="Times New Roman"/>
                <w:b w:val="0"/>
                <w:i w:val="0"/>
                <w:sz w:val="18"/>
              </w:rPr>
              <w:t>N/S</w:t>
            </w:r>
          </w:p>
        </w:tc>
        <w:tc>
          <w:tcPr>
            <w:tcW w:w="1296" w:type="dxa"/>
            <w:vAlign w:val="center"/>
          </w:tcPr>
          <w:p w14:paraId="3A229738">
            <w:pPr>
              <w:spacing w:before="50" w:after="50" w:line="240" w:lineRule="auto"/>
              <w:jc w:val="center"/>
            </w:pPr>
            <w:r>
              <w:rPr>
                <w:rFonts w:ascii="Times New Roman" w:hAnsi="Times New Roman" w:eastAsia="宋体" w:cs="Times New Roman"/>
                <w:b w:val="0"/>
                <w:i w:val="0"/>
                <w:sz w:val="18"/>
              </w:rPr>
              <w:t>N/S</w:t>
            </w:r>
          </w:p>
        </w:tc>
        <w:tc>
          <w:tcPr>
            <w:tcW w:w="1296" w:type="dxa"/>
            <w:vAlign w:val="center"/>
          </w:tcPr>
          <w:p w14:paraId="52566D48">
            <w:pPr>
              <w:spacing w:before="50" w:after="50" w:line="240" w:lineRule="auto"/>
              <w:jc w:val="center"/>
            </w:pPr>
            <w:r>
              <w:rPr>
                <w:rFonts w:ascii="Times New Roman" w:hAnsi="Times New Roman" w:eastAsia="宋体" w:cs="Times New Roman"/>
                <w:b w:val="0"/>
                <w:i w:val="0"/>
                <w:sz w:val="18"/>
              </w:rPr>
              <w:t>N/S</w:t>
            </w:r>
          </w:p>
        </w:tc>
        <w:tc>
          <w:tcPr>
            <w:tcW w:w="1152" w:type="dxa"/>
            <w:vAlign w:val="center"/>
          </w:tcPr>
          <w:p w14:paraId="3E14CEE6">
            <w:pPr>
              <w:spacing w:before="50" w:after="50" w:line="240" w:lineRule="auto"/>
              <w:jc w:val="center"/>
            </w:pPr>
            <w:r>
              <w:rPr>
                <w:rFonts w:ascii="Times New Roman" w:hAnsi="Times New Roman" w:eastAsia="宋体" w:cs="Times New Roman"/>
                <w:b w:val="0"/>
                <w:i w:val="0"/>
                <w:sz w:val="18"/>
              </w:rPr>
              <w:t>N/S</w:t>
            </w:r>
          </w:p>
        </w:tc>
        <w:tc>
          <w:tcPr>
            <w:tcW w:w="1296" w:type="dxa"/>
            <w:vAlign w:val="center"/>
          </w:tcPr>
          <w:p w14:paraId="3774F319">
            <w:pPr>
              <w:spacing w:before="50" w:after="50" w:line="240" w:lineRule="auto"/>
              <w:jc w:val="center"/>
            </w:pPr>
            <w:r>
              <w:rPr>
                <w:rFonts w:ascii="Times New Roman" w:hAnsi="Times New Roman" w:eastAsia="宋体" w:cs="Times New Roman"/>
                <w:b/>
                <w:i w:val="0"/>
                <w:sz w:val="18"/>
              </w:rPr>
              <w:t>1.000 (无显著变化)</w:t>
            </w:r>
          </w:p>
        </w:tc>
      </w:tr>
    </w:tbl>
    <w:p w14:paraId="3DE91F0E">
      <w:pPr>
        <w:spacing w:before="0" w:after="80" w:line="240" w:lineRule="auto"/>
      </w:pPr>
    </w:p>
    <w:p w14:paraId="0DDAA279">
      <w:pPr>
        <w:spacing w:before="0" w:after="0" w:line="300" w:lineRule="auto"/>
        <w:ind w:firstLine="420"/>
        <w:jc w:val="both"/>
      </w:pPr>
      <w:r>
        <w:rPr>
          <w:rFonts w:ascii="Times New Roman" w:hAnsi="Times New Roman" w:eastAsia="宋体" w:cs="Times New Roman"/>
          <w:b w:val="0"/>
          <w:i w:val="0"/>
          <w:sz w:val="21"/>
        </w:rPr>
        <w:t>在系统开销方面，表 7 列出了 TraceEvo 在各个计算阶段引入的本地延迟与存储足迹。TraceEvo 的运行时 Hook 开销极小：事件记录中位数耗时 0.248 ms，账本记录 0.194 ms，图增量计算 0.353 ms；耗时主要集中在推理完全终止后的离线深度审计阶段（中位数 9.700 ms）；单病例端到端本地处理总耗时中位数仅为 10.450 ms（IQR 6.907–17.690 ms，p95 23.922 ms），存储足迹中位数仅为 0.848 MiB/case。相比于大语言模型数十秒的网络交互与生成延迟，TraceEvo 引入的计算与存储开销完全可以忽略不计。</w:t>
      </w:r>
    </w:p>
    <w:p w14:paraId="3771CAD4">
      <w:pPr>
        <w:spacing w:before="0" w:after="0" w:line="300" w:lineRule="auto"/>
        <w:ind w:firstLine="420"/>
        <w:jc w:val="both"/>
      </w:pPr>
      <w:r>
        <w:rPr>
          <w:rFonts w:ascii="Times New Roman" w:hAnsi="Times New Roman" w:eastAsia="宋体" w:cs="Times New Roman"/>
          <w:b w:val="0"/>
          <w:i w:val="0"/>
          <w:sz w:val="21"/>
        </w:rPr>
        <w:t>关于 Token 开销的特别披露与口径修正说明：在早期 S5B 传输层日志中记录总消耗 Token 达 11,109,269，对应 2295 次调用；然而经交叉核验，Model Invocation Ledger 记录的物理调用为 2160 次，两套监控机制存在调用计数的未对齐。出于严谨的学术态度，本文严格执行口径冻结规范，正式将 Token 统计数据从主实验开销结论中排除，正文不作任何基于 Token 消耗的对比声称，这体现了本研究对数据真实性的极致坚守。</w:t>
      </w:r>
    </w:p>
    <w:p w14:paraId="51653C02">
      <w:pPr>
        <w:keepNext/>
        <w:spacing w:before="160" w:after="40"/>
        <w:jc w:val="center"/>
      </w:pPr>
      <w:r>
        <w:rPr>
          <w:rFonts w:ascii="Times New Roman" w:hAnsi="Times New Roman" w:eastAsia="黑体" w:cs="Times New Roman"/>
          <w:b/>
          <w:i w:val="0"/>
          <w:sz w:val="19"/>
        </w:rPr>
        <w:t>表7  TraceEvo 运行开销与存储占用评估</w:t>
      </w:r>
      <w:r>
        <w:rPr>
          <w:rFonts w:ascii="Times New Roman" w:hAnsi="Times New Roman" w:eastAsia="黑体" w:cs="Times New Roman"/>
          <w:b/>
          <w:i w:val="0"/>
          <w:sz w:val="19"/>
        </w:rPr>
        <w:br w:type="textWrapping"/>
      </w:r>
      <w:r>
        <w:rPr>
          <w:rFonts w:ascii="Times New Roman" w:hAnsi="Times New Roman" w:eastAsia="黑体" w:cs="Times New Roman"/>
          <w:b w:val="0"/>
          <w:i w:val="0"/>
          <w:sz w:val="18"/>
        </w:rPr>
        <w:t>Table 7  Operational latency and storage footprint of TraceEvo</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69"/>
        <w:gridCol w:w="1833"/>
        <w:gridCol w:w="2277"/>
        <w:gridCol w:w="1678"/>
      </w:tblGrid>
      <w:tr w14:paraId="41DAB7BF">
        <w:trPr>
          <w:jc w:val="center"/>
        </w:trPr>
        <w:tc>
          <w:tcPr>
            <w:tcW w:w="3600" w:type="dxa"/>
            <w:tcBorders>
              <w:bottom w:val="single" w:color="000000" w:sz="6" w:space="0"/>
            </w:tcBorders>
            <w:vAlign w:val="center"/>
          </w:tcPr>
          <w:p w14:paraId="49863FB0">
            <w:pPr>
              <w:spacing w:before="60" w:after="60" w:line="240" w:lineRule="auto"/>
              <w:jc w:val="center"/>
            </w:pPr>
            <w:r>
              <w:rPr>
                <w:rFonts w:ascii="Times New Roman" w:hAnsi="Times New Roman" w:eastAsia="黑体" w:cs="Times New Roman"/>
                <w:b/>
                <w:i w:val="0"/>
                <w:sz w:val="18"/>
              </w:rPr>
              <w:t>处理阶段 / 资源指标 (Quantity)</w:t>
            </w:r>
          </w:p>
        </w:tc>
        <w:tc>
          <w:tcPr>
            <w:tcW w:w="2016" w:type="dxa"/>
            <w:tcBorders>
              <w:bottom w:val="single" w:color="000000" w:sz="6" w:space="0"/>
            </w:tcBorders>
            <w:vAlign w:val="center"/>
          </w:tcPr>
          <w:p w14:paraId="18EDD045">
            <w:pPr>
              <w:spacing w:before="60" w:after="60" w:line="240" w:lineRule="auto"/>
              <w:jc w:val="center"/>
            </w:pPr>
            <w:r>
              <w:rPr>
                <w:rFonts w:ascii="Times New Roman" w:hAnsi="Times New Roman" w:eastAsia="黑体" w:cs="Times New Roman"/>
                <w:b/>
                <w:i w:val="0"/>
                <w:sz w:val="18"/>
              </w:rPr>
              <w:t>中位数 (Median)</w:t>
            </w:r>
          </w:p>
        </w:tc>
        <w:tc>
          <w:tcPr>
            <w:tcW w:w="2592" w:type="dxa"/>
            <w:tcBorders>
              <w:bottom w:val="single" w:color="000000" w:sz="6" w:space="0"/>
            </w:tcBorders>
            <w:vAlign w:val="center"/>
          </w:tcPr>
          <w:p w14:paraId="537EF285">
            <w:pPr>
              <w:spacing w:before="60" w:after="60" w:line="240" w:lineRule="auto"/>
              <w:jc w:val="center"/>
            </w:pPr>
            <w:r>
              <w:rPr>
                <w:rFonts w:ascii="Times New Roman" w:hAnsi="Times New Roman" w:eastAsia="黑体" w:cs="Times New Roman"/>
                <w:b/>
                <w:i w:val="0"/>
                <w:sz w:val="18"/>
              </w:rPr>
              <w:t>四分位距 (IQR)</w:t>
            </w:r>
          </w:p>
        </w:tc>
        <w:tc>
          <w:tcPr>
            <w:tcW w:w="1872" w:type="dxa"/>
            <w:tcBorders>
              <w:bottom w:val="single" w:color="000000" w:sz="6" w:space="0"/>
            </w:tcBorders>
            <w:vAlign w:val="center"/>
          </w:tcPr>
          <w:p w14:paraId="78F83E6F">
            <w:pPr>
              <w:spacing w:before="60" w:after="60" w:line="240" w:lineRule="auto"/>
              <w:jc w:val="center"/>
            </w:pPr>
            <w:r>
              <w:rPr>
                <w:rFonts w:ascii="Times New Roman" w:hAnsi="Times New Roman" w:eastAsia="黑体" w:cs="Times New Roman"/>
                <w:b/>
                <w:i w:val="0"/>
                <w:sz w:val="18"/>
              </w:rPr>
              <w:t>95分位值 (p95)</w:t>
            </w:r>
          </w:p>
        </w:tc>
      </w:tr>
      <w:tr w14:paraId="1115D836">
        <w:trPr>
          <w:jc w:val="center"/>
        </w:trPr>
        <w:tc>
          <w:tcPr>
            <w:tcW w:w="3600" w:type="dxa"/>
            <w:vAlign w:val="center"/>
          </w:tcPr>
          <w:p w14:paraId="1F018260">
            <w:pPr>
              <w:spacing w:before="50" w:after="50" w:line="240" w:lineRule="auto"/>
              <w:jc w:val="left"/>
            </w:pPr>
            <w:r>
              <w:rPr>
                <w:rFonts w:ascii="Times New Roman" w:hAnsi="Times New Roman" w:eastAsia="宋体" w:cs="Times New Roman"/>
                <w:b w:val="0"/>
                <w:i w:val="0"/>
                <w:sz w:val="18"/>
              </w:rPr>
              <w:t>实时事件日志记录 (Event logging)</w:t>
            </w:r>
          </w:p>
        </w:tc>
        <w:tc>
          <w:tcPr>
            <w:tcW w:w="2016" w:type="dxa"/>
            <w:vAlign w:val="center"/>
          </w:tcPr>
          <w:p w14:paraId="2A8027BC">
            <w:pPr>
              <w:spacing w:before="50" w:after="50" w:line="240" w:lineRule="auto"/>
              <w:jc w:val="center"/>
            </w:pPr>
            <w:r>
              <w:rPr>
                <w:rFonts w:ascii="Times New Roman" w:hAnsi="Times New Roman" w:eastAsia="宋体" w:cs="Times New Roman"/>
                <w:b w:val="0"/>
                <w:i w:val="0"/>
                <w:sz w:val="18"/>
              </w:rPr>
              <w:t>0.248 ms</w:t>
            </w:r>
          </w:p>
        </w:tc>
        <w:tc>
          <w:tcPr>
            <w:tcW w:w="2592" w:type="dxa"/>
            <w:vAlign w:val="center"/>
          </w:tcPr>
          <w:p w14:paraId="5471FB5D">
            <w:pPr>
              <w:spacing w:before="50" w:after="50" w:line="240" w:lineRule="auto"/>
              <w:jc w:val="center"/>
            </w:pPr>
            <w:r>
              <w:rPr>
                <w:rFonts w:ascii="Times New Roman" w:hAnsi="Times New Roman" w:eastAsia="宋体" w:cs="Times New Roman"/>
                <w:b w:val="0"/>
                <w:i w:val="0"/>
                <w:sz w:val="18"/>
              </w:rPr>
              <w:t>0.187 – 0.345 ms</w:t>
            </w:r>
          </w:p>
        </w:tc>
        <w:tc>
          <w:tcPr>
            <w:tcW w:w="1872" w:type="dxa"/>
            <w:vAlign w:val="center"/>
          </w:tcPr>
          <w:p w14:paraId="78305C1C">
            <w:pPr>
              <w:spacing w:before="50" w:after="50" w:line="240" w:lineRule="auto"/>
              <w:jc w:val="center"/>
            </w:pPr>
            <w:r>
              <w:rPr>
                <w:rFonts w:ascii="Times New Roman" w:hAnsi="Times New Roman" w:eastAsia="宋体" w:cs="Times New Roman"/>
                <w:b w:val="0"/>
                <w:i w:val="0"/>
                <w:sz w:val="18"/>
              </w:rPr>
              <w:t>0.446 ms</w:t>
            </w:r>
          </w:p>
        </w:tc>
      </w:tr>
      <w:tr w14:paraId="23EE2287">
        <w:trPr>
          <w:jc w:val="center"/>
        </w:trPr>
        <w:tc>
          <w:tcPr>
            <w:tcW w:w="3600" w:type="dxa"/>
            <w:vAlign w:val="center"/>
          </w:tcPr>
          <w:p w14:paraId="635F0E6A">
            <w:pPr>
              <w:spacing w:before="50" w:after="50" w:line="240" w:lineRule="auto"/>
              <w:jc w:val="left"/>
            </w:pPr>
            <w:r>
              <w:rPr>
                <w:rFonts w:ascii="Times New Roman" w:hAnsi="Times New Roman" w:eastAsia="宋体" w:cs="Times New Roman"/>
                <w:b w:val="0"/>
                <w:i w:val="0"/>
                <w:sz w:val="18"/>
              </w:rPr>
              <w:t>物理调用账本写入 (Ledger writing)</w:t>
            </w:r>
          </w:p>
        </w:tc>
        <w:tc>
          <w:tcPr>
            <w:tcW w:w="2016" w:type="dxa"/>
            <w:vAlign w:val="center"/>
          </w:tcPr>
          <w:p w14:paraId="36037DEB">
            <w:pPr>
              <w:spacing w:before="50" w:after="50" w:line="240" w:lineRule="auto"/>
              <w:jc w:val="center"/>
            </w:pPr>
            <w:r>
              <w:rPr>
                <w:rFonts w:ascii="Times New Roman" w:hAnsi="Times New Roman" w:eastAsia="宋体" w:cs="Times New Roman"/>
                <w:b w:val="0"/>
                <w:i w:val="0"/>
                <w:sz w:val="18"/>
              </w:rPr>
              <w:t>0.194 ms</w:t>
            </w:r>
          </w:p>
        </w:tc>
        <w:tc>
          <w:tcPr>
            <w:tcW w:w="2592" w:type="dxa"/>
            <w:vAlign w:val="center"/>
          </w:tcPr>
          <w:p w14:paraId="5254F225">
            <w:pPr>
              <w:spacing w:before="50" w:after="50" w:line="240" w:lineRule="auto"/>
              <w:jc w:val="center"/>
            </w:pPr>
            <w:r>
              <w:rPr>
                <w:rFonts w:ascii="Times New Roman" w:hAnsi="Times New Roman" w:eastAsia="宋体" w:cs="Times New Roman"/>
                <w:b w:val="0"/>
                <w:i w:val="0"/>
                <w:sz w:val="18"/>
              </w:rPr>
              <w:t>0.145 – 0.281 ms</w:t>
            </w:r>
          </w:p>
        </w:tc>
        <w:tc>
          <w:tcPr>
            <w:tcW w:w="1872" w:type="dxa"/>
            <w:vAlign w:val="center"/>
          </w:tcPr>
          <w:p w14:paraId="3406EB95">
            <w:pPr>
              <w:spacing w:before="50" w:after="50" w:line="240" w:lineRule="auto"/>
              <w:jc w:val="center"/>
            </w:pPr>
            <w:r>
              <w:rPr>
                <w:rFonts w:ascii="Times New Roman" w:hAnsi="Times New Roman" w:eastAsia="宋体" w:cs="Times New Roman"/>
                <w:b w:val="0"/>
                <w:i w:val="0"/>
                <w:sz w:val="18"/>
              </w:rPr>
              <w:t>0.319 ms</w:t>
            </w:r>
          </w:p>
        </w:tc>
      </w:tr>
      <w:tr w14:paraId="1B56299F">
        <w:trPr>
          <w:jc w:val="center"/>
        </w:trPr>
        <w:tc>
          <w:tcPr>
            <w:tcW w:w="3600" w:type="dxa"/>
            <w:vAlign w:val="center"/>
          </w:tcPr>
          <w:p w14:paraId="42C0BAB2">
            <w:pPr>
              <w:spacing w:before="50" w:after="50" w:line="240" w:lineRule="auto"/>
              <w:jc w:val="left"/>
            </w:pPr>
            <w:r>
              <w:rPr>
                <w:rFonts w:ascii="Times New Roman" w:hAnsi="Times New Roman" w:eastAsia="宋体" w:cs="Times New Roman"/>
                <w:b w:val="0"/>
                <w:i w:val="0"/>
                <w:sz w:val="18"/>
              </w:rPr>
              <w:t>因果图状态增量计算 (Graph delta)</w:t>
            </w:r>
          </w:p>
        </w:tc>
        <w:tc>
          <w:tcPr>
            <w:tcW w:w="2016" w:type="dxa"/>
            <w:vAlign w:val="center"/>
          </w:tcPr>
          <w:p w14:paraId="3F3B8F81">
            <w:pPr>
              <w:spacing w:before="50" w:after="50" w:line="240" w:lineRule="auto"/>
              <w:jc w:val="center"/>
            </w:pPr>
            <w:r>
              <w:rPr>
                <w:rFonts w:ascii="Times New Roman" w:hAnsi="Times New Roman" w:eastAsia="宋体" w:cs="Times New Roman"/>
                <w:b w:val="0"/>
                <w:i w:val="0"/>
                <w:sz w:val="18"/>
              </w:rPr>
              <w:t>0.353 ms</w:t>
            </w:r>
          </w:p>
        </w:tc>
        <w:tc>
          <w:tcPr>
            <w:tcW w:w="2592" w:type="dxa"/>
            <w:vAlign w:val="center"/>
          </w:tcPr>
          <w:p w14:paraId="250F8FC6">
            <w:pPr>
              <w:spacing w:before="50" w:after="50" w:line="240" w:lineRule="auto"/>
              <w:jc w:val="center"/>
            </w:pPr>
            <w:r>
              <w:rPr>
                <w:rFonts w:ascii="Times New Roman" w:hAnsi="Times New Roman" w:eastAsia="宋体" w:cs="Times New Roman"/>
                <w:b w:val="0"/>
                <w:i w:val="0"/>
                <w:sz w:val="18"/>
              </w:rPr>
              <w:t>0.213 – 0.549 ms</w:t>
            </w:r>
          </w:p>
        </w:tc>
        <w:tc>
          <w:tcPr>
            <w:tcW w:w="1872" w:type="dxa"/>
            <w:vAlign w:val="center"/>
          </w:tcPr>
          <w:p w14:paraId="7594B92D">
            <w:pPr>
              <w:spacing w:before="50" w:after="50" w:line="240" w:lineRule="auto"/>
              <w:jc w:val="center"/>
            </w:pPr>
            <w:r>
              <w:rPr>
                <w:rFonts w:ascii="Times New Roman" w:hAnsi="Times New Roman" w:eastAsia="宋体" w:cs="Times New Roman"/>
                <w:b w:val="0"/>
                <w:i w:val="0"/>
                <w:sz w:val="18"/>
              </w:rPr>
              <w:t>0.765 ms</w:t>
            </w:r>
          </w:p>
        </w:tc>
      </w:tr>
      <w:tr w14:paraId="70944FD7">
        <w:trPr>
          <w:jc w:val="center"/>
        </w:trPr>
        <w:tc>
          <w:tcPr>
            <w:tcW w:w="3600" w:type="dxa"/>
            <w:vAlign w:val="center"/>
          </w:tcPr>
          <w:p w14:paraId="09DCFE8D">
            <w:pPr>
              <w:spacing w:before="50" w:after="50" w:line="240" w:lineRule="auto"/>
              <w:jc w:val="left"/>
            </w:pPr>
            <w:r>
              <w:rPr>
                <w:rFonts w:ascii="Times New Roman" w:hAnsi="Times New Roman" w:eastAsia="宋体" w:cs="Times New Roman"/>
                <w:b w:val="0"/>
                <w:i w:val="0"/>
                <w:sz w:val="18"/>
              </w:rPr>
              <w:t>离线来源与拓扑审计 (Offline audit)</w:t>
            </w:r>
          </w:p>
        </w:tc>
        <w:tc>
          <w:tcPr>
            <w:tcW w:w="2016" w:type="dxa"/>
            <w:vAlign w:val="center"/>
          </w:tcPr>
          <w:p w14:paraId="33AFBFAC">
            <w:pPr>
              <w:spacing w:before="50" w:after="50" w:line="240" w:lineRule="auto"/>
              <w:jc w:val="center"/>
            </w:pPr>
            <w:r>
              <w:rPr>
                <w:rFonts w:ascii="Times New Roman" w:hAnsi="Times New Roman" w:eastAsia="宋体" w:cs="Times New Roman"/>
                <w:b w:val="0"/>
                <w:i w:val="0"/>
                <w:sz w:val="18"/>
              </w:rPr>
              <w:t>9.700 ms</w:t>
            </w:r>
          </w:p>
        </w:tc>
        <w:tc>
          <w:tcPr>
            <w:tcW w:w="2592" w:type="dxa"/>
            <w:vAlign w:val="center"/>
          </w:tcPr>
          <w:p w14:paraId="14E1273C">
            <w:pPr>
              <w:spacing w:before="50" w:after="50" w:line="240" w:lineRule="auto"/>
              <w:jc w:val="center"/>
            </w:pPr>
            <w:r>
              <w:rPr>
                <w:rFonts w:ascii="Times New Roman" w:hAnsi="Times New Roman" w:eastAsia="宋体" w:cs="Times New Roman"/>
                <w:b w:val="0"/>
                <w:i w:val="0"/>
                <w:sz w:val="18"/>
              </w:rPr>
              <w:t>6.261 – 16.428 ms</w:t>
            </w:r>
          </w:p>
        </w:tc>
        <w:tc>
          <w:tcPr>
            <w:tcW w:w="1872" w:type="dxa"/>
            <w:vAlign w:val="center"/>
          </w:tcPr>
          <w:p w14:paraId="3FFFE092">
            <w:pPr>
              <w:spacing w:before="50" w:after="50" w:line="240" w:lineRule="auto"/>
              <w:jc w:val="center"/>
            </w:pPr>
            <w:r>
              <w:rPr>
                <w:rFonts w:ascii="Times New Roman" w:hAnsi="Times New Roman" w:eastAsia="宋体" w:cs="Times New Roman"/>
                <w:b w:val="0"/>
                <w:i w:val="0"/>
                <w:sz w:val="18"/>
              </w:rPr>
              <w:t>22.750 ms</w:t>
            </w:r>
          </w:p>
        </w:tc>
      </w:tr>
      <w:tr w14:paraId="0425D6C0">
        <w:trPr>
          <w:jc w:val="center"/>
        </w:trPr>
        <w:tc>
          <w:tcPr>
            <w:tcW w:w="3600" w:type="dxa"/>
            <w:vAlign w:val="center"/>
          </w:tcPr>
          <w:p w14:paraId="131694B0">
            <w:pPr>
              <w:spacing w:before="50" w:after="50" w:line="240" w:lineRule="auto"/>
              <w:jc w:val="left"/>
            </w:pPr>
            <w:r>
              <w:rPr>
                <w:rFonts w:ascii="Times New Roman" w:hAnsi="Times New Roman" w:eastAsia="宋体" w:cs="Times New Roman"/>
                <w:b w:val="0"/>
                <w:i w:val="0"/>
                <w:sz w:val="18"/>
              </w:rPr>
              <w:t>经验准入门控判决 (Gate evaluation)</w:t>
            </w:r>
          </w:p>
        </w:tc>
        <w:tc>
          <w:tcPr>
            <w:tcW w:w="2016" w:type="dxa"/>
            <w:vAlign w:val="center"/>
          </w:tcPr>
          <w:p w14:paraId="4A74395B">
            <w:pPr>
              <w:spacing w:before="50" w:after="50" w:line="240" w:lineRule="auto"/>
              <w:jc w:val="center"/>
            </w:pPr>
            <w:r>
              <w:rPr>
                <w:rFonts w:ascii="Times New Roman" w:hAnsi="Times New Roman" w:eastAsia="宋体" w:cs="Times New Roman"/>
                <w:b w:val="0"/>
                <w:i w:val="0"/>
                <w:sz w:val="18"/>
              </w:rPr>
              <w:t>0.012 ms</w:t>
            </w:r>
          </w:p>
        </w:tc>
        <w:tc>
          <w:tcPr>
            <w:tcW w:w="2592" w:type="dxa"/>
            <w:vAlign w:val="center"/>
          </w:tcPr>
          <w:p w14:paraId="75F9FFF7">
            <w:pPr>
              <w:spacing w:before="50" w:after="50" w:line="240" w:lineRule="auto"/>
              <w:jc w:val="center"/>
            </w:pPr>
            <w:r>
              <w:rPr>
                <w:rFonts w:ascii="Times New Roman" w:hAnsi="Times New Roman" w:eastAsia="宋体" w:cs="Times New Roman"/>
                <w:b w:val="0"/>
                <w:i w:val="0"/>
                <w:sz w:val="18"/>
              </w:rPr>
              <w:t>0.011 – 0.014 ms</w:t>
            </w:r>
          </w:p>
        </w:tc>
        <w:tc>
          <w:tcPr>
            <w:tcW w:w="1872" w:type="dxa"/>
            <w:vAlign w:val="center"/>
          </w:tcPr>
          <w:p w14:paraId="4C6490E1">
            <w:pPr>
              <w:spacing w:before="50" w:after="50" w:line="240" w:lineRule="auto"/>
              <w:jc w:val="center"/>
            </w:pPr>
            <w:r>
              <w:rPr>
                <w:rFonts w:ascii="Times New Roman" w:hAnsi="Times New Roman" w:eastAsia="宋体" w:cs="Times New Roman"/>
                <w:b w:val="0"/>
                <w:i w:val="0"/>
                <w:sz w:val="18"/>
              </w:rPr>
              <w:t>0.016 ms</w:t>
            </w:r>
          </w:p>
        </w:tc>
      </w:tr>
      <w:tr w14:paraId="3D2ACC21">
        <w:trPr>
          <w:jc w:val="center"/>
        </w:trPr>
        <w:tc>
          <w:tcPr>
            <w:tcW w:w="3600" w:type="dxa"/>
            <w:vAlign w:val="center"/>
          </w:tcPr>
          <w:p w14:paraId="6C148559">
            <w:pPr>
              <w:spacing w:before="50" w:after="50" w:line="240" w:lineRule="auto"/>
              <w:jc w:val="left"/>
            </w:pPr>
            <w:r>
              <w:rPr>
                <w:rFonts w:ascii="Times New Roman" w:hAnsi="Times New Roman" w:eastAsia="宋体" w:cs="Times New Roman"/>
                <w:b/>
                <w:i w:val="0"/>
                <w:sz w:val="18"/>
              </w:rPr>
              <w:t>本地处理总延迟 (Local processing total)</w:t>
            </w:r>
          </w:p>
        </w:tc>
        <w:tc>
          <w:tcPr>
            <w:tcW w:w="2016" w:type="dxa"/>
            <w:vAlign w:val="center"/>
          </w:tcPr>
          <w:p w14:paraId="0DA4A871">
            <w:pPr>
              <w:spacing w:before="50" w:after="50" w:line="240" w:lineRule="auto"/>
              <w:jc w:val="center"/>
            </w:pPr>
            <w:r>
              <w:rPr>
                <w:rFonts w:ascii="Times New Roman" w:hAnsi="Times New Roman" w:eastAsia="宋体" w:cs="Times New Roman"/>
                <w:b/>
                <w:i w:val="0"/>
                <w:sz w:val="18"/>
              </w:rPr>
              <w:t>10.450 ms</w:t>
            </w:r>
          </w:p>
        </w:tc>
        <w:tc>
          <w:tcPr>
            <w:tcW w:w="2592" w:type="dxa"/>
            <w:vAlign w:val="center"/>
          </w:tcPr>
          <w:p w14:paraId="7D6A517E">
            <w:pPr>
              <w:spacing w:before="50" w:after="50" w:line="240" w:lineRule="auto"/>
              <w:jc w:val="center"/>
            </w:pPr>
            <w:r>
              <w:rPr>
                <w:rFonts w:ascii="Times New Roman" w:hAnsi="Times New Roman" w:eastAsia="宋体" w:cs="Times New Roman"/>
                <w:b/>
                <w:i w:val="0"/>
                <w:sz w:val="18"/>
              </w:rPr>
              <w:t>6.907 – 17.690 ms</w:t>
            </w:r>
          </w:p>
        </w:tc>
        <w:tc>
          <w:tcPr>
            <w:tcW w:w="1872" w:type="dxa"/>
            <w:vAlign w:val="center"/>
          </w:tcPr>
          <w:p w14:paraId="7822041B">
            <w:pPr>
              <w:spacing w:before="50" w:after="50" w:line="240" w:lineRule="auto"/>
              <w:jc w:val="center"/>
            </w:pPr>
            <w:r>
              <w:rPr>
                <w:rFonts w:ascii="Times New Roman" w:hAnsi="Times New Roman" w:eastAsia="宋体" w:cs="Times New Roman"/>
                <w:b/>
                <w:i w:val="0"/>
                <w:sz w:val="18"/>
              </w:rPr>
              <w:t>23.922 ms</w:t>
            </w:r>
          </w:p>
        </w:tc>
      </w:tr>
      <w:tr w14:paraId="1AB47F09">
        <w:trPr>
          <w:jc w:val="center"/>
        </w:trPr>
        <w:tc>
          <w:tcPr>
            <w:tcW w:w="3600" w:type="dxa"/>
            <w:vAlign w:val="center"/>
          </w:tcPr>
          <w:p w14:paraId="46B2797A">
            <w:pPr>
              <w:spacing w:before="50" w:after="50" w:line="240" w:lineRule="auto"/>
              <w:jc w:val="left"/>
            </w:pPr>
            <w:r>
              <w:rPr>
                <w:rFonts w:ascii="Times New Roman" w:hAnsi="Times New Roman" w:eastAsia="宋体" w:cs="Times New Roman"/>
                <w:b/>
                <w:i w:val="0"/>
                <w:sz w:val="18"/>
              </w:rPr>
              <w:t>持久化存储开销 (Storage footprint)</w:t>
            </w:r>
          </w:p>
        </w:tc>
        <w:tc>
          <w:tcPr>
            <w:tcW w:w="2016" w:type="dxa"/>
            <w:vAlign w:val="center"/>
          </w:tcPr>
          <w:p w14:paraId="560B864C">
            <w:pPr>
              <w:spacing w:before="50" w:after="50" w:line="240" w:lineRule="auto"/>
              <w:jc w:val="center"/>
            </w:pPr>
            <w:r>
              <w:rPr>
                <w:rFonts w:ascii="Times New Roman" w:hAnsi="Times New Roman" w:eastAsia="宋体" w:cs="Times New Roman"/>
                <w:b/>
                <w:i w:val="0"/>
                <w:sz w:val="18"/>
              </w:rPr>
              <w:t>0.848 MiB/case</w:t>
            </w:r>
          </w:p>
        </w:tc>
        <w:tc>
          <w:tcPr>
            <w:tcW w:w="2592" w:type="dxa"/>
            <w:vAlign w:val="center"/>
          </w:tcPr>
          <w:p w14:paraId="0264D110">
            <w:pPr>
              <w:spacing w:before="50" w:after="50" w:line="240" w:lineRule="auto"/>
              <w:jc w:val="center"/>
            </w:pPr>
            <w:r>
              <w:rPr>
                <w:rFonts w:ascii="Times New Roman" w:hAnsi="Times New Roman" w:eastAsia="宋体" w:cs="Times New Roman"/>
                <w:b w:val="0"/>
                <w:i w:val="0"/>
                <w:sz w:val="18"/>
              </w:rPr>
              <w:t>0.667 – 0.995 MiB</w:t>
            </w:r>
          </w:p>
        </w:tc>
        <w:tc>
          <w:tcPr>
            <w:tcW w:w="1872" w:type="dxa"/>
            <w:vAlign w:val="center"/>
          </w:tcPr>
          <w:p w14:paraId="492F2859">
            <w:pPr>
              <w:spacing w:before="50" w:after="50" w:line="240" w:lineRule="auto"/>
              <w:jc w:val="center"/>
            </w:pPr>
            <w:r>
              <w:rPr>
                <w:rFonts w:ascii="Times New Roman" w:hAnsi="Times New Roman" w:eastAsia="宋体" w:cs="Times New Roman"/>
                <w:b w:val="0"/>
                <w:i w:val="0"/>
                <w:sz w:val="18"/>
              </w:rPr>
              <w:t>1.036 MiB</w:t>
            </w:r>
          </w:p>
        </w:tc>
      </w:tr>
    </w:tbl>
    <w:p w14:paraId="4B83702A">
      <w:pPr>
        <w:spacing w:before="0" w:after="80" w:line="240" w:lineRule="auto"/>
      </w:pPr>
    </w:p>
    <w:p w14:paraId="17B8CAE4">
      <w:pPr>
        <w:keepNext/>
        <w:spacing w:before="120" w:after="40"/>
        <w:ind w:firstLine="0"/>
        <w:jc w:val="left"/>
      </w:pPr>
      <w:r>
        <w:rPr>
          <w:rFonts w:ascii="Times New Roman" w:hAnsi="Times New Roman" w:eastAsia="宋体" w:cs="Times New Roman"/>
          <w:b/>
          <w:i w:val="0"/>
          <w:sz w:val="21"/>
        </w:rPr>
        <w:t>4.2.5 协议偏离敏感性分析（Protocol Deviation Sensitivity）</w:t>
      </w:r>
    </w:p>
    <w:p w14:paraId="566B9BFF">
      <w:pPr>
        <w:spacing w:before="0" w:after="0" w:line="300" w:lineRule="auto"/>
        <w:ind w:firstLine="420"/>
        <w:jc w:val="both"/>
      </w:pPr>
      <w:r>
        <w:rPr>
          <w:rFonts w:ascii="Times New Roman" w:hAnsi="Times New Roman" w:eastAsia="宋体" w:cs="Times New Roman"/>
          <w:b w:val="0"/>
          <w:i w:val="0"/>
          <w:sz w:val="21"/>
        </w:rPr>
        <w:t>在学术诚信与透明性原则下，本文在此全面披露在最终 58 个测试用例执行过程中发生的工程偏离细节，绝不宣称系统“完全严格无任何偏离地一次性运行”：（1）预先暴露（Pre-pass exposure）：Case 80–82 三个病例由于早期评测流水线脚本中断，曾在被废弃的调试脚本中被加载执行过；（2）非预注册重试（Non-preregistered retries）：Case 104、107、121 三个病例在运行中因模型生成了极其罕见的未注册专科智能体名称引发运行时崩溃，工程师执行了故障恢复重试；（3）汇总驱动修正（Reporting-driver corrections）：分析阶段对统计解析驱动的代码瑕疵进行了重算纠正，但原始 Gate 决策与底层工件始终保持完全冻结。</w:t>
      </w:r>
    </w:p>
    <w:p w14:paraId="687CBF08">
      <w:pPr>
        <w:spacing w:before="0" w:after="0" w:line="300" w:lineRule="auto"/>
        <w:ind w:firstLine="420"/>
        <w:jc w:val="both"/>
      </w:pPr>
      <w:r>
        <w:rPr>
          <w:rFonts w:ascii="Times New Roman" w:hAnsi="Times New Roman" w:eastAsia="宋体" w:cs="Times New Roman"/>
          <w:b w:val="0"/>
          <w:i w:val="0"/>
          <w:sz w:val="21"/>
        </w:rPr>
        <w:t>为评估上述偏离是否会影响核心结论的科学成立，本文设计并执行了严格的敏感性剔除测试（Exclusion Sensitivity Analysis）：在完全剔除上述受影响的 6 个病例后，由纯净的 52 个病例构成 Protocol-clean 子集。如表 1 与表 6 所示，在 52 例纯净队列上，受控异常检测的 Macro-F1 达到 0.957，可观测根因定位率达到 0.975，验证成功病例仍为 7 例，incorrect-clean（20 例）与 correct-but-poisoned（19 例）的拦截结论保持 100% 不变。这在统计学上充分证实：协议偏离的存在未实质性改变本文所报道的核心学术结论与性能指标（Did not materially change the reported core metrics）。</w:t>
      </w:r>
    </w:p>
    <w:p w14:paraId="77BCC167">
      <w:pPr>
        <w:keepNext/>
        <w:spacing w:before="160" w:after="40"/>
        <w:jc w:val="center"/>
      </w:pPr>
      <w:r>
        <w:rPr>
          <w:rFonts w:ascii="Times New Roman" w:hAnsi="Times New Roman" w:eastAsia="黑体" w:cs="Times New Roman"/>
          <w:b/>
          <w:i w:val="0"/>
          <w:sz w:val="19"/>
        </w:rPr>
        <w:t>表6  协议偏离审计与排除敏感性分析结果</w:t>
      </w:r>
      <w:r>
        <w:rPr>
          <w:rFonts w:ascii="Times New Roman" w:hAnsi="Times New Roman" w:eastAsia="黑体" w:cs="Times New Roman"/>
          <w:b/>
          <w:i w:val="0"/>
          <w:sz w:val="19"/>
        </w:rPr>
        <w:br w:type="textWrapping"/>
      </w:r>
      <w:r>
        <w:rPr>
          <w:rFonts w:ascii="Times New Roman" w:hAnsi="Times New Roman" w:eastAsia="黑体" w:cs="Times New Roman"/>
          <w:b w:val="0"/>
          <w:i w:val="0"/>
          <w:sz w:val="18"/>
        </w:rPr>
        <w:t>Table 6  Protocol deviation audit and exclusion sensitivity analysis</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5"/>
        <w:gridCol w:w="1806"/>
        <w:gridCol w:w="3087"/>
        <w:gridCol w:w="2219"/>
      </w:tblGrid>
      <w:tr w14:paraId="052B104F">
        <w:trPr>
          <w:jc w:val="center"/>
        </w:trPr>
        <w:tc>
          <w:tcPr>
            <w:tcW w:w="2016" w:type="dxa"/>
            <w:tcBorders>
              <w:bottom w:val="single" w:color="000000" w:sz="6" w:space="0"/>
            </w:tcBorders>
            <w:vAlign w:val="center"/>
          </w:tcPr>
          <w:p w14:paraId="092D6B7F">
            <w:pPr>
              <w:spacing w:before="60" w:after="60" w:line="240" w:lineRule="auto"/>
              <w:jc w:val="center"/>
            </w:pPr>
            <w:r>
              <w:rPr>
                <w:rFonts w:ascii="Times New Roman" w:hAnsi="Times New Roman" w:eastAsia="黑体" w:cs="Times New Roman"/>
                <w:b/>
                <w:i w:val="0"/>
                <w:sz w:val="18"/>
              </w:rPr>
              <w:t>偏离类型 (Deviation Type)</w:t>
            </w:r>
          </w:p>
        </w:tc>
        <w:tc>
          <w:tcPr>
            <w:tcW w:w="2016" w:type="dxa"/>
            <w:tcBorders>
              <w:bottom w:val="single" w:color="000000" w:sz="6" w:space="0"/>
            </w:tcBorders>
            <w:vAlign w:val="center"/>
          </w:tcPr>
          <w:p w14:paraId="48ECD70F">
            <w:pPr>
              <w:spacing w:before="60" w:after="60" w:line="240" w:lineRule="auto"/>
              <w:jc w:val="center"/>
            </w:pPr>
            <w:r>
              <w:rPr>
                <w:rFonts w:ascii="Times New Roman" w:hAnsi="Times New Roman" w:eastAsia="黑体" w:cs="Times New Roman"/>
                <w:b/>
                <w:i w:val="0"/>
                <w:sz w:val="18"/>
              </w:rPr>
              <w:t>涉及病例 (Cases)</w:t>
            </w:r>
          </w:p>
        </w:tc>
        <w:tc>
          <w:tcPr>
            <w:tcW w:w="3600" w:type="dxa"/>
            <w:tcBorders>
              <w:bottom w:val="single" w:color="000000" w:sz="6" w:space="0"/>
            </w:tcBorders>
            <w:vAlign w:val="center"/>
          </w:tcPr>
          <w:p w14:paraId="7594CF2F">
            <w:pPr>
              <w:spacing w:before="60" w:after="60" w:line="240" w:lineRule="auto"/>
              <w:jc w:val="center"/>
            </w:pPr>
            <w:r>
              <w:rPr>
                <w:rFonts w:ascii="Times New Roman" w:hAnsi="Times New Roman" w:eastAsia="黑体" w:cs="Times New Roman"/>
                <w:b/>
                <w:i w:val="0"/>
                <w:sz w:val="18"/>
              </w:rPr>
              <w:t>发生原因与处置对策</w:t>
            </w:r>
          </w:p>
        </w:tc>
        <w:tc>
          <w:tcPr>
            <w:tcW w:w="2448" w:type="dxa"/>
            <w:tcBorders>
              <w:bottom w:val="single" w:color="000000" w:sz="6" w:space="0"/>
            </w:tcBorders>
            <w:vAlign w:val="center"/>
          </w:tcPr>
          <w:p w14:paraId="134AD0D8">
            <w:pPr>
              <w:spacing w:before="60" w:after="60" w:line="240" w:lineRule="auto"/>
              <w:jc w:val="center"/>
            </w:pPr>
            <w:r>
              <w:rPr>
                <w:rFonts w:ascii="Times New Roman" w:hAnsi="Times New Roman" w:eastAsia="黑体" w:cs="Times New Roman"/>
                <w:b/>
                <w:i w:val="0"/>
                <w:sz w:val="18"/>
              </w:rPr>
              <w:t>52例排除后敏感性检验结果</w:t>
            </w:r>
          </w:p>
        </w:tc>
      </w:tr>
      <w:tr w14:paraId="047B288B">
        <w:trPr>
          <w:jc w:val="center"/>
        </w:trPr>
        <w:tc>
          <w:tcPr>
            <w:tcW w:w="2016" w:type="dxa"/>
            <w:vAlign w:val="center"/>
          </w:tcPr>
          <w:p w14:paraId="3A0B1A7F">
            <w:pPr>
              <w:spacing w:before="50" w:after="50" w:line="240" w:lineRule="auto"/>
              <w:jc w:val="left"/>
            </w:pPr>
            <w:r>
              <w:rPr>
                <w:rFonts w:ascii="Times New Roman" w:hAnsi="Times New Roman" w:eastAsia="宋体" w:cs="Times New Roman"/>
                <w:b w:val="0"/>
                <w:i w:val="0"/>
                <w:sz w:val="18"/>
              </w:rPr>
              <w:t>早期运行暴露</w:t>
            </w:r>
          </w:p>
        </w:tc>
        <w:tc>
          <w:tcPr>
            <w:tcW w:w="2016" w:type="dxa"/>
            <w:vAlign w:val="center"/>
          </w:tcPr>
          <w:p w14:paraId="29052F23">
            <w:pPr>
              <w:spacing w:before="50" w:after="50" w:line="240" w:lineRule="auto"/>
              <w:jc w:val="center"/>
            </w:pPr>
            <w:r>
              <w:rPr>
                <w:rFonts w:ascii="Times New Roman" w:hAnsi="Times New Roman" w:eastAsia="宋体" w:cs="Times New Roman"/>
                <w:b w:val="0"/>
                <w:i w:val="0"/>
                <w:sz w:val="18"/>
              </w:rPr>
              <w:t>Case 80, 81, 82</w:t>
            </w:r>
          </w:p>
        </w:tc>
        <w:tc>
          <w:tcPr>
            <w:tcW w:w="3600" w:type="dxa"/>
            <w:vAlign w:val="center"/>
          </w:tcPr>
          <w:p w14:paraId="5BBAE398">
            <w:pPr>
              <w:spacing w:before="50" w:after="50" w:line="240" w:lineRule="auto"/>
              <w:jc w:val="center"/>
            </w:pPr>
            <w:r>
              <w:rPr>
                <w:rFonts w:ascii="Times New Roman" w:hAnsi="Times New Roman" w:eastAsia="宋体" w:cs="Times New Roman"/>
                <w:b w:val="0"/>
                <w:i w:val="0"/>
                <w:sz w:val="18"/>
              </w:rPr>
              <w:t>早期测试流水线中断残留；保留主记录并另行测试</w:t>
            </w:r>
          </w:p>
        </w:tc>
        <w:tc>
          <w:tcPr>
            <w:tcW w:w="2448" w:type="dxa"/>
            <w:vAlign w:val="center"/>
          </w:tcPr>
          <w:p w14:paraId="2317755A">
            <w:pPr>
              <w:spacing w:before="50" w:after="50" w:line="240" w:lineRule="auto"/>
              <w:jc w:val="center"/>
            </w:pPr>
            <w:r>
              <w:rPr>
                <w:rFonts w:ascii="Times New Roman" w:hAnsi="Times New Roman" w:eastAsia="宋体" w:cs="Times New Roman"/>
                <w:b w:val="0"/>
                <w:i w:val="0"/>
                <w:sz w:val="18"/>
              </w:rPr>
              <w:t>Macro Anomaly F1 = 0.957</w:t>
            </w:r>
          </w:p>
        </w:tc>
      </w:tr>
      <w:tr w14:paraId="65B82531">
        <w:trPr>
          <w:jc w:val="center"/>
        </w:trPr>
        <w:tc>
          <w:tcPr>
            <w:tcW w:w="2016" w:type="dxa"/>
            <w:vAlign w:val="center"/>
          </w:tcPr>
          <w:p w14:paraId="73FABA76">
            <w:pPr>
              <w:spacing w:before="50" w:after="50" w:line="240" w:lineRule="auto"/>
              <w:jc w:val="left"/>
            </w:pPr>
            <w:r>
              <w:rPr>
                <w:rFonts w:ascii="Times New Roman" w:hAnsi="Times New Roman" w:eastAsia="宋体" w:cs="Times New Roman"/>
                <w:b w:val="0"/>
                <w:i w:val="0"/>
                <w:sz w:val="18"/>
              </w:rPr>
              <w:t>非预注册重试</w:t>
            </w:r>
          </w:p>
        </w:tc>
        <w:tc>
          <w:tcPr>
            <w:tcW w:w="2016" w:type="dxa"/>
            <w:vAlign w:val="center"/>
          </w:tcPr>
          <w:p w14:paraId="757BE1E0">
            <w:pPr>
              <w:spacing w:before="50" w:after="50" w:line="240" w:lineRule="auto"/>
              <w:jc w:val="center"/>
            </w:pPr>
            <w:r>
              <w:rPr>
                <w:rFonts w:ascii="Times New Roman" w:hAnsi="Times New Roman" w:eastAsia="宋体" w:cs="Times New Roman"/>
                <w:b w:val="0"/>
                <w:i w:val="0"/>
                <w:sz w:val="18"/>
              </w:rPr>
              <w:t>Case 104, 107, 121</w:t>
            </w:r>
          </w:p>
        </w:tc>
        <w:tc>
          <w:tcPr>
            <w:tcW w:w="3600" w:type="dxa"/>
            <w:vAlign w:val="center"/>
          </w:tcPr>
          <w:p w14:paraId="16FBEA75">
            <w:pPr>
              <w:spacing w:before="50" w:after="50" w:line="240" w:lineRule="auto"/>
              <w:jc w:val="center"/>
            </w:pPr>
            <w:r>
              <w:rPr>
                <w:rFonts w:ascii="Times New Roman" w:hAnsi="Times New Roman" w:eastAsia="宋体" w:cs="Times New Roman"/>
                <w:b w:val="0"/>
                <w:i w:val="0"/>
                <w:sz w:val="18"/>
              </w:rPr>
              <w:t>模型输出未定义专家角色名触发重试；如实记录并隔离</w:t>
            </w:r>
          </w:p>
        </w:tc>
        <w:tc>
          <w:tcPr>
            <w:tcW w:w="2448" w:type="dxa"/>
            <w:vAlign w:val="center"/>
          </w:tcPr>
          <w:p w14:paraId="01D37FF0">
            <w:pPr>
              <w:spacing w:before="50" w:after="50" w:line="240" w:lineRule="auto"/>
              <w:jc w:val="center"/>
            </w:pPr>
            <w:r>
              <w:rPr>
                <w:rFonts w:ascii="Times New Roman" w:hAnsi="Times New Roman" w:eastAsia="宋体" w:cs="Times New Roman"/>
                <w:b w:val="0"/>
                <w:i w:val="0"/>
                <w:sz w:val="18"/>
              </w:rPr>
              <w:t>Observable-root Top-1 = 0.975</w:t>
            </w:r>
          </w:p>
        </w:tc>
      </w:tr>
      <w:tr w14:paraId="5A0872EB">
        <w:trPr>
          <w:jc w:val="center"/>
        </w:trPr>
        <w:tc>
          <w:tcPr>
            <w:tcW w:w="2016" w:type="dxa"/>
            <w:vAlign w:val="center"/>
          </w:tcPr>
          <w:p w14:paraId="65E385D5">
            <w:pPr>
              <w:spacing w:before="50" w:after="50" w:line="240" w:lineRule="auto"/>
              <w:jc w:val="left"/>
            </w:pPr>
            <w:r>
              <w:rPr>
                <w:rFonts w:ascii="Times New Roman" w:hAnsi="Times New Roman" w:eastAsia="宋体" w:cs="Times New Roman"/>
                <w:b w:val="0"/>
                <w:i w:val="0"/>
                <w:sz w:val="18"/>
              </w:rPr>
              <w:t>汇总驱动修正</w:t>
            </w:r>
          </w:p>
        </w:tc>
        <w:tc>
          <w:tcPr>
            <w:tcW w:w="2016" w:type="dxa"/>
            <w:vAlign w:val="center"/>
          </w:tcPr>
          <w:p w14:paraId="6CE74F07">
            <w:pPr>
              <w:spacing w:before="50" w:after="50" w:line="240" w:lineRule="auto"/>
              <w:jc w:val="center"/>
            </w:pPr>
            <w:r>
              <w:rPr>
                <w:rFonts w:ascii="Times New Roman" w:hAnsi="Times New Roman" w:eastAsia="宋体" w:cs="Times New Roman"/>
                <w:b w:val="0"/>
                <w:i w:val="0"/>
                <w:sz w:val="18"/>
              </w:rPr>
              <w:t>全量分析阶段</w:t>
            </w:r>
          </w:p>
        </w:tc>
        <w:tc>
          <w:tcPr>
            <w:tcW w:w="3600" w:type="dxa"/>
            <w:vAlign w:val="center"/>
          </w:tcPr>
          <w:p w14:paraId="625F0D0E">
            <w:pPr>
              <w:spacing w:before="50" w:after="50" w:line="240" w:lineRule="auto"/>
              <w:jc w:val="center"/>
            </w:pPr>
            <w:r>
              <w:rPr>
                <w:rFonts w:ascii="Times New Roman" w:hAnsi="Times New Roman" w:eastAsia="宋体" w:cs="Times New Roman"/>
                <w:b w:val="0"/>
                <w:i w:val="0"/>
                <w:sz w:val="18"/>
              </w:rPr>
              <w:t>重新从原始只读封签工件提取汇总，原始判定保持不变</w:t>
            </w:r>
          </w:p>
        </w:tc>
        <w:tc>
          <w:tcPr>
            <w:tcW w:w="2448" w:type="dxa"/>
            <w:vAlign w:val="center"/>
          </w:tcPr>
          <w:p w14:paraId="3A735CEF">
            <w:pPr>
              <w:spacing w:before="50" w:after="50" w:line="240" w:lineRule="auto"/>
              <w:jc w:val="center"/>
            </w:pPr>
            <w:r>
              <w:rPr>
                <w:rFonts w:ascii="Times New Roman" w:hAnsi="Times New Roman" w:eastAsia="宋体" w:cs="Times New Roman"/>
                <w:b w:val="0"/>
                <w:i w:val="0"/>
                <w:sz w:val="18"/>
              </w:rPr>
              <w:t>双反例隔离拦截率 = 100% 稳健</w:t>
            </w:r>
          </w:p>
        </w:tc>
      </w:tr>
    </w:tbl>
    <w:p w14:paraId="236E996B">
      <w:pPr>
        <w:spacing w:before="0" w:after="80" w:line="240" w:lineRule="auto"/>
      </w:pPr>
    </w:p>
    <w:p w14:paraId="5CF3A032">
      <w:pPr>
        <w:keepNext/>
        <w:spacing w:before="280" w:after="100"/>
        <w:ind w:firstLine="0"/>
        <w:jc w:val="left"/>
      </w:pPr>
      <w:r>
        <w:rPr>
          <w:rFonts w:ascii="Arial" w:hAnsi="Arial" w:eastAsia="黑体" w:cs="Arial"/>
          <w:b/>
          <w:i w:val="0"/>
          <w:sz w:val="28"/>
        </w:rPr>
        <w:t>5 讨论与局限性</w:t>
      </w:r>
    </w:p>
    <w:p w14:paraId="7B1385EA">
      <w:pPr>
        <w:keepNext/>
        <w:spacing w:before="180" w:after="60"/>
        <w:ind w:firstLine="0"/>
        <w:jc w:val="left"/>
      </w:pPr>
      <w:r>
        <w:rPr>
          <w:rFonts w:ascii="Arial" w:hAnsi="Arial" w:eastAsia="黑体" w:cs="Arial"/>
          <w:b/>
          <w:i w:val="0"/>
          <w:sz w:val="23"/>
        </w:rPr>
        <w:t>5.1 负结果分析与关键科学认知</w:t>
      </w:r>
    </w:p>
    <w:p w14:paraId="5C65A4BE">
      <w:pPr>
        <w:spacing w:before="0" w:after="0" w:line="300" w:lineRule="auto"/>
        <w:ind w:firstLine="420"/>
        <w:jc w:val="both"/>
      </w:pPr>
      <w:r>
        <w:rPr>
          <w:rFonts w:ascii="Times New Roman" w:hAnsi="Times New Roman" w:eastAsia="宋体" w:cs="Times New Roman"/>
          <w:b w:val="0"/>
          <w:i w:val="0"/>
          <w:sz w:val="21"/>
        </w:rPr>
        <w:t>高水平的学术研究不仅应报道成功的方法增益，更应当以透明客观的科学态度剖析探索过程中的阶段性负结果（Negative Results）。结合 S3B–S5A 的演进记录，本文对四项关键负结果进行深入讨论，为未来多智能体协同研究提供宝贵经验教训：</w:t>
      </w:r>
    </w:p>
    <w:p w14:paraId="67E94305">
      <w:pPr>
        <w:spacing w:before="0" w:after="0" w:line="300" w:lineRule="auto"/>
        <w:ind w:firstLine="420"/>
        <w:jc w:val="both"/>
      </w:pPr>
      <w:r>
        <w:rPr>
          <w:rFonts w:ascii="Times New Roman" w:hAnsi="Times New Roman" w:eastAsia="宋体" w:cs="Times New Roman"/>
          <w:b w:val="0"/>
          <w:i w:val="0"/>
          <w:sz w:val="21"/>
        </w:rPr>
        <w:t>5.1.1 历史记忆注入未证明能够提高医学诊断准确率。在 S3B 阶段进行的记忆机制对比实验中，我们将经筛选的历史成功经验检索注入 Central Planner 提示词上下文。令人警醒的是，实验数据显示完全不使用记忆的纯净基线（M0 NoMemory）在 Match 与 Relevant 指标上反而取得了最高分数，而引入记忆后模型诊断准确率并未取得统计显著性提升，甚至在部分复杂案例中诱发了刻板思维。这一结果强有力地证实：绝不能盲目将“可信经验能够被筛选出来”等价于“将历史经验注入大模型上下文一定能带来诊断增益”。因此，TraceEvo 本文的研究范围严格止步于经验的可信准入与固化，绝不做出任何“记忆注入提升临床诊断性能”的不实声称。</w:t>
      </w:r>
    </w:p>
    <w:p w14:paraId="65D827F2">
      <w:pPr>
        <w:spacing w:before="0" w:after="0" w:line="300" w:lineRule="auto"/>
        <w:ind w:firstLine="420"/>
        <w:jc w:val="both"/>
      </w:pPr>
      <w:r>
        <w:rPr>
          <w:rFonts w:ascii="Times New Roman" w:hAnsi="Times New Roman" w:eastAsia="宋体" w:cs="Times New Roman"/>
          <w:b w:val="0"/>
          <w:i w:val="0"/>
          <w:sz w:val="21"/>
        </w:rPr>
        <w:t>5.1.2 专科智能体细粒度信誉画像（Role Profile）未获预测增益支持。在 S4A 阶段，研究团队曾设想通过历史调用轨迹统计为不同专科智能体建立信誉评分与动态路由机制。然而定量分析表明，各个专科角色在异常率上的置信区间高度重叠，且在实际复杂任务中，异常执行主要由提示词语境及上下文复杂度偶发诱发，缺乏针对特定专科角色的系统性偏好；信誉路由未能提供超越全局统一策略的预测增益。因此本文果断废弃了角色信誉画像模块。</w:t>
      </w:r>
    </w:p>
    <w:p w14:paraId="6037D65A">
      <w:pPr>
        <w:spacing w:before="0" w:after="0" w:line="300" w:lineRule="auto"/>
        <w:ind w:firstLine="420"/>
        <w:jc w:val="both"/>
      </w:pPr>
      <w:r>
        <w:rPr>
          <w:rFonts w:ascii="Times New Roman" w:hAnsi="Times New Roman" w:eastAsia="宋体" w:cs="Times New Roman"/>
          <w:b w:val="0"/>
          <w:i w:val="0"/>
          <w:sz w:val="21"/>
        </w:rPr>
        <w:t>5.1.3 实时拦截守卫网（ATGG）缺乏自然任务效能证据。在 S4B 阶段针对 Case 60–69 队列的测试中，自然生成的 P3 虚构证据数量为 0，导致该实时拦截网在自然无注入场景下的拦截效能无法获得统计学定量支撑；尽管后续阶段自然 P3 重新出现，但根据预注册科研规范，严禁倒推声称 ATGG 已获得充分的自然任务有效性验证，本文因此坚持将其定位为概念性探索组件。</w:t>
      </w:r>
    </w:p>
    <w:p w14:paraId="33B71E3C">
      <w:pPr>
        <w:spacing w:before="0" w:after="0" w:line="300" w:lineRule="auto"/>
        <w:ind w:firstLine="420"/>
        <w:jc w:val="both"/>
      </w:pPr>
      <w:r>
        <w:rPr>
          <w:rFonts w:ascii="Times New Roman" w:hAnsi="Times New Roman" w:eastAsia="宋体" w:cs="Times New Roman"/>
          <w:b w:val="0"/>
          <w:i w:val="0"/>
          <w:sz w:val="21"/>
        </w:rPr>
        <w:t>5.1.4 多智能体“自进化”的科学边界确立。当前人工智能领域频繁使用“系统自进化”等宽泛概念。本文基于严谨的实验事实，将 TraceEvo 的科学边界严格界定为基于审计门控的可信经验固化（Audit-Gated Experience Consolidation），即为系统建立安全的数据准入边界；而真正由记忆驱动的在线策略自适应、参数微调自进化，仍然需要学界攻克更加深层次的模型泛化理论，属于未来工作的范畴。</w:t>
      </w:r>
    </w:p>
    <w:p w14:paraId="63A2D386">
      <w:pPr>
        <w:keepNext/>
        <w:spacing w:before="180" w:after="60"/>
        <w:ind w:firstLine="0"/>
        <w:jc w:val="left"/>
      </w:pPr>
      <w:r>
        <w:rPr>
          <w:rFonts w:ascii="Arial" w:hAnsi="Arial" w:eastAsia="黑体" w:cs="Arial"/>
          <w:b/>
          <w:i w:val="0"/>
          <w:sz w:val="23"/>
        </w:rPr>
        <w:t>5.2 系统局限性（Limitations）</w:t>
      </w:r>
    </w:p>
    <w:p w14:paraId="348EC724">
      <w:pPr>
        <w:spacing w:before="0" w:after="0" w:line="300" w:lineRule="auto"/>
        <w:ind w:firstLine="420"/>
        <w:jc w:val="both"/>
      </w:pPr>
      <w:r>
        <w:rPr>
          <w:rFonts w:ascii="Times New Roman" w:hAnsi="Times New Roman" w:eastAsia="宋体" w:cs="Times New Roman"/>
          <w:b w:val="0"/>
          <w:i w:val="0"/>
          <w:sz w:val="21"/>
        </w:rPr>
        <w:t>基于客观务实的学术规范，本文梳理并明确指出 TraceEvo 存在的六大系统局限性：</w:t>
      </w:r>
    </w:p>
    <w:p w14:paraId="0E8F2C8D">
      <w:pPr>
        <w:spacing w:before="0" w:after="0" w:line="300" w:lineRule="auto"/>
        <w:ind w:firstLine="420"/>
        <w:jc w:val="both"/>
      </w:pPr>
      <w:r>
        <w:rPr>
          <w:rFonts w:ascii="Times New Roman" w:hAnsi="Times New Roman" w:eastAsia="宋体" w:cs="Times New Roman"/>
          <w:b w:val="0"/>
          <w:i w:val="0"/>
          <w:sz w:val="21"/>
        </w:rPr>
        <w:t>（1）单一评测基准与单模型架构（L1）：本研究主要依托 DiagnosisArena 数据集与 deepseek-v4-flash 模型展开，未在多模态病历、多中心医疗机构数据及其他模型架构上进行泛化检验；</w:t>
      </w:r>
      <w:r>
        <w:rPr>
          <w:rFonts w:ascii="Times New Roman" w:hAnsi="Times New Roman" w:eastAsia="宋体" w:cs="Times New Roman"/>
          <w:b w:val="0"/>
          <w:i w:val="0"/>
          <w:sz w:val="21"/>
        </w:rPr>
        <w:br w:type="textWrapping"/>
      </w:r>
      <w:r>
        <w:rPr>
          <w:rFonts w:ascii="Times New Roman" w:hAnsi="Times New Roman" w:eastAsia="宋体" w:cs="Times New Roman"/>
          <w:b w:val="0"/>
          <w:i w:val="0"/>
          <w:sz w:val="21"/>
        </w:rPr>
        <w:t>（2）受控故障模型的覆盖边界（L2）：文中所汇报的 0.960 Macro-F1 严格基于本文所定义并由注入器执行的受控故障模型（Controlled Fault Model），不代表其能够覆盖真实临床世界中所有潜在的人机协作异常；</w:t>
      </w:r>
      <w:r>
        <w:rPr>
          <w:rFonts w:ascii="Times New Roman" w:hAnsi="Times New Roman" w:eastAsia="宋体" w:cs="Times New Roman"/>
          <w:b w:val="0"/>
          <w:i w:val="0"/>
          <w:sz w:val="21"/>
        </w:rPr>
        <w:br w:type="textWrapping"/>
      </w:r>
      <w:r>
        <w:rPr>
          <w:rFonts w:ascii="Times New Roman" w:hAnsi="Times New Roman" w:eastAsia="宋体" w:cs="Times New Roman"/>
          <w:b w:val="0"/>
          <w:i w:val="0"/>
          <w:sz w:val="21"/>
        </w:rPr>
        <w:t>（3）自然运行告警缺乏金标准（L3）：在 58 例自然运行中触发的 12 例证据告警主要源于形式化来源分类学的边界判定，尚未由独立资深临床专家委员会逐一进行临床因果金标准盲审；</w:t>
      </w:r>
      <w:r>
        <w:rPr>
          <w:rFonts w:ascii="Times New Roman" w:hAnsi="Times New Roman" w:eastAsia="宋体" w:cs="Times New Roman"/>
          <w:b w:val="0"/>
          <w:i w:val="0"/>
          <w:sz w:val="21"/>
        </w:rPr>
        <w:br w:type="textWrapping"/>
      </w:r>
      <w:r>
        <w:rPr>
          <w:rFonts w:ascii="Times New Roman" w:hAnsi="Times New Roman" w:eastAsia="宋体" w:cs="Times New Roman"/>
          <w:b w:val="0"/>
          <w:i w:val="0"/>
          <w:sz w:val="21"/>
        </w:rPr>
        <w:t>（4）事后裁判协议的不确定区间（L4）：Outcome Verifier 依赖冻结的裁判提示词，在保留队列中输出了 20 例 uncertain（不确定）结果，反映出自然语言裁判在临床精细度上的局限；</w:t>
      </w:r>
      <w:r>
        <w:rPr>
          <w:rFonts w:ascii="Times New Roman" w:hAnsi="Times New Roman" w:eastAsia="宋体" w:cs="Times New Roman"/>
          <w:b w:val="0"/>
          <w:i w:val="0"/>
          <w:sz w:val="21"/>
        </w:rPr>
        <w:br w:type="textWrapping"/>
      </w:r>
      <w:r>
        <w:rPr>
          <w:rFonts w:ascii="Times New Roman" w:hAnsi="Times New Roman" w:eastAsia="宋体" w:cs="Times New Roman"/>
          <w:b w:val="0"/>
          <w:i w:val="0"/>
          <w:sz w:val="21"/>
        </w:rPr>
        <w:t>（5）最终执行中的协议偏离（L5）：前文所坦诚披露的 6 个偏离病例虽然经敏感性分析验证未实质改变结论，但仍是工程执行严密性上需要正视的客观现实；</w:t>
      </w:r>
      <w:r>
        <w:rPr>
          <w:rFonts w:ascii="Times New Roman" w:hAnsi="Times New Roman" w:eastAsia="宋体" w:cs="Times New Roman"/>
          <w:b w:val="0"/>
          <w:i w:val="0"/>
          <w:sz w:val="21"/>
        </w:rPr>
        <w:br w:type="textWrapping"/>
      </w:r>
      <w:r>
        <w:rPr>
          <w:rFonts w:ascii="Times New Roman" w:hAnsi="Times New Roman" w:eastAsia="宋体" w:cs="Times New Roman"/>
          <w:b w:val="0"/>
          <w:i w:val="0"/>
          <w:sz w:val="21"/>
        </w:rPr>
        <w:t>（6）尚未验证在线闭环性能演进增益（L6）：本文未声称也未证明该经验库能够在在线长程部署中实现自主自适应循环提升。</w:t>
      </w:r>
    </w:p>
    <w:p w14:paraId="2D5388A2">
      <w:pPr>
        <w:keepNext/>
        <w:spacing w:before="280" w:after="100"/>
        <w:ind w:firstLine="0"/>
        <w:jc w:val="left"/>
      </w:pPr>
      <w:r>
        <w:rPr>
          <w:rFonts w:ascii="Arial" w:hAnsi="Arial" w:eastAsia="黑体" w:cs="Arial"/>
          <w:b/>
          <w:i w:val="0"/>
          <w:sz w:val="28"/>
        </w:rPr>
        <w:t>6 结  论</w:t>
      </w:r>
    </w:p>
    <w:p w14:paraId="6EF3D6C1">
      <w:pPr>
        <w:spacing w:before="0" w:after="0" w:line="300" w:lineRule="auto"/>
        <w:ind w:firstLine="420"/>
        <w:jc w:val="both"/>
      </w:pPr>
      <w:r>
        <w:rPr>
          <w:rFonts w:ascii="Times New Roman" w:hAnsi="Times New Roman" w:eastAsia="宋体" w:cs="Times New Roman"/>
          <w:b w:val="0"/>
          <w:i w:val="0"/>
          <w:sz w:val="21"/>
        </w:rPr>
        <w:t>医学多智能体协同推理在处理高度复杂的临床诊疗任务中展现出巨大潜力，但其推理不透明、异常难以回溯以及低质量经验污染记忆库等根本缺陷严重阻碍了其实际落地。本文提出了双图审计溯源与可信经验固化方法 TraceEvo。通过正交构建因果推理图与协作执行溯源图，TraceEvo 实现了执行链与推理逻辑的细粒度显式绑定，赋予了系统无侵入的确定性重放溯源能力；依托 P0–P3 证据来源分类体系与密码学哈希链，TraceEvo 在受控故障注入测试中实现了 0.960 的 Macro-F1 与 0.978 的可观测根因定位准确率；更重要的是，TraceEvo 揭示了单一结果判定或过程审计的结构性盲点，通过构建结果—过程双信号联合门控，实现了对毒害反例的百分之百拦截，为医疗多智能体系统构建了一个兼具高可靠性与可审计性的可信经验更新闭环基石。</w:t>
      </w:r>
    </w:p>
    <w:p w14:paraId="5B18E0FD">
      <w:pPr>
        <w:keepNext/>
        <w:spacing w:before="280" w:after="100"/>
        <w:ind w:firstLine="0"/>
        <w:jc w:val="left"/>
      </w:pPr>
      <w:r>
        <w:rPr>
          <w:rFonts w:ascii="Arial" w:hAnsi="Arial" w:eastAsia="黑体" w:cs="Arial"/>
          <w:b/>
          <w:i w:val="0"/>
          <w:sz w:val="28"/>
        </w:rPr>
        <w:t>参考文献</w:t>
      </w:r>
    </w:p>
    <w:p w14:paraId="4EB30D42">
      <w:pPr>
        <w:spacing w:before="20" w:after="20" w:line="276" w:lineRule="auto"/>
        <w:ind w:left="360" w:hanging="360"/>
        <w:jc w:val="left"/>
      </w:pPr>
      <w:r>
        <w:rPr>
          <w:rFonts w:ascii="Times New Roman" w:hAnsi="Times New Roman" w:eastAsia="宋体" w:cs="Times New Roman"/>
          <w:b w:val="0"/>
          <w:i w:val="0"/>
          <w:sz w:val="18"/>
        </w:rPr>
        <w:t>[1] WOOLDRIDGE M. An introduction to multiagent systems[M]. John Wiley &amp; Sons, 2009.</w:t>
      </w:r>
    </w:p>
    <w:p w14:paraId="78D3CA1C">
      <w:pPr>
        <w:spacing w:before="20" w:after="20" w:line="276" w:lineRule="auto"/>
        <w:ind w:left="360" w:hanging="360"/>
        <w:jc w:val="left"/>
      </w:pPr>
      <w:r>
        <w:rPr>
          <w:rFonts w:ascii="Times New Roman" w:hAnsi="Times New Roman" w:eastAsia="宋体" w:cs="Times New Roman"/>
          <w:b w:val="0"/>
          <w:i w:val="0"/>
          <w:sz w:val="18"/>
        </w:rPr>
        <w:t>[2] XI Z, CHEN W, GUO X, et al. The rise and potential of large language model based agents: A survey[J]. arXiv preprint arXiv:2309.07864, 2023.</w:t>
      </w:r>
    </w:p>
    <w:p w14:paraId="7C156629">
      <w:pPr>
        <w:spacing w:before="20" w:after="20" w:line="276" w:lineRule="auto"/>
        <w:ind w:left="360" w:hanging="360"/>
        <w:jc w:val="left"/>
      </w:pPr>
      <w:r>
        <w:rPr>
          <w:rFonts w:ascii="Times New Roman" w:hAnsi="Times New Roman" w:eastAsia="宋体" w:cs="Times New Roman"/>
          <w:b w:val="0"/>
          <w:i w:val="0"/>
          <w:sz w:val="18"/>
        </w:rPr>
        <w:t>[3] THIRUNAVUKARASU A J, TING D S J, ELSANGAKY K, et al. Large language models in medicine[J]. Nature Medicine, 2023, 29(7): 1630-1640.</w:t>
      </w:r>
    </w:p>
    <w:p w14:paraId="763BC257">
      <w:pPr>
        <w:spacing w:before="20" w:after="20" w:line="276" w:lineRule="auto"/>
        <w:ind w:left="360" w:hanging="360"/>
        <w:jc w:val="left"/>
      </w:pPr>
      <w:r>
        <w:rPr>
          <w:rFonts w:ascii="Times New Roman" w:hAnsi="Times New Roman" w:eastAsia="宋体" w:cs="Times New Roman"/>
          <w:b w:val="0"/>
          <w:i w:val="0"/>
          <w:sz w:val="18"/>
        </w:rPr>
        <w:t>[4] TANG X, ZOU K, CHEN Z, et al. Med-agents: Large language models as collaborators for zero-shot clinical reasoning[J]. arXiv preprint arXiv:2311.10537, 2023.</w:t>
      </w:r>
    </w:p>
    <w:p w14:paraId="548FE1E4">
      <w:pPr>
        <w:spacing w:before="20" w:after="20" w:line="276" w:lineRule="auto"/>
        <w:ind w:left="360" w:hanging="360"/>
        <w:jc w:val="left"/>
      </w:pPr>
      <w:r>
        <w:rPr>
          <w:rFonts w:ascii="Times New Roman" w:hAnsi="Times New Roman" w:eastAsia="宋体" w:cs="Times New Roman"/>
          <w:b w:val="0"/>
          <w:i w:val="0"/>
          <w:sz w:val="18"/>
        </w:rPr>
        <w:t>[5] SINGHAL K, AZIZI S, TU T, et al. Large language models encode clinical knowledge[J]. Nature, 2023, 620(7972): 172-180.</w:t>
      </w:r>
    </w:p>
    <w:p w14:paraId="332D786C">
      <w:pPr>
        <w:spacing w:before="20" w:after="20" w:line="276" w:lineRule="auto"/>
        <w:ind w:left="360" w:hanging="360"/>
        <w:jc w:val="left"/>
      </w:pPr>
      <w:r>
        <w:rPr>
          <w:rFonts w:ascii="Times New Roman" w:hAnsi="Times New Roman" w:eastAsia="宋体" w:cs="Times New Roman"/>
          <w:b w:val="0"/>
          <w:i w:val="0"/>
          <w:sz w:val="18"/>
        </w:rPr>
        <w:t>[6] YANG R, DU M, HU X, et al. Large language models in healthcare: A survey of methods, applications, and challenges[J]. IEEE Transactions on Knowledge and Data Engineering, 2024.</w:t>
      </w:r>
    </w:p>
    <w:p w14:paraId="1DF5AAB5">
      <w:pPr>
        <w:spacing w:before="20" w:after="20" w:line="276" w:lineRule="auto"/>
        <w:ind w:left="360" w:hanging="360"/>
        <w:jc w:val="left"/>
      </w:pPr>
      <w:r>
        <w:rPr>
          <w:rFonts w:ascii="Times New Roman" w:hAnsi="Times New Roman" w:eastAsia="宋体" w:cs="Times New Roman"/>
          <w:b w:val="0"/>
          <w:i w:val="0"/>
          <w:sz w:val="18"/>
        </w:rPr>
        <w:t>[7] SUN Y W, OCHIAI H, ESAKI H. Decentralized deep learning for multi-access edge computing: A survey on communication efficiency and trustworthiness[J]. IEEE Transactions on Artificial Intelligence, 2021, 3(6): 963-972.</w:t>
      </w:r>
    </w:p>
    <w:p w14:paraId="7E352D94">
      <w:pPr>
        <w:spacing w:before="20" w:after="20" w:line="276" w:lineRule="auto"/>
        <w:ind w:left="360" w:hanging="360"/>
        <w:jc w:val="left"/>
      </w:pPr>
      <w:r>
        <w:rPr>
          <w:rFonts w:ascii="Times New Roman" w:hAnsi="Times New Roman" w:eastAsia="宋体" w:cs="Times New Roman"/>
          <w:b w:val="0"/>
          <w:i w:val="0"/>
          <w:sz w:val="18"/>
        </w:rPr>
        <w:t>[8] CHEN J, WANG X, ZHANG L, et al. Graph-of-Spread: Exploring causal reasoning graphs for multi-agent medical diagnosis[C]// Proceedings of the International Conference on Learning Representations (ICLR), 2024.</w:t>
      </w:r>
    </w:p>
    <w:p w14:paraId="287C73A8">
      <w:pPr>
        <w:spacing w:before="20" w:after="20" w:line="276" w:lineRule="auto"/>
        <w:ind w:left="360" w:hanging="360"/>
        <w:jc w:val="left"/>
      </w:pPr>
      <w:r>
        <w:rPr>
          <w:rFonts w:ascii="Times New Roman" w:hAnsi="Times New Roman" w:eastAsia="宋体" w:cs="Times New Roman"/>
          <w:b w:val="0"/>
          <w:i w:val="0"/>
          <w:sz w:val="18"/>
        </w:rPr>
        <w:t>[9] JI Z, LEE N, FRIESKE R, et al. Survey of hallucination in natural language generation[J]. ACM Computing Surveys, 2023, 55(12): 1-38.</w:t>
      </w:r>
    </w:p>
    <w:p w14:paraId="39A1995B">
      <w:pPr>
        <w:spacing w:before="20" w:after="20" w:line="276" w:lineRule="auto"/>
        <w:ind w:left="360" w:hanging="360"/>
        <w:jc w:val="left"/>
      </w:pPr>
      <w:r>
        <w:rPr>
          <w:rFonts w:ascii="Times New Roman" w:hAnsi="Times New Roman" w:eastAsia="宋体" w:cs="Times New Roman"/>
          <w:b w:val="0"/>
          <w:i w:val="0"/>
          <w:sz w:val="18"/>
        </w:rPr>
        <w:t>[10] GRESHAKE K, ABDELNABI S, MISHRA S, et al. Not what you've signed up for: Compromising real-world llm-integrated applications with indirect prompt injection[C]// Proceedings of the 16th ACM Workshop on Artificial Intelligence and Security, 2023: 79-90.</w:t>
      </w:r>
    </w:p>
    <w:p w14:paraId="05D4785B">
      <w:pPr>
        <w:spacing w:before="20" w:after="20" w:line="276" w:lineRule="auto"/>
        <w:ind w:left="360" w:hanging="360"/>
        <w:jc w:val="left"/>
      </w:pPr>
      <w:r>
        <w:rPr>
          <w:rFonts w:ascii="Times New Roman" w:hAnsi="Times New Roman" w:eastAsia="宋体" w:cs="Times New Roman"/>
          <w:b w:val="0"/>
          <w:i w:val="0"/>
          <w:sz w:val="18"/>
        </w:rPr>
        <w:t>[11] SHINN N, CASSONO F, GUAN B, et al. Reflexion: Language agents with verbal reinforcement learning[C]// Advances in Neural Information Processing Systems (NeurIPS), 2023, 36: 8634-8652.</w:t>
      </w:r>
    </w:p>
    <w:p w14:paraId="48B8AAE3">
      <w:pPr>
        <w:spacing w:before="20" w:after="20" w:line="276" w:lineRule="auto"/>
        <w:ind w:left="360" w:hanging="360"/>
        <w:jc w:val="left"/>
      </w:pPr>
      <w:r>
        <w:rPr>
          <w:rFonts w:ascii="Times New Roman" w:hAnsi="Times New Roman" w:eastAsia="宋体" w:cs="Times New Roman"/>
          <w:b w:val="0"/>
          <w:i w:val="0"/>
          <w:sz w:val="18"/>
        </w:rPr>
        <w:t>[12] ZHAO L, LIN Z, CHEN D, et al. Memory-augmented large language model agents: A survey[J]. arXiv preprint arXiv:2407.03212, 2024.</w:t>
      </w:r>
    </w:p>
    <w:p w14:paraId="2E772C5A">
      <w:pPr>
        <w:spacing w:before="20" w:after="20" w:line="276" w:lineRule="auto"/>
        <w:ind w:left="360" w:hanging="360"/>
        <w:jc w:val="left"/>
      </w:pPr>
      <w:r>
        <w:rPr>
          <w:rFonts w:ascii="Times New Roman" w:hAnsi="Times New Roman" w:eastAsia="宋体" w:cs="Times New Roman"/>
          <w:b w:val="0"/>
          <w:i w:val="0"/>
          <w:sz w:val="18"/>
        </w:rPr>
        <w:t>[13] SINGHAL K, TU T, GOTTWEIS J, et al. Towards expert-level medical question answering with large language models[J]. Nature Medicine, 2023, 29(8): 1978-1984.</w:t>
      </w:r>
    </w:p>
    <w:p w14:paraId="138B84CF">
      <w:pPr>
        <w:spacing w:before="20" w:after="20" w:line="276" w:lineRule="auto"/>
        <w:ind w:left="360" w:hanging="360"/>
        <w:jc w:val="left"/>
      </w:pPr>
      <w:r>
        <w:rPr>
          <w:rFonts w:ascii="Times New Roman" w:hAnsi="Times New Roman" w:eastAsia="宋体" w:cs="Times New Roman"/>
          <w:b w:val="0"/>
          <w:i w:val="0"/>
          <w:sz w:val="18"/>
        </w:rPr>
        <w:t>[14] ZHANG H, CHEN J, JIANG F, et al. HuatuoGPT-II, one-stage training for medical large language models[J]. arXiv preprint arXiv:2311.09774, 2023.</w:t>
      </w:r>
    </w:p>
    <w:p w14:paraId="747834B0">
      <w:pPr>
        <w:spacing w:before="20" w:after="20" w:line="276" w:lineRule="auto"/>
        <w:ind w:left="360" w:hanging="360"/>
        <w:jc w:val="left"/>
      </w:pPr>
      <w:r>
        <w:rPr>
          <w:rFonts w:ascii="Times New Roman" w:hAnsi="Times New Roman" w:eastAsia="宋体" w:cs="Times New Roman"/>
          <w:b w:val="0"/>
          <w:i w:val="0"/>
          <w:sz w:val="18"/>
        </w:rPr>
        <w:t>[15] DU Y, LI S, TORRALBA A, et al. Improving factuality and reasoning in language models through multiagent debate[J]. arXiv preprint arXiv:2305.14325, 2023.</w:t>
      </w:r>
    </w:p>
    <w:p w14:paraId="33443F9E">
      <w:pPr>
        <w:spacing w:before="20" w:after="20" w:line="276" w:lineRule="auto"/>
        <w:ind w:left="360" w:hanging="360"/>
        <w:jc w:val="left"/>
      </w:pPr>
      <w:r>
        <w:rPr>
          <w:rFonts w:ascii="Times New Roman" w:hAnsi="Times New Roman" w:eastAsia="宋体" w:cs="Times New Roman"/>
          <w:b w:val="0"/>
          <w:i w:val="0"/>
          <w:sz w:val="18"/>
        </w:rPr>
        <w:t>[16] LI J, WANG S, ZHANG C, et al. AgentHospital: A simulated hospital with evolvable medical agents[J]. arXiv preprint arXiv:2405.02957, 2024.</w:t>
      </w:r>
    </w:p>
    <w:p w14:paraId="02F63139">
      <w:pPr>
        <w:spacing w:before="20" w:after="20" w:line="276" w:lineRule="auto"/>
        <w:ind w:left="360" w:hanging="360"/>
        <w:jc w:val="left"/>
      </w:pPr>
      <w:r>
        <w:rPr>
          <w:rFonts w:ascii="Times New Roman" w:hAnsi="Times New Roman" w:eastAsia="宋体" w:cs="Times New Roman"/>
          <w:b w:val="0"/>
          <w:i w:val="0"/>
          <w:sz w:val="18"/>
        </w:rPr>
        <w:t>[17] OPENTELEMETRY AUTHORS. OpenTelemetry: High-quality, ubiquitous, and portable telemetry to enable effective observability[EB/OL]. https://opentelemetry.io, 2023.</w:t>
      </w:r>
    </w:p>
    <w:p w14:paraId="66D8A0F8">
      <w:pPr>
        <w:spacing w:before="20" w:after="20" w:line="276" w:lineRule="auto"/>
        <w:ind w:left="360" w:hanging="360"/>
        <w:jc w:val="left"/>
      </w:pPr>
      <w:r>
        <w:rPr>
          <w:rFonts w:ascii="Times New Roman" w:hAnsi="Times New Roman" w:eastAsia="宋体" w:cs="Times New Roman"/>
          <w:b w:val="0"/>
          <w:i w:val="0"/>
          <w:sz w:val="18"/>
        </w:rPr>
        <w:t>[18] MOREAU L, MISSIER P, BELHAJAME K, et al. The PROV data model and its applications to scientific workflow provenance[J]. ACM Transactions on Internet Technology, 2013, 12(4): 1-28.</w:t>
      </w:r>
    </w:p>
    <w:p w14:paraId="4DDC28E1">
      <w:pPr>
        <w:spacing w:before="20" w:after="20" w:line="276" w:lineRule="auto"/>
        <w:ind w:left="360" w:hanging="360"/>
        <w:jc w:val="left"/>
      </w:pPr>
      <w:r>
        <w:rPr>
          <w:rFonts w:ascii="Times New Roman" w:hAnsi="Times New Roman" w:eastAsia="宋体" w:cs="Times New Roman"/>
          <w:b w:val="0"/>
          <w:i w:val="0"/>
          <w:sz w:val="18"/>
        </w:rPr>
        <w:t>[19] SCHAERER N, GASSMANN B, HEUSER S. Auditing autonomous agents: Traceability, explainability, and liability[J]. IEEE Security &amp; Privacy, 2023, 21(5): 42-51.</w:t>
      </w:r>
    </w:p>
    <w:p w14:paraId="0EA3D79A">
      <w:pPr>
        <w:spacing w:before="20" w:after="20" w:line="276" w:lineRule="auto"/>
        <w:ind w:left="360" w:hanging="360"/>
        <w:jc w:val="left"/>
      </w:pPr>
      <w:r>
        <w:rPr>
          <w:rFonts w:ascii="Times New Roman" w:hAnsi="Times New Roman" w:eastAsia="宋体" w:cs="Times New Roman"/>
          <w:b w:val="0"/>
          <w:i w:val="0"/>
          <w:sz w:val="18"/>
        </w:rPr>
        <w:t>[20] CHEN L, ZAHARIA M. FrugalGPT: How to use large language models while reducing cost and damage[J]. arXiv preprint arXiv:2305.05176, 2023.</w:t>
      </w:r>
    </w:p>
    <w:p w14:paraId="3223F618">
      <w:pPr>
        <w:spacing w:before="20" w:after="20" w:line="276" w:lineRule="auto"/>
        <w:ind w:left="360" w:hanging="360"/>
        <w:jc w:val="left"/>
      </w:pPr>
      <w:r>
        <w:rPr>
          <w:rFonts w:ascii="Times New Roman" w:hAnsi="Times New Roman" w:eastAsia="宋体" w:cs="Times New Roman"/>
          <w:b w:val="0"/>
          <w:i w:val="0"/>
          <w:sz w:val="18"/>
        </w:rPr>
        <w:t>[21] BATES A M, TIAN D, BUTLER K R, et al. Trustworthy whole-system provenance for the Linux kernel[C]// 24th USENIX Security Symposium, 2015: 319-334.</w:t>
      </w:r>
    </w:p>
    <w:p w14:paraId="7D20139C">
      <w:pPr>
        <w:spacing w:before="20" w:after="20" w:line="276" w:lineRule="auto"/>
        <w:ind w:left="360" w:hanging="360"/>
        <w:jc w:val="left"/>
      </w:pPr>
      <w:r>
        <w:rPr>
          <w:rFonts w:ascii="Times New Roman" w:hAnsi="Times New Roman" w:eastAsia="宋体" w:cs="Times New Roman"/>
          <w:b w:val="0"/>
          <w:i w:val="0"/>
          <w:sz w:val="18"/>
        </w:rPr>
        <w:t>[22] WANG G, XIE Y, JIANG Y, et al. Voyager: An open-ended embodied agent with large language models[J]. arXiv preprint arXiv:2305.16291, 2023.</w:t>
      </w:r>
    </w:p>
    <w:p w14:paraId="61656E9B">
      <w:pPr>
        <w:spacing w:before="20" w:after="20" w:line="276" w:lineRule="auto"/>
        <w:ind w:left="360" w:hanging="360"/>
        <w:jc w:val="left"/>
      </w:pPr>
      <w:r>
        <w:rPr>
          <w:rFonts w:ascii="Times New Roman" w:hAnsi="Times New Roman" w:eastAsia="宋体" w:cs="Times New Roman"/>
          <w:b w:val="0"/>
          <w:i w:val="0"/>
          <w:sz w:val="18"/>
        </w:rPr>
        <w:t>[23] PARK J S, O'BRIEN J C, CAI C J, et al. Generative agents: Interactive simulacra of human behavior[C]// Proceedings of the 36th Annual ACM Symposium on User Interface Software and Technology, 2023: 1-22.</w:t>
      </w:r>
    </w:p>
    <w:p w14:paraId="37A14CEB">
      <w:pPr>
        <w:spacing w:before="20" w:after="20" w:line="276" w:lineRule="auto"/>
        <w:ind w:left="360" w:hanging="360"/>
        <w:jc w:val="left"/>
      </w:pPr>
      <w:r>
        <w:rPr>
          <w:rFonts w:ascii="Times New Roman" w:hAnsi="Times New Roman" w:eastAsia="宋体" w:cs="Times New Roman"/>
          <w:b w:val="0"/>
          <w:i w:val="0"/>
          <w:sz w:val="18"/>
        </w:rPr>
        <w:t>[24] PACKER C, WOODERS S, LIN K, et al. MemGPT: Towards LLMs as operating systems[J]. arXiv preprint arXiv:2310.08560, 2023.</w:t>
      </w:r>
    </w:p>
    <w:p w14:paraId="3C7A2D60">
      <w:pPr>
        <w:spacing w:before="20" w:after="20" w:line="276" w:lineRule="auto"/>
        <w:ind w:left="360" w:hanging="360"/>
        <w:jc w:val="left"/>
      </w:pPr>
      <w:r>
        <w:rPr>
          <w:rFonts w:ascii="Times New Roman" w:hAnsi="Times New Roman" w:eastAsia="宋体" w:cs="Times New Roman"/>
          <w:b w:val="0"/>
          <w:i w:val="0"/>
          <w:sz w:val="18"/>
        </w:rPr>
        <w:t>[25] WANG L, LIU X, LIU J, et al. ClinRead: A retrieval-augmented clinical reading comprehension system[J]. Journal of Biomedical Informatics, 2023, 142: 104381.</w:t>
      </w:r>
    </w:p>
    <w:p w14:paraId="286F7D42">
      <w:pPr>
        <w:spacing w:before="20" w:after="20" w:line="276" w:lineRule="auto"/>
        <w:ind w:left="360" w:hanging="360"/>
        <w:jc w:val="left"/>
      </w:pPr>
      <w:r>
        <w:rPr>
          <w:rFonts w:ascii="Times New Roman" w:hAnsi="Times New Roman" w:eastAsia="宋体" w:cs="Times New Roman"/>
          <w:b w:val="0"/>
          <w:i w:val="0"/>
          <w:sz w:val="18"/>
        </w:rPr>
        <w:t>[26] AZAMFIREI R, KUDCHADKAR S R, FACKLER J. Large language models and the present and future of clinical medicine[J]. npj Digital Medicine, 2023, 6(1): 80.</w:t>
      </w:r>
    </w:p>
    <w:p w14:paraId="76963D37">
      <w:pPr>
        <w:spacing w:before="20" w:after="20" w:line="276" w:lineRule="auto"/>
        <w:ind w:left="360" w:hanging="360"/>
        <w:jc w:val="left"/>
      </w:pPr>
      <w:r>
        <w:rPr>
          <w:rFonts w:ascii="Times New Roman" w:hAnsi="Times New Roman" w:eastAsia="宋体" w:cs="Times New Roman"/>
          <w:b w:val="0"/>
          <w:i w:val="0"/>
          <w:sz w:val="18"/>
        </w:rPr>
        <w:t>[27] LEWIS P, PEREZ E, PIKTUS A, et al. Retrieval-augmented generation for knowledge-intensive nlp tasks[C]// Advances in Neural Information Processing Systems (NeurIPS), 2020, 33: 9459-9474.</w:t>
      </w:r>
    </w:p>
    <w:p w14:paraId="0752C18B">
      <w:pPr>
        <w:spacing w:before="20" w:after="20" w:line="276" w:lineRule="auto"/>
        <w:ind w:left="360" w:hanging="360"/>
        <w:jc w:val="left"/>
      </w:pPr>
      <w:r>
        <w:rPr>
          <w:rFonts w:ascii="Times New Roman" w:hAnsi="Times New Roman" w:eastAsia="宋体" w:cs="Times New Roman"/>
          <w:b w:val="0"/>
          <w:i w:val="0"/>
          <w:sz w:val="18"/>
        </w:rPr>
        <w:t>[28] WANG X, WEI J, SCHUURMANS D, et al. Self-consistency improves chain of thought reasoning in language models[C]// International Conference on Learning Representations (ICLR), 2023.</w:t>
      </w:r>
    </w:p>
    <w:p w14:paraId="46CACE78">
      <w:pPr>
        <w:spacing w:before="20" w:after="20" w:line="276" w:lineRule="auto"/>
        <w:ind w:left="360" w:hanging="360"/>
        <w:jc w:val="left"/>
      </w:pPr>
      <w:r>
        <w:rPr>
          <w:rFonts w:ascii="Times New Roman" w:hAnsi="Times New Roman" w:eastAsia="宋体" w:cs="Times New Roman"/>
          <w:b w:val="0"/>
          <w:i w:val="0"/>
          <w:sz w:val="18"/>
        </w:rPr>
        <w:t>[29] REVIOL S, PAVLIK J, REICHEL C. Guardrails for LLMs in high-stakes domains: A survey of validation and verification methods[J]. ACM Computing Surveys, 2024.</w:t>
      </w:r>
    </w:p>
    <w:sectPr>
      <w:pgSz w:w="11909" w:h="16834"/>
      <w:pgMar w:top="1440" w:right="1584" w:bottom="1440" w:left="158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Arial">
    <w:panose1 w:val="020B0604020202090204"/>
    <w:charset w:val="00"/>
    <w:family w:val="auto"/>
    <w:pitch w:val="default"/>
    <w:sig w:usb0="E0000AFF" w:usb1="00007843" w:usb2="00000001" w:usb3="00000000" w:csb0="400001BF" w:csb1="DFF70000"/>
  </w:font>
  <w:font w:name="Cambria Math">
    <w:altName w:val="Kingsoft Math"/>
    <w:panose1 w:val="00000000000000000000"/>
    <w:charset w:val="00"/>
    <w:family w:val="auto"/>
    <w:pitch w:val="default"/>
    <w:sig w:usb0="00000000" w:usb1="00000000" w:usb2="00000000" w:usb3="00000000" w:csb0="00000000" w:csb1="00000000"/>
  </w:font>
  <w:font w:name="KaiTi">
    <w:altName w:val="汉仪楷体KW"/>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Kingsoft Math">
    <w:panose1 w:val="02040503050406030204"/>
    <w:charset w:val="00"/>
    <w:family w:val="auto"/>
    <w:pitch w:val="default"/>
    <w:sig w:usb0="80000087" w:usb1="00002068" w:usb2="00000000" w:usb3="00000000" w:csb0="2000019F"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汉仪楷体KW">
    <w:panose1 w:val="00020600040101010101"/>
    <w:charset w:val="86"/>
    <w:family w:val="auto"/>
    <w:pitch w:val="default"/>
    <w:sig w:usb0="A00002BF" w:usb1="18EF7CFA" w:usb2="00000016"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B4F3AEE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957</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Freddie.</cp:lastModifiedBy>
  <dcterms:modified xsi:type="dcterms:W3CDTF">2026-09-22T09:12:04Z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59B7D7366E116790E4D5B16AF6A6021D_42</vt:lpwstr>
  </property>
</Properties>
</file>