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b/>
          <w:bCs/>
          <w:color w:val="1B3A5C"/>
          <w:sz w:val="56"/>
          <w:szCs w:val="56"/>
        </w:rPr>
        <w:t xml:space="preserve">BUBBLEFISH</w:t>
      </w:r>
    </w:p>
    <w:p>
      <w:pPr>
        <w:spacing w:after="100"/>
        <w:jc w:val="center"/>
      </w:pPr>
      <w:r>
        <w:rPr>
          <w:rFonts w:ascii="Arial" w:cs="Arial" w:eastAsia="Arial" w:hAnsi="Arial"/>
          <w:color w:val="2E5984"/>
          <w:sz w:val="32"/>
          <w:szCs w:val="32"/>
        </w:rPr>
        <w:t xml:space="preserve">Strategic Redesign: Four-Version Split</w:t>
      </w:r>
    </w:p>
    <w:p>
      <w:pPr>
        <w:spacing w:after="100"/>
        <w:jc w:val="center"/>
      </w:pPr>
      <w:r>
        <w:rPr>
          <w:rFonts w:ascii="Arial" w:cs="Arial" w:eastAsia="Arial" w:hAnsi="Arial"/>
          <w:color w:val="666666"/>
          <w:sz w:val="28"/>
          <w:szCs w:val="28"/>
        </w:rPr>
        <w:t xml:space="preserve">With Honest Enforcement Analysis</w:t>
      </w:r>
    </w:p>
    <w:p>
      <w:pPr>
        <w:spacing w:after="400"/>
        <w:jc w:val="center"/>
      </w:pPr>
      <w:r>
        <w:rPr>
          <w:rFonts w:ascii="Arial" w:cs="Arial" w:eastAsia="Arial" w:hAnsi="Arial"/>
          <w:color w:val="888888"/>
          <w:sz w:val="22"/>
          <w:szCs w:val="22"/>
        </w:rPr>
        <w:t xml:space="preserve">March 29, 2026</w:t>
      </w:r>
    </w:p>
    <w:p>
      <w:pPr>
        <w:pBdr>
          <w:bottom w:val="single" w:color="1B3A5C" w:sz="6" w:space="1"/>
        </w:pBdr>
        <w:spacing w:after="200"/>
        <w:jc w:val="center"/>
      </w:pPr>
      <w:r>
        <w:rPr>
          <w:rFonts w:ascii="Arial" w:cs="Arial" w:eastAsia="Arial" w:hAnsi="Arial"/>
          <w:color w:val="444444"/>
          <w:sz w:val="22"/>
          <w:szCs w:val="22"/>
        </w:rPr>
        <w:t xml:space="preserve">Shawn Sammartano | Sole Inventor &amp; Developer</w:t>
      </w:r>
    </w:p>
    <w:p>
      <w:pPr>
        <w:spacing w:before="400"/>
      </w:pPr>
    </w:p>
    <w:p>
      <w:pPr>
        <w:jc w:val="center"/>
      </w:pPr>
      <w:r>
        <w:rPr>
          <w:rFonts w:ascii="Arial" w:cs="Arial" w:eastAsia="Arial" w:hAnsi="Arial"/>
          <w:i/>
          <w:iCs/>
          <w:color w:val="CC0000"/>
          <w:sz w:val="20"/>
          <w:szCs w:val="20"/>
        </w:rPr>
        <w:t xml:space="preserve">OPERATING PRINCIPLE: Every claim in this document is backed by a named enforcement mechanism. If enforcement cannot be proven, the design is marked as partial-control or observability-only.</w:t>
      </w:r>
    </w:p>
    <w:p>
      <w:r>
        <w:br w:type="page"/>
      </w:r>
    </w:p>
    <w:p>
      <w:pPr>
        <w:pStyle w:val="Heading1"/>
      </w:pPr>
      <w:r>
        <w:t xml:space="preserve">1. Current State of BubbleFish</w:t>
      </w:r>
    </w:p>
    <w:p>
      <w:pPr>
        <w:pStyle w:val="Heading2"/>
      </w:pPr>
      <w:r>
        <w:t xml:space="preserve">1.1 What Is Actually Built (Phases 0-4)</w:t>
      </w:r>
    </w:p>
    <w:p>
      <w:pPr>
        <w:spacing w:after="120"/>
      </w:pPr>
      <w:r>
        <w:rPr>
          <w:rFonts w:ascii="Arial" w:cs="Arial" w:eastAsia="Arial" w:hAnsi="Arial"/>
          <w:sz w:val="22"/>
          <w:szCs w:val="22"/>
        </w:rPr>
        <w:t xml:space="preserve">The following Go packages exist on disk, pass go build, go vet, and go test -race: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60"/>
      </w:tblGrid>
      <w:tr>
        <w:tc>
          <w:tcPr>
            <w:tcW w:type="dxa" w:w="3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3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1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cmd/bubblefish/main.go</w:t>
            </w:r>
          </w:p>
        </w:tc>
        <w:tc>
          <w:tcPr>
            <w:tcW w:type="dxa" w:w="31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CLI: init, build, daemon, doctor, version</w:t>
            </w:r>
          </w:p>
        </w:tc>
        <w:tc>
          <w:tcPr>
            <w:tcW w:type="dxa" w:w="31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b/>
                <w:bCs/>
                <w:color w:val="00802b"/>
                <w:sz w:val="20"/>
                <w:szCs w:val="20"/>
              </w:rPr>
              <w:t xml:space="preserve">BUILT</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internal/config</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TOML config parsing, daemon config structs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02b"/>
                <w:sz w:val="20"/>
                <w:szCs w:val="20"/>
              </w:rPr>
              <w:t xml:space="preserve">BUILT</w:t>
            </w:r>
          </w:p>
        </w:tc>
      </w:tr>
      <w:tr>
        <w:tc>
          <w:tcPr>
            <w:tcW w:type="dxa" w:w="31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internal/build</w:t>
            </w:r>
          </w:p>
        </w:tc>
        <w:tc>
          <w:tcPr>
            <w:tcW w:type="dxa" w:w="31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Compiler + validator: TOML to compiled JSON</w:t>
            </w:r>
          </w:p>
        </w:tc>
        <w:tc>
          <w:tcPr>
            <w:tcW w:type="dxa" w:w="31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b/>
                <w:bCs/>
                <w:color w:val="00802b"/>
                <w:sz w:val="20"/>
                <w:szCs w:val="20"/>
              </w:rPr>
              <w:t xml:space="preserve">BUILT</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internal/daemon</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server, handlers, middleware, graceful shutdown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02b"/>
                <w:sz w:val="20"/>
                <w:szCs w:val="20"/>
              </w:rPr>
              <w:t xml:space="preserve">BUILT</w:t>
            </w:r>
          </w:p>
        </w:tc>
      </w:tr>
      <w:tr>
        <w:tc>
          <w:tcPr>
            <w:tcW w:type="dxa" w:w="31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internal/wal</w:t>
            </w:r>
          </w:p>
        </w:tc>
        <w:tc>
          <w:tcPr>
            <w:tcW w:type="dxa" w:w="31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Append-only JSONL WAL, replay, rotation</w:t>
            </w:r>
          </w:p>
        </w:tc>
        <w:tc>
          <w:tcPr>
            <w:tcW w:type="dxa" w:w="31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b/>
                <w:bCs/>
                <w:color w:val="00802b"/>
                <w:sz w:val="20"/>
                <w:szCs w:val="20"/>
              </w:rPr>
              <w:t xml:space="preserve">BUILT</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internal/queue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Per-dest buffered channels, workers, circuit breaker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02b"/>
                <w:sz w:val="20"/>
                <w:szCs w:val="20"/>
              </w:rPr>
              <w:t xml:space="preserve">BUILT</w:t>
            </w:r>
          </w:p>
        </w:tc>
      </w:tr>
      <w:tr>
        <w:tc>
          <w:tcPr>
            <w:tcW w:type="dxa" w:w="31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internal/transform</w:t>
            </w:r>
          </w:p>
        </w:tc>
        <w:tc>
          <w:tcPr>
            <w:tcW w:type="dxa" w:w="31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Field mapping engine, parser, functions</w:t>
            </w:r>
          </w:p>
        </w:tc>
        <w:tc>
          <w:tcPr>
            <w:tcW w:type="dxa" w:w="31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b/>
                <w:bCs/>
                <w:color w:val="00802b"/>
                <w:sz w:val="20"/>
                <w:szCs w:val="20"/>
              </w:rPr>
              <w:t xml:space="preserve">BUILT</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internal/routing</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Source-to-destination mapper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02b"/>
                <w:sz w:val="20"/>
                <w:szCs w:val="20"/>
              </w:rPr>
              <w:t xml:space="preserve">BUILT</w:t>
            </w:r>
          </w:p>
        </w:tc>
      </w:tr>
      <w:tr>
        <w:tc>
          <w:tcPr>
            <w:tcW w:type="dxa" w:w="31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internal/security</w:t>
            </w:r>
          </w:p>
        </w:tc>
        <w:tc>
          <w:tcPr>
            <w:tcW w:type="dxa" w:w="31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API key auth middleware</w:t>
            </w:r>
          </w:p>
        </w:tc>
        <w:tc>
          <w:tcPr>
            <w:tcW w:type="dxa" w:w="31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b/>
                <w:bCs/>
                <w:color w:val="00802b"/>
                <w:sz w:val="20"/>
                <w:szCs w:val="20"/>
              </w:rPr>
              <w:t xml:space="preserve">BUILT</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internal/idempotency</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Dedup store with TTL window</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02b"/>
                <w:sz w:val="20"/>
                <w:szCs w:val="20"/>
              </w:rPr>
              <w:t xml:space="preserve">BUILT</w:t>
            </w:r>
          </w:p>
        </w:tc>
      </w:tr>
      <w:tr>
        <w:tc>
          <w:tcPr>
            <w:tcW w:type="dxa" w:w="31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internal/presenter</w:t>
            </w:r>
          </w:p>
        </w:tc>
        <w:tc>
          <w:tcPr>
            <w:tcW w:type="dxa" w:w="31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Outbound field filtering on read path</w:t>
            </w:r>
          </w:p>
        </w:tc>
        <w:tc>
          <w:tcPr>
            <w:tcW w:type="dxa" w:w="31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b/>
                <w:bCs/>
                <w:color w:val="00802b"/>
                <w:sz w:val="20"/>
                <w:szCs w:val="20"/>
              </w:rPr>
              <w:t xml:space="preserve">BUILT</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internal/destination/sqlite.go</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modernc.org/sqlite pure-Go destination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02b"/>
                <w:sz w:val="20"/>
                <w:szCs w:val="20"/>
              </w:rPr>
              <w:t xml:space="preserve">BUILT</w:t>
            </w:r>
          </w:p>
        </w:tc>
      </w:tr>
      <w:tr>
        <w:tc>
          <w:tcPr>
            <w:tcW w:type="dxa" w:w="31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internal/destination/postgres.go</w:t>
            </w:r>
          </w:p>
        </w:tc>
        <w:tc>
          <w:tcPr>
            <w:tcW w:type="dxa" w:w="31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pgx/v5 connection pool, SSL required</w:t>
            </w:r>
          </w:p>
        </w:tc>
        <w:tc>
          <w:tcPr>
            <w:tcW w:type="dxa" w:w="31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b/>
                <w:bCs/>
                <w:color w:val="00802b"/>
                <w:sz w:val="20"/>
                <w:szCs w:val="20"/>
              </w:rPr>
              <w:t xml:space="preserve">BUILT</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internal/destination/openbrain.go</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REST API destination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02b"/>
                <w:sz w:val="20"/>
                <w:szCs w:val="20"/>
              </w:rPr>
              <w:t xml:space="preserve">BUILT</w:t>
            </w:r>
          </w:p>
        </w:tc>
      </w:tr>
      <w:tr>
        <w:tc>
          <w:tcPr>
            <w:tcW w:type="dxa" w:w="31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internal/destination/chromadb.go</w:t>
            </w:r>
          </w:p>
        </w:tc>
        <w:tc>
          <w:tcPr>
            <w:tcW w:type="dxa" w:w="31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ChromaDB REST API, vector validation</w:t>
            </w:r>
          </w:p>
        </w:tc>
        <w:tc>
          <w:tcPr>
            <w:tcW w:type="dxa" w:w="31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b/>
                <w:bCs/>
                <w:color w:val="00802b"/>
                <w:sz w:val="20"/>
                <w:szCs w:val="20"/>
              </w:rPr>
              <w:t xml:space="preserve">BUILT</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internal/observability/metrics.go</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Prometheus /metrics: 6 metric surfaces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02b"/>
                <w:sz w:val="20"/>
                <w:szCs w:val="20"/>
              </w:rPr>
              <w:t xml:space="preserve">BUILT</w:t>
            </w:r>
          </w:p>
        </w:tc>
      </w:tr>
      <w:tr>
        <w:tc>
          <w:tcPr>
            <w:tcW w:type="dxa" w:w="31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internal/doctor</w:t>
            </w:r>
          </w:p>
        </w:tc>
        <w:tc>
          <w:tcPr>
            <w:tcW w:type="dxa" w:w="31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Dest reachability, WAL, disk, ports, keys</w:t>
            </w:r>
          </w:p>
        </w:tc>
        <w:tc>
          <w:tcPr>
            <w:tcW w:type="dxa" w:w="31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b/>
                <w:bCs/>
                <w:color w:val="00802b"/>
                <w:sz w:val="20"/>
                <w:szCs w:val="20"/>
              </w:rPr>
              <w:t xml:space="preserve">BUILT</w:t>
            </w:r>
          </w:p>
        </w:tc>
      </w:tr>
    </w:tbl>
    <w:p>
      <w:pPr>
        <w:spacing w:before="200"/>
      </w:pPr>
    </w:p>
    <w:p>
      <w:pPr>
        <w:pStyle w:val="Heading2"/>
      </w:pPr>
      <w:r>
        <w:t xml:space="preserve">1.2 What Is Designed But Not Built</w:t>
      </w:r>
    </w:p>
    <w:p>
      <w:pPr>
        <w:spacing w:after="120"/>
      </w:pPr>
      <w:r>
        <w:rPr>
          <w:rFonts w:ascii="Arial" w:cs="Arial" w:eastAsia="Arial" w:hAnsi="Arial"/>
          <w:sz w:val="22"/>
          <w:szCs w:val="22"/>
        </w:rPr>
        <w:t xml:space="preserve">The following features exist in architecture documents and build plans but have zero Go code:</w:t>
      </w:r>
    </w:p>
    <w:p>
      <w:pPr>
        <w:pStyle w:val="ListParagraph"/>
        <w:numPr>
          <w:ilvl w:val="0"/>
          <w:numId w:val="2"/>
        </w:numPr>
        <w:spacing w:after="60"/>
      </w:pPr>
      <w:r>
        <w:rPr>
          <w:rFonts w:ascii="Arial" w:cs="Arial" w:eastAsia="Arial" w:hAnsi="Arial"/>
          <w:sz w:val="22"/>
          <w:szCs w:val="22"/>
        </w:rPr>
        <w:t xml:space="preserve">Raft consensus clustering (etcd Raft chosen over hashicorp/raft)</w:t>
      </w:r>
    </w:p>
    <w:p>
      <w:pPr>
        <w:pStyle w:val="ListParagraph"/>
        <w:numPr>
          <w:ilvl w:val="0"/>
          <w:numId w:val="2"/>
        </w:numPr>
        <w:spacing w:after="60"/>
      </w:pPr>
      <w:r>
        <w:rPr>
          <w:rFonts w:ascii="Arial" w:cs="Arial" w:eastAsia="Arial" w:hAnsi="Arial"/>
          <w:sz w:val="22"/>
          <w:szCs w:val="22"/>
        </w:rPr>
        <w:t xml:space="preserve">WAL encryption at rest with key management</w:t>
      </w:r>
    </w:p>
    <w:p>
      <w:pPr>
        <w:pStyle w:val="ListParagraph"/>
        <w:numPr>
          <w:ilvl w:val="0"/>
          <w:numId w:val="2"/>
        </w:numPr>
        <w:spacing w:after="60"/>
      </w:pPr>
      <w:r>
        <w:rPr>
          <w:rFonts w:ascii="Arial" w:cs="Arial" w:eastAsia="Arial" w:hAnsi="Arial"/>
          <w:sz w:val="22"/>
          <w:szCs w:val="22"/>
        </w:rPr>
        <w:t xml:space="preserve">RBAC with per-source/per-destination enforcement</w:t>
      </w:r>
    </w:p>
    <w:p>
      <w:pPr>
        <w:pStyle w:val="ListParagraph"/>
        <w:numPr>
          <w:ilvl w:val="0"/>
          <w:numId w:val="2"/>
        </w:numPr>
        <w:spacing w:after="60"/>
      </w:pPr>
      <w:r>
        <w:rPr>
          <w:rFonts w:ascii="Arial" w:cs="Arial" w:eastAsia="Arial" w:hAnsi="Arial"/>
          <w:sz w:val="22"/>
          <w:szCs w:val="22"/>
        </w:rPr>
        <w:t xml:space="preserve">SSO/SAML/OIDC/Entra ID/Okta integration</w:t>
      </w:r>
    </w:p>
    <w:p>
      <w:pPr>
        <w:pStyle w:val="ListParagraph"/>
        <w:numPr>
          <w:ilvl w:val="0"/>
          <w:numId w:val="2"/>
        </w:numPr>
        <w:spacing w:after="60"/>
      </w:pPr>
      <w:r>
        <w:rPr>
          <w:rFonts w:ascii="Arial" w:cs="Arial" w:eastAsia="Arial" w:hAnsi="Arial"/>
          <w:sz w:val="22"/>
          <w:szCs w:val="22"/>
        </w:rPr>
        <w:t xml:space="preserve">Automated retention policies and audit exports</w:t>
      </w:r>
    </w:p>
    <w:p>
      <w:pPr>
        <w:pStyle w:val="ListParagraph"/>
        <w:numPr>
          <w:ilvl w:val="0"/>
          <w:numId w:val="2"/>
        </w:numPr>
        <w:spacing w:after="60"/>
      </w:pPr>
      <w:r>
        <w:rPr>
          <w:rFonts w:ascii="Arial" w:cs="Arial" w:eastAsia="Arial" w:hAnsi="Arial"/>
          <w:sz w:val="22"/>
          <w:szCs w:val="22"/>
        </w:rPr>
        <w:t xml:space="preserve">Helm charts and Terraform modules</w:t>
      </w:r>
    </w:p>
    <w:p>
      <w:pPr>
        <w:pStyle w:val="ListParagraph"/>
        <w:numPr>
          <w:ilvl w:val="0"/>
          <w:numId w:val="2"/>
        </w:numPr>
        <w:spacing w:after="60"/>
      </w:pPr>
      <w:r>
        <w:rPr>
          <w:rFonts w:ascii="Arial" w:cs="Arial" w:eastAsia="Arial" w:hAnsi="Arial"/>
          <w:sz w:val="22"/>
          <w:szCs w:val="22"/>
        </w:rPr>
        <w:t xml:space="preserve">Sharded queues for multi-core scaling</w:t>
      </w:r>
    </w:p>
    <w:p>
      <w:pPr>
        <w:pStyle w:val="ListParagraph"/>
        <w:numPr>
          <w:ilvl w:val="0"/>
          <w:numId w:val="2"/>
        </w:numPr>
        <w:spacing w:after="60"/>
      </w:pPr>
      <w:r>
        <w:rPr>
          <w:rFonts w:ascii="Arial" w:cs="Arial" w:eastAsia="Arial" w:hAnsi="Arial"/>
          <w:sz w:val="22"/>
          <w:szCs w:val="22"/>
        </w:rPr>
        <w:t xml:space="preserve">TUI dashboard (Bubble Tea) and Web UI dashboard</w:t>
      </w:r>
    </w:p>
    <w:p>
      <w:pPr>
        <w:pStyle w:val="ListParagraph"/>
        <w:numPr>
          <w:ilvl w:val="0"/>
          <w:numId w:val="2"/>
        </w:numPr>
        <w:spacing w:after="60"/>
      </w:pPr>
      <w:r>
        <w:rPr>
          <w:rFonts w:ascii="Arial" w:cs="Arial" w:eastAsia="Arial" w:hAnsi="Arial"/>
          <w:sz w:val="22"/>
          <w:szCs w:val="22"/>
        </w:rPr>
        <w:t xml:space="preserve">Hot-reload config watching</w:t>
      </w:r>
    </w:p>
    <w:p>
      <w:pPr>
        <w:pStyle w:val="ListParagraph"/>
        <w:numPr>
          <w:ilvl w:val="0"/>
          <w:numId w:val="2"/>
        </w:numPr>
        <w:spacing w:after="60"/>
      </w:pPr>
      <w:r>
        <w:rPr>
          <w:rFonts w:ascii="Arial" w:cs="Arial" w:eastAsia="Arial" w:hAnsi="Arial"/>
          <w:sz w:val="22"/>
          <w:szCs w:val="22"/>
        </w:rPr>
        <w:t xml:space="preserve">Agentic workflow chaining</w:t>
      </w:r>
    </w:p>
    <w:p>
      <w:pPr>
        <w:pStyle w:val="ListParagraph"/>
        <w:numPr>
          <w:ilvl w:val="0"/>
          <w:numId w:val="2"/>
        </w:numPr>
        <w:spacing w:after="60"/>
      </w:pPr>
      <w:r>
        <w:rPr>
          <w:rFonts w:ascii="Arial" w:cs="Arial" w:eastAsia="Arial" w:hAnsi="Arial"/>
          <w:sz w:val="22"/>
          <w:szCs w:val="22"/>
        </w:rPr>
        <w:t xml:space="preserve">API Key Vault + Proxy for forced routing</w:t>
      </w:r>
    </w:p>
    <w:p>
      <w:pPr>
        <w:pStyle w:val="ListParagraph"/>
        <w:numPr>
          <w:ilvl w:val="0"/>
          <w:numId w:val="2"/>
        </w:numPr>
        <w:spacing w:after="60"/>
      </w:pPr>
      <w:r>
        <w:rPr>
          <w:rFonts w:ascii="Arial" w:cs="Arial" w:eastAsia="Arial" w:hAnsi="Arial"/>
          <w:sz w:val="22"/>
          <w:szCs w:val="22"/>
        </w:rPr>
        <w:t xml:space="preserve">Forward Proxy + TLS inspection</w:t>
      </w:r>
    </w:p>
    <w:p>
      <w:pPr>
        <w:pStyle w:val="ListParagraph"/>
        <w:numPr>
          <w:ilvl w:val="0"/>
          <w:numId w:val="2"/>
        </w:numPr>
        <w:spacing w:after="60"/>
      </w:pPr>
      <w:r>
        <w:rPr>
          <w:rFonts w:ascii="Arial" w:cs="Arial" w:eastAsia="Arial" w:hAnsi="Arial"/>
          <w:sz w:val="22"/>
          <w:szCs w:val="22"/>
        </w:rPr>
        <w:t xml:space="preserve">GPU-aware routing, billing events, multi-tenant GPU isolation</w:t>
      </w:r>
    </w:p>
    <w:p>
      <w:pPr>
        <w:spacing w:before="200"/>
      </w:pPr>
    </w:p>
    <w:p>
      <w:pPr>
        <w:pStyle w:val="Heading2"/>
      </w:pPr>
      <w:r>
        <w:t xml:space="preserve">1.3 What The Architecture Actually Does Today</w:t>
      </w:r>
    </w:p>
    <w:p>
      <w:pPr>
        <w:spacing w:after="120"/>
      </w:pPr>
      <w:r>
        <w:rPr>
          <w:rFonts w:ascii="Arial" w:cs="Arial" w:eastAsia="Arial" w:hAnsi="Arial"/>
          <w:sz w:val="22"/>
          <w:szCs w:val="22"/>
        </w:rPr>
        <w:t xml:space="preserve">BubbleFish is a voluntary-routing AI data persistence daemon. An application must be explicitly configured to send HTTP POSTs to BubbleFish. BubbleFish captures the payload, applies field mapping, persists to a WAL, queues the write, and delivers to one or more database destinations. It also serves read queries with optional Presenter Layer filtering.</w:t>
      </w:r>
    </w:p>
    <w:p>
      <w:pPr>
        <w:spacing w:after="120"/>
      </w:pPr>
      <w:r>
        <w:rPr>
          <w:rFonts w:ascii="Arial" w:cs="Arial" w:eastAsia="Arial" w:hAnsi="Arial"/>
          <w:b/>
          <w:bCs/>
          <w:sz w:val="22"/>
          <w:szCs w:val="22"/>
        </w:rPr>
        <w:t xml:space="preserve">Enforcement mechanism: </w:t>
      </w:r>
      <w:r>
        <w:rPr>
          <w:rFonts w:ascii="Arial" w:cs="Arial" w:eastAsia="Arial" w:hAnsi="Arial"/>
          <w:sz w:val="22"/>
          <w:szCs w:val="22"/>
        </w:rPr>
        <w:t xml:space="preserve">None. BubbleFish captures only what is voluntarily sent to it. It is not a proxy, not a firewall, not a gateway. It is a sidecar daemon that applications call by choice.</w:t>
      </w:r>
    </w:p>
    <w:p>
      <w:r>
        <w:br w:type="page"/>
      </w:r>
    </w:p>
    <w:p>
      <w:pPr>
        <w:pStyle w:val="Heading1"/>
      </w:pPr>
      <w:r>
        <w:t xml:space="preserve">2. Four-Version Split: Scope and Enforcement Reality</w:t>
      </w:r>
    </w:p>
    <w:p>
      <w:pPr>
        <w:pStyle w:val="Heading2"/>
      </w:pPr>
      <w:r>
        <w:t xml:space="preserve">2.1 BubbleFish Community</w:t>
      </w:r>
    </w:p>
    <w:p>
      <w:pPr>
        <w:spacing w:after="80" w:before="200"/>
      </w:pPr>
      <w:r>
        <w:rPr>
          <w:rFonts w:ascii="Arial" w:cs="Arial" w:eastAsia="Arial" w:hAnsi="Arial"/>
          <w:b/>
          <w:bCs/>
          <w:sz w:val="24"/>
          <w:szCs w:val="24"/>
        </w:rPr>
        <w:t xml:space="preserve">Environment Assumptions</w:t>
      </w:r>
    </w:p>
    <w:p>
      <w:pPr>
        <w:pStyle w:val="ListParagraph"/>
        <w:numPr>
          <w:ilvl w:val="0"/>
          <w:numId w:val="2"/>
        </w:numPr>
        <w:spacing w:after="60"/>
      </w:pPr>
      <w:r>
        <w:rPr>
          <w:rFonts w:ascii="Arial" w:cs="Arial" w:eastAsia="Arial" w:hAnsi="Arial"/>
          <w:sz w:val="22"/>
          <w:szCs w:val="22"/>
        </w:rPr>
        <w:t xml:space="preserve">Runs on a developer laptop, VPS, or home lab server</w:t>
      </w:r>
    </w:p>
    <w:p>
      <w:pPr>
        <w:pStyle w:val="ListParagraph"/>
        <w:numPr>
          <w:ilvl w:val="0"/>
          <w:numId w:val="2"/>
        </w:numPr>
        <w:spacing w:after="60"/>
      </w:pPr>
      <w:r>
        <w:rPr>
          <w:rFonts w:ascii="Arial" w:cs="Arial" w:eastAsia="Arial" w:hAnsi="Arial"/>
          <w:sz w:val="22"/>
          <w:szCs w:val="22"/>
        </w:rPr>
        <w:t xml:space="preserve">No centralized identity, MDM, managed endpoints, corporate proxy, or DNS control</w:t>
      </w:r>
    </w:p>
    <w:p>
      <w:pPr>
        <w:pStyle w:val="ListParagraph"/>
        <w:numPr>
          <w:ilvl w:val="0"/>
          <w:numId w:val="2"/>
        </w:numPr>
        <w:spacing w:after="60"/>
      </w:pPr>
      <w:r>
        <w:rPr>
          <w:rFonts w:ascii="Arial" w:cs="Arial" w:eastAsia="Arial" w:hAnsi="Arial"/>
          <w:sz w:val="22"/>
          <w:szCs w:val="22"/>
        </w:rPr>
        <w:t xml:space="preserve">User controls their machine and chooses to install BubbleFish</w:t>
      </w:r>
    </w:p>
    <w:p>
      <w:pPr>
        <w:pStyle w:val="ListParagraph"/>
        <w:numPr>
          <w:ilvl w:val="0"/>
          <w:numId w:val="2"/>
        </w:numPr>
        <w:spacing w:after="60"/>
      </w:pPr>
      <w:r>
        <w:rPr>
          <w:rFonts w:ascii="Arial" w:cs="Arial" w:eastAsia="Arial" w:hAnsi="Arial"/>
          <w:sz w:val="22"/>
          <w:szCs w:val="22"/>
        </w:rPr>
        <w:t xml:space="preserve">AI traffic originates from user-controlled applications, scripts, and agents</w:t>
      </w:r>
    </w:p>
    <w:p>
      <w:pPr>
        <w:spacing w:after="80" w:before="200"/>
      </w:pPr>
      <w:r>
        <w:rPr>
          <w:rFonts w:ascii="Arial" w:cs="Arial" w:eastAsia="Arial" w:hAnsi="Arial"/>
          <w:b/>
          <w:bCs/>
          <w:sz w:val="24"/>
          <w:szCs w:val="24"/>
        </w:rPr>
        <w:t xml:space="preserve">Enforcement Reality</w:t>
      </w:r>
    </w:p>
    <w:p>
      <w:pPr>
        <w:spacing w:after="120"/>
      </w:pPr>
      <w:r>
        <w:rPr>
          <w:rFonts w:ascii="Arial" w:cs="Arial" w:eastAsia="Arial" w:hAnsi="Arial"/>
          <w:b/>
          <w:bCs/>
          <w:sz w:val="22"/>
          <w:szCs w:val="22"/>
        </w:rPr>
        <w:t xml:space="preserve">Traffic routing: Voluntary only. </w:t>
      </w:r>
      <w:r>
        <w:rPr>
          <w:rFonts w:ascii="Arial" w:cs="Arial" w:eastAsia="Arial" w:hAnsi="Arial"/>
          <w:sz w:val="22"/>
          <w:szCs w:val="22"/>
        </w:rPr>
        <w:t xml:space="preserve">The developer configures their application to POST to localhost:{port}/inbound/{source}. No traffic is intercepted or redirected.</w:t>
      </w:r>
    </w:p>
    <w:p>
      <w:pPr>
        <w:spacing w:after="120"/>
      </w:pPr>
      <w:r>
        <w:rPr>
          <w:rFonts w:ascii="Arial" w:cs="Arial" w:eastAsia="Arial" w:hAnsi="Arial"/>
          <w:b/>
          <w:bCs/>
          <w:sz w:val="22"/>
          <w:szCs w:val="22"/>
        </w:rPr>
        <w:t xml:space="preserve">SDK approach (replacing OpenAI/Anthropic SDKs): Partially viable with severe caveats. </w:t>
      </w:r>
      <w:r>
        <w:rPr>
          <w:rFonts w:ascii="Arial" w:cs="Arial" w:eastAsia="Arial" w:hAnsi="Arial"/>
          <w:sz w:val="22"/>
          <w:szCs w:val="22"/>
        </w:rPr>
        <w:t xml:space="preserve">Works IF the developer makes API calls in their own code. Does not work for pre-compiled apps, IDE plugins (Cursor, Copilot), browser-based AI, or tools the developer did not write. Requires ongoing maintenance parity with upstream SDK releases.</w:t>
      </w:r>
    </w:p>
    <w:p>
      <w:pPr>
        <w:spacing w:after="120"/>
      </w:pPr>
      <w:r>
        <w:rPr>
          <w:rFonts w:ascii="Arial" w:cs="Arial" w:eastAsia="Arial" w:hAnsi="Arial"/>
          <w:b/>
          <w:bCs/>
          <w:sz w:val="22"/>
          <w:szCs w:val="22"/>
        </w:rPr>
        <w:t xml:space="preserve">CLI wrapper (bubblefish run -- python app.py): Partially viable with known gaps. </w:t>
      </w:r>
      <w:r>
        <w:rPr>
          <w:rFonts w:ascii="Arial" w:cs="Arial" w:eastAsia="Arial" w:hAnsi="Arial"/>
          <w:sz w:val="22"/>
          <w:szCs w:val="22"/>
        </w:rPr>
        <w:t xml:space="preserve">Sets HTTP_PROXY for the child process. Works for httpx, requests. Does not work for gRPC, raw sockets, WebSocket streaming, or libraries that ignore proxy env vars. Developer cannot know which calls bypass BubbleFish.</w:t>
      </w:r>
    </w:p>
    <w:p>
      <w:pPr>
        <w:spacing w:after="120"/>
      </w:pPr>
      <w:r>
        <w:rPr>
          <w:rFonts w:ascii="Arial" w:cs="Arial" w:eastAsia="Arial" w:hAnsi="Arial"/>
          <w:b/>
          <w:bCs/>
          <w:color w:val="CC0000"/>
          <w:sz w:val="22"/>
          <w:szCs w:val="22"/>
        </w:rPr>
        <w:t xml:space="preserve">Honest assessment: </w:t>
      </w:r>
      <w:r>
        <w:rPr>
          <w:rFonts w:ascii="Arial" w:cs="Arial" w:eastAsia="Arial" w:hAnsi="Arial"/>
          <w:sz w:val="22"/>
          <w:szCs w:val="22"/>
        </w:rPr>
        <w:t xml:space="preserve">BubbleFish Community is an observability and persistence layer for applications that voluntarily route through it. It cannot be a traffic enforcement point on a personal machine without kernel-level interception.</w:t>
      </w:r>
    </w:p>
    <w:p>
      <w:pPr>
        <w:spacing w:after="80" w:before="200"/>
      </w:pPr>
      <w:r>
        <w:rPr>
          <w:rFonts w:ascii="Arial" w:cs="Arial" w:eastAsia="Arial" w:hAnsi="Arial"/>
          <w:b/>
          <w:bCs/>
          <w:sz w:val="24"/>
          <w:szCs w:val="24"/>
        </w:rPr>
        <w:t xml:space="preserve">What Works</w:t>
      </w:r>
    </w:p>
    <w:p>
      <w:pPr>
        <w:pStyle w:val="ListParagraph"/>
        <w:numPr>
          <w:ilvl w:val="0"/>
          <w:numId w:val="2"/>
        </w:numPr>
        <w:spacing w:after="60"/>
      </w:pPr>
      <w:r>
        <w:rPr>
          <w:rFonts w:ascii="Arial" w:cs="Arial" w:eastAsia="Arial" w:hAnsi="Arial"/>
          <w:sz w:val="22"/>
          <w:szCs w:val="22"/>
        </w:rPr>
        <w:t xml:space="preserve">Direct HTTP integration: App POSTs to BubbleFish. Core design. No caveats.</w:t>
      </w:r>
    </w:p>
    <w:p>
      <w:pPr>
        <w:pStyle w:val="ListParagraph"/>
        <w:numPr>
          <w:ilvl w:val="0"/>
          <w:numId w:val="2"/>
        </w:numPr>
        <w:spacing w:after="60"/>
      </w:pPr>
      <w:r>
        <w:rPr>
          <w:rFonts w:ascii="Arial" w:cs="Arial" w:eastAsia="Arial" w:hAnsi="Arial"/>
          <w:sz w:val="22"/>
          <w:szCs w:val="22"/>
        </w:rPr>
        <w:t xml:space="preserve">WAL audit trail: Append-only, crash-safe. Real compliance value.</w:t>
      </w:r>
    </w:p>
    <w:p>
      <w:pPr>
        <w:pStyle w:val="ListParagraph"/>
        <w:numPr>
          <w:ilvl w:val="0"/>
          <w:numId w:val="2"/>
        </w:numPr>
        <w:spacing w:after="60"/>
      </w:pPr>
      <w:r>
        <w:rPr>
          <w:rFonts w:ascii="Arial" w:cs="Arial" w:eastAsia="Arial" w:hAnsi="Arial"/>
          <w:sz w:val="22"/>
          <w:szCs w:val="22"/>
        </w:rPr>
        <w:t xml:space="preserve">Multi-destination fan-out: One payload to SQLite + PostgreSQL + ChromaDB simultaneously.</w:t>
      </w:r>
    </w:p>
    <w:p>
      <w:pPr>
        <w:pStyle w:val="ListParagraph"/>
        <w:numPr>
          <w:ilvl w:val="0"/>
          <w:numId w:val="2"/>
        </w:numPr>
        <w:spacing w:after="60"/>
      </w:pPr>
      <w:r>
        <w:rPr>
          <w:rFonts w:ascii="Arial" w:cs="Arial" w:eastAsia="Arial" w:hAnsi="Arial"/>
          <w:sz w:val="22"/>
          <w:szCs w:val="22"/>
        </w:rPr>
        <w:t xml:space="preserve">Build-time config validation: Catches mapping errors before runtime.</w:t>
      </w:r>
    </w:p>
    <w:p>
      <w:pPr>
        <w:pStyle w:val="ListParagraph"/>
        <w:numPr>
          <w:ilvl w:val="0"/>
          <w:numId w:val="2"/>
        </w:numPr>
        <w:spacing w:after="60"/>
      </w:pPr>
      <w:r>
        <w:rPr>
          <w:rFonts w:ascii="Arial" w:cs="Arial" w:eastAsia="Arial" w:hAnsi="Arial"/>
          <w:sz w:val="22"/>
          <w:szCs w:val="22"/>
        </w:rPr>
        <w:t xml:space="preserve">Idempotency deduplication: Prevents duplicate writes on retry.</w:t>
      </w:r>
    </w:p>
    <w:p>
      <w:pPr>
        <w:pStyle w:val="ListParagraph"/>
        <w:numPr>
          <w:ilvl w:val="0"/>
          <w:numId w:val="2"/>
        </w:numPr>
        <w:spacing w:after="60"/>
      </w:pPr>
      <w:r>
        <w:rPr>
          <w:rFonts w:ascii="Arial" w:cs="Arial" w:eastAsia="Arial" w:hAnsi="Arial"/>
          <w:sz w:val="22"/>
          <w:szCs w:val="22"/>
        </w:rPr>
        <w:t xml:space="preserve">Prometheus observability: 6 metric surfaces for anyone running Prometheus.</w:t>
      </w:r>
    </w:p>
    <w:p>
      <w:pPr>
        <w:pStyle w:val="ListParagraph"/>
        <w:numPr>
          <w:ilvl w:val="0"/>
          <w:numId w:val="2"/>
        </w:numPr>
        <w:spacing w:after="60"/>
      </w:pPr>
      <w:r>
        <w:rPr>
          <w:rFonts w:ascii="Arial" w:cs="Arial" w:eastAsia="Arial" w:hAnsi="Arial"/>
          <w:sz w:val="22"/>
          <w:szCs w:val="22"/>
        </w:rPr>
        <w:t xml:space="preserve">bubblefish doctor: Pre-flight diagnostics catch misconfigurations.</w:t>
      </w:r>
    </w:p>
    <w:p>
      <w:pPr>
        <w:spacing w:after="80" w:before="200"/>
      </w:pPr>
      <w:r>
        <w:rPr>
          <w:rFonts w:ascii="Arial" w:cs="Arial" w:eastAsia="Arial" w:hAnsi="Arial"/>
          <w:b/>
          <w:bCs/>
          <w:sz w:val="24"/>
          <w:szCs w:val="24"/>
        </w:rPr>
        <w:t xml:space="preserve">What Should Be Removed From Community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Verdict</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6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Agentic chaining</w:t>
            </w:r>
          </w:p>
        </w:tc>
        <w:tc>
          <w:tcPr>
            <w:tcW w:type="dxa" w:w="16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b/>
                <w:bCs/>
                <w:color w:val="CC0000"/>
                <w:sz w:val="20"/>
                <w:szCs w:val="20"/>
              </w:rPr>
              <w:t xml:space="preserve">REMOVE</w:t>
            </w:r>
          </w:p>
        </w:tc>
        <w:tc>
          <w:tcPr>
            <w:tcW w:type="dxa" w:w="51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LangChain/CrewAI/LangGraph own this. Dilutes data plane positioning.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TUI dashboard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8800"/>
                <w:sz w:val="20"/>
                <w:szCs w:val="20"/>
              </w:rPr>
              <w:t xml:space="preserve">DEPRIORITIZE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Developer candy. Prometheus + doctor cover observability. Build after adoption grows.</w:t>
            </w:r>
          </w:p>
        </w:tc>
      </w:tr>
      <w:tr>
        <w:tc>
          <w:tcPr>
            <w:tcW w:type="dxa" w:w="26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Web UI dashboard</w:t>
            </w:r>
          </w:p>
        </w:tc>
        <w:tc>
          <w:tcPr>
            <w:tcW w:type="dxa" w:w="16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b/>
                <w:bCs/>
                <w:color w:val="CC8800"/>
                <w:sz w:val="20"/>
                <w:szCs w:val="20"/>
              </w:rPr>
              <w:t xml:space="preserve">MOVE TO ENT.</w:t>
            </w:r>
          </w:p>
        </w:tc>
        <w:tc>
          <w:tcPr>
            <w:tcW w:type="dxa" w:w="51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Community users are CLI-native. Web UI is for platform teams.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Hot-reload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8800"/>
                <w:sz w:val="20"/>
                <w:szCs w:val="20"/>
              </w:rPr>
              <w:t xml:space="preserve">DEPRIORITIZE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Architecturally complex. Not worth v1 complexity.</w:t>
            </w:r>
          </w:p>
        </w:tc>
      </w:tr>
      <w:tr>
        <w:tc>
          <w:tcPr>
            <w:tcW w:type="dxa" w:w="26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'AI Egress Firewall'</w:t>
            </w:r>
          </w:p>
        </w:tc>
        <w:tc>
          <w:tcPr>
            <w:tcW w:type="dxa" w:w="16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b/>
                <w:bCs/>
                <w:color w:val="CC0000"/>
                <w:sz w:val="20"/>
                <w:szCs w:val="20"/>
              </w:rPr>
              <w:t xml:space="preserve">DISCARD</w:t>
            </w:r>
          </w:p>
        </w:tc>
        <w:tc>
          <w:tcPr>
            <w:tcW w:type="dxa" w:w="51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Architecturally false. No interception capability at any layer.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SDK replacement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8800"/>
                <w:sz w:val="20"/>
                <w:szCs w:val="20"/>
              </w:rPr>
              <w:t xml:space="preserve">NARROW SCOPE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Ship HTTP transport middleware, not full SDK clone. Never parse API payloads.</w:t>
            </w:r>
          </w:p>
        </w:tc>
      </w:tr>
      <w:tr>
        <w:tc>
          <w:tcPr>
            <w:tcW w:type="dxa" w:w="26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Forward proxy + TLS</w:t>
            </w:r>
          </w:p>
        </w:tc>
        <w:tc>
          <w:tcPr>
            <w:tcW w:type="dxa" w:w="16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b/>
                <w:bCs/>
                <w:color w:val="CC0000"/>
                <w:sz w:val="20"/>
                <w:szCs w:val="20"/>
              </w:rPr>
              <w:t xml:space="preserve">DISCARD</w:t>
            </w:r>
          </w:p>
        </w:tc>
        <w:tc>
          <w:tcPr>
            <w:tcW w:type="dxa" w:w="51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Requires MDM, corporate CA. Does not exist in Community environment.</w:t>
            </w:r>
          </w:p>
        </w:tc>
      </w:tr>
    </w:tbl>
    <w:p>
      <w:pPr>
        <w:spacing w:after="80" w:before="200"/>
      </w:pPr>
      <w:r>
        <w:rPr>
          <w:rFonts w:ascii="Arial" w:cs="Arial" w:eastAsia="Arial" w:hAnsi="Arial"/>
          <w:b/>
          <w:bCs/>
          <w:sz w:val="24"/>
          <w:szCs w:val="24"/>
        </w:rPr>
        <w:t xml:space="preserve">What Would Not Work</w:t>
      </w:r>
    </w:p>
    <w:p>
      <w:pPr>
        <w:pStyle w:val="ListParagraph"/>
        <w:numPr>
          <w:ilvl w:val="0"/>
          <w:numId w:val="2"/>
        </w:numPr>
        <w:spacing w:after="80"/>
      </w:pPr>
      <w:r>
        <w:rPr>
          <w:rFonts w:ascii="Arial" w:cs="Arial" w:eastAsia="Arial" w:hAnsi="Arial"/>
          <w:b/>
          <w:bCs/>
          <w:sz w:val="22"/>
          <w:szCs w:val="22"/>
        </w:rPr>
        <w:t xml:space="preserve">Universal traffic capture: </w:t>
      </w:r>
      <w:r>
        <w:rPr>
          <w:rFonts w:ascii="Arial" w:cs="Arial" w:eastAsia="Arial" w:hAnsi="Arial"/>
          <w:sz w:val="22"/>
          <w:szCs w:val="22"/>
        </w:rPr>
        <w:t xml:space="preserve">Impossible without kernel-level interception (eBPF, VPN, network filter). BubbleFish runs in userspace.</w:t>
      </w:r>
    </w:p>
    <w:p>
      <w:pPr>
        <w:pStyle w:val="ListParagraph"/>
        <w:numPr>
          <w:ilvl w:val="0"/>
          <w:numId w:val="2"/>
        </w:numPr>
        <w:spacing w:after="80"/>
      </w:pPr>
      <w:r>
        <w:rPr>
          <w:rFonts w:ascii="Arial" w:cs="Arial" w:eastAsia="Arial" w:hAnsi="Arial"/>
          <w:b/>
          <w:bCs/>
          <w:sz w:val="22"/>
          <w:szCs w:val="22"/>
        </w:rPr>
        <w:t xml:space="preserve">Shadow AI detection: </w:t>
      </w:r>
      <w:r>
        <w:rPr>
          <w:rFonts w:ascii="Arial" w:cs="Arial" w:eastAsia="Arial" w:hAnsi="Arial"/>
          <w:sz w:val="22"/>
          <w:szCs w:val="22"/>
        </w:rPr>
        <w:t xml:space="preserve">Cannot detect browser AI usage without system-wide HTTPS proxy + TLS inspection + trusted root CA. Not feasible on unmanaged machines.</w:t>
      </w:r>
    </w:p>
    <w:p>
      <w:pPr>
        <w:pStyle w:val="ListParagraph"/>
        <w:numPr>
          <w:ilvl w:val="0"/>
          <w:numId w:val="2"/>
        </w:numPr>
        <w:spacing w:after="80"/>
      </w:pPr>
      <w:r>
        <w:rPr>
          <w:rFonts w:ascii="Arial" w:cs="Arial" w:eastAsia="Arial" w:hAnsi="Arial"/>
          <w:b/>
          <w:bCs/>
          <w:sz w:val="22"/>
          <w:szCs w:val="22"/>
        </w:rPr>
        <w:t xml:space="preserve">Forced SDK adoption: </w:t>
      </w:r>
      <w:r>
        <w:rPr>
          <w:rFonts w:ascii="Arial" w:cs="Arial" w:eastAsia="Arial" w:hAnsi="Arial"/>
          <w:sz w:val="22"/>
          <w:szCs w:val="22"/>
        </w:rPr>
        <w:t xml:space="preserve">Cannot force other tools (Cursor, Copilot) to use BubbleFish SDK. Their HTTP clients are not interceptable at application level.</w:t>
      </w:r>
    </w:p>
    <w:p>
      <w:pPr>
        <w:pStyle w:val="ListParagraph"/>
        <w:numPr>
          <w:ilvl w:val="0"/>
          <w:numId w:val="2"/>
        </w:numPr>
        <w:spacing w:after="80"/>
      </w:pPr>
      <w:r>
        <w:rPr>
          <w:rFonts w:ascii="Arial" w:cs="Arial" w:eastAsia="Arial" w:hAnsi="Arial"/>
          <w:b/>
          <w:bCs/>
          <w:sz w:val="22"/>
          <w:szCs w:val="22"/>
        </w:rPr>
        <w:t xml:space="preserve">Accurate token counting: </w:t>
      </w:r>
      <w:r>
        <w:rPr>
          <w:rFonts w:ascii="Arial" w:cs="Arial" w:eastAsia="Arial" w:hAnsi="Arial"/>
          <w:sz w:val="22"/>
          <w:szCs w:val="22"/>
        </w:rPr>
        <w:t xml:space="preserve">Requires model-specific tokenizers. Embedding all is impractical. Self-reported counts are unreliable.</w:t>
      </w:r>
    </w:p>
    <w:p>
      <w:pPr>
        <w:spacing w:after="80" w:before="200"/>
      </w:pPr>
      <w:r>
        <w:rPr>
          <w:rFonts w:ascii="Arial" w:cs="Arial" w:eastAsia="Arial" w:hAnsi="Arial"/>
          <w:b/>
          <w:bCs/>
          <w:sz w:val="24"/>
          <w:szCs w:val="24"/>
        </w:rPr>
        <w:t xml:space="preserve">Core Focus for Virality and Adoption</w:t>
      </w:r>
    </w:p>
    <w:p>
      <w:pPr>
        <w:spacing w:after="120"/>
      </w:pPr>
      <w:r>
        <w:rPr>
          <w:rFonts w:ascii="Arial" w:cs="Arial" w:eastAsia="Arial" w:hAnsi="Arial"/>
          <w:b/>
          <w:bCs/>
          <w:sz w:val="22"/>
          <w:szCs w:val="22"/>
        </w:rPr>
        <w:t xml:space="preserve">The viral hook is not the daemon. It is the developer experience of adding BubbleFish to an existing project in under 60 seconds.</w:t>
      </w:r>
    </w:p>
    <w:p>
      <w:pPr>
        <w:spacing w:after="120"/>
      </w:pPr>
      <w:r>
        <w:rPr>
          <w:rFonts w:ascii="Arial" w:cs="Arial" w:eastAsia="Arial" w:hAnsi="Arial"/>
          <w:sz w:val="22"/>
          <w:szCs w:val="22"/>
        </w:rPr>
        <w:t xml:space="preserve">Adoption sequence:</w:t>
      </w:r>
    </w:p>
    <w:p>
      <w:pPr>
        <w:pStyle w:val="ListParagraph"/>
        <w:numPr>
          <w:ilvl w:val="0"/>
          <w:numId w:val="3"/>
        </w:numPr>
        <w:spacing w:after="60"/>
      </w:pPr>
      <w:r>
        <w:rPr>
          <w:rFonts w:ascii="Arial" w:cs="Arial" w:eastAsia="Arial" w:hAnsi="Arial"/>
          <w:sz w:val="22"/>
          <w:szCs w:val="22"/>
        </w:rPr>
        <w:t xml:space="preserve">Developer finds BubbleFish because the README shows a 3-line code change for crash-safe audit + multi-DB persistence.</w:t>
      </w:r>
    </w:p>
    <w:p>
      <w:pPr>
        <w:pStyle w:val="ListParagraph"/>
        <w:numPr>
          <w:ilvl w:val="0"/>
          <w:numId w:val="3"/>
        </w:numPr>
        <w:spacing w:after="60"/>
      </w:pPr>
      <w:r>
        <w:rPr>
          <w:rFonts w:ascii="Arial" w:cs="Arial" w:eastAsia="Arial" w:hAnsi="Arial"/>
          <w:sz w:val="22"/>
          <w:szCs w:val="22"/>
        </w:rPr>
        <w:t xml:space="preserve">Developer runs 'curl -sSL install.bubblefish.dev | sh' or 'brew install bubblefish' or 'docker pull bubblefish/community'.</w:t>
      </w:r>
    </w:p>
    <w:p>
      <w:pPr>
        <w:pStyle w:val="ListParagraph"/>
        <w:numPr>
          <w:ilvl w:val="0"/>
          <w:numId w:val="3"/>
        </w:numPr>
        <w:spacing w:after="60"/>
      </w:pPr>
      <w:r>
        <w:rPr>
          <w:rFonts w:ascii="Arial" w:cs="Arial" w:eastAsia="Arial" w:hAnsi="Arial"/>
          <w:sz w:val="22"/>
          <w:szCs w:val="22"/>
        </w:rPr>
        <w:t xml:space="preserve">Developer adds BubbleFish as HTTP transport middleware to their existing OpenAI/Anthropic client. Real SDK handles everything. BubbleFish captures as side effect.</w:t>
      </w:r>
    </w:p>
    <w:p>
      <w:pPr>
        <w:pStyle w:val="ListParagraph"/>
        <w:numPr>
          <w:ilvl w:val="0"/>
          <w:numId w:val="3"/>
        </w:numPr>
        <w:spacing w:after="60"/>
      </w:pPr>
      <w:r>
        <w:rPr>
          <w:rFonts w:ascii="Arial" w:cs="Arial" w:eastAsia="Arial" w:hAnsi="Arial"/>
          <w:sz w:val="22"/>
          <w:szCs w:val="22"/>
        </w:rPr>
        <w:t xml:space="preserve">Developer sees AI conversations persisted to SQLite with WAL audit trail. Adds PostgreSQL + ChromaDB via two TOML files. No code changes.</w:t>
      </w:r>
    </w:p>
    <w:p>
      <w:pPr>
        <w:pStyle w:val="ListParagraph"/>
        <w:numPr>
          <w:ilvl w:val="0"/>
          <w:numId w:val="3"/>
        </w:numPr>
        <w:spacing w:after="60"/>
      </w:pPr>
      <w:r>
        <w:rPr>
          <w:rFonts w:ascii="Arial" w:cs="Arial" w:eastAsia="Arial" w:hAnsi="Arial"/>
          <w:sz w:val="22"/>
          <w:szCs w:val="22"/>
        </w:rPr>
        <w:t xml:space="preserve">Developer's company grows. They need RBAC, encryption, SSO, clustering. They upgrade to Enterprise.</w:t>
      </w:r>
    </w:p>
    <w:p>
      <w:pPr>
        <w:spacing w:after="120"/>
      </w:pPr>
      <w:r>
        <w:rPr>
          <w:rFonts w:ascii="Arial" w:cs="Arial" w:eastAsia="Arial" w:hAnsi="Arial"/>
          <w:b/>
          <w:bCs/>
          <w:color w:val="1B3A5C"/>
          <w:sz w:val="22"/>
          <w:szCs w:val="22"/>
        </w:rPr>
        <w:t xml:space="preserve">Hacker News headline: </w:t>
      </w:r>
      <w:r>
        <w:rPr>
          <w:rFonts w:ascii="Arial" w:cs="Arial" w:eastAsia="Arial" w:hAnsi="Arial"/>
          <w:sz w:val="22"/>
          <w:szCs w:val="22"/>
        </w:rPr>
        <w:t xml:space="preserve">'Show HN: BubbleFish — open-source AI audit trail and multi-database router. One binary, zero dependencies, three lines to integrate.'</w:t>
      </w:r>
    </w:p>
    <w:p>
      <w:r>
        <w:br w:type="page"/>
      </w:r>
    </w:p>
    <w:p>
      <w:pPr>
        <w:pStyle w:val="Heading2"/>
      </w:pPr>
      <w:r>
        <w:t xml:space="preserve">2.2 BubbleFish Enterprise</w:t>
      </w:r>
    </w:p>
    <w:p>
      <w:pPr>
        <w:spacing w:after="80" w:before="200"/>
      </w:pPr>
      <w:r>
        <w:rPr>
          <w:rFonts w:ascii="Arial" w:cs="Arial" w:eastAsia="Arial" w:hAnsi="Arial"/>
          <w:b/>
          <w:bCs/>
          <w:sz w:val="24"/>
          <w:szCs w:val="24"/>
        </w:rPr>
        <w:t xml:space="preserve">Environment Assumptions</w:t>
      </w:r>
    </w:p>
    <w:p>
      <w:pPr>
        <w:pStyle w:val="ListParagraph"/>
        <w:numPr>
          <w:ilvl w:val="0"/>
          <w:numId w:val="2"/>
        </w:numPr>
        <w:spacing w:after="60"/>
      </w:pPr>
      <w:r>
        <w:rPr>
          <w:rFonts w:ascii="Arial" w:cs="Arial" w:eastAsia="Arial" w:hAnsi="Arial"/>
          <w:sz w:val="22"/>
          <w:szCs w:val="22"/>
        </w:rPr>
        <w:t xml:space="preserve">Centralized IT with managed endpoints (MDM, GPO)</w:t>
      </w:r>
    </w:p>
    <w:p>
      <w:pPr>
        <w:pStyle w:val="ListParagraph"/>
        <w:numPr>
          <w:ilvl w:val="0"/>
          <w:numId w:val="2"/>
        </w:numPr>
        <w:spacing w:after="60"/>
      </w:pPr>
      <w:r>
        <w:rPr>
          <w:rFonts w:ascii="Arial" w:cs="Arial" w:eastAsia="Arial" w:hAnsi="Arial"/>
          <w:sz w:val="22"/>
          <w:szCs w:val="22"/>
        </w:rPr>
        <w:t xml:space="preserve">Corporate identity provider (Entra ID, Okta) with SSO</w:t>
      </w:r>
    </w:p>
    <w:p>
      <w:pPr>
        <w:pStyle w:val="ListParagraph"/>
        <w:numPr>
          <w:ilvl w:val="0"/>
          <w:numId w:val="2"/>
        </w:numPr>
        <w:spacing w:after="60"/>
      </w:pPr>
      <w:r>
        <w:rPr>
          <w:rFonts w:ascii="Arial" w:cs="Arial" w:eastAsia="Arial" w:hAnsi="Arial"/>
          <w:sz w:val="22"/>
          <w:szCs w:val="22"/>
        </w:rPr>
        <w:t xml:space="preserve">Internal network with firewall rules, DNS control, potentially corporate proxy</w:t>
      </w:r>
    </w:p>
    <w:p>
      <w:pPr>
        <w:pStyle w:val="ListParagraph"/>
        <w:numPr>
          <w:ilvl w:val="0"/>
          <w:numId w:val="2"/>
        </w:numPr>
        <w:spacing w:after="60"/>
      </w:pPr>
      <w:r>
        <w:rPr>
          <w:rFonts w:ascii="Arial" w:cs="Arial" w:eastAsia="Arial" w:hAnsi="Arial"/>
          <w:sz w:val="22"/>
          <w:szCs w:val="22"/>
        </w:rPr>
        <w:t xml:space="preserve">Kubernetes or Docker container orchestration for server workloads</w:t>
      </w:r>
    </w:p>
    <w:p>
      <w:pPr>
        <w:pStyle w:val="ListParagraph"/>
        <w:numPr>
          <w:ilvl w:val="0"/>
          <w:numId w:val="2"/>
        </w:numPr>
        <w:spacing w:after="60"/>
      </w:pPr>
      <w:r>
        <w:rPr>
          <w:rFonts w:ascii="Arial" w:cs="Arial" w:eastAsia="Arial" w:hAnsi="Arial"/>
          <w:sz w:val="22"/>
          <w:szCs w:val="22"/>
        </w:rPr>
        <w:t xml:space="preserve">Security team controlling API key issuance and network egress</w:t>
      </w:r>
    </w:p>
    <w:p>
      <w:pPr>
        <w:pStyle w:val="ListParagraph"/>
        <w:numPr>
          <w:ilvl w:val="0"/>
          <w:numId w:val="2"/>
        </w:numPr>
        <w:spacing w:after="60"/>
      </w:pPr>
      <w:r>
        <w:rPr>
          <w:rFonts w:ascii="Arial" w:cs="Arial" w:eastAsia="Arial" w:hAnsi="Arial"/>
          <w:sz w:val="22"/>
          <w:szCs w:val="22"/>
        </w:rPr>
        <w:t xml:space="preserve">Compliance requirements (SOC 2, HIPAA, FedRAMP, EU AI Act)</w:t>
      </w:r>
    </w:p>
    <w:p>
      <w:pPr>
        <w:pStyle w:val="ListParagraph"/>
        <w:numPr>
          <w:ilvl w:val="0"/>
          <w:numId w:val="2"/>
        </w:numPr>
        <w:spacing w:after="60"/>
      </w:pPr>
      <w:r>
        <w:rPr>
          <w:rFonts w:ascii="Arial" w:cs="Arial" w:eastAsia="Arial" w:hAnsi="Arial"/>
          <w:sz w:val="22"/>
          <w:szCs w:val="22"/>
        </w:rPr>
        <w:t xml:space="preserve">Unknown: whether corporate proxy, MDM, or centralized DNS already exist</w:t>
      </w:r>
    </w:p>
    <w:p>
      <w:pPr>
        <w:spacing w:after="80" w:before="200"/>
      </w:pPr>
      <w:r>
        <w:rPr>
          <w:rFonts w:ascii="Arial" w:cs="Arial" w:eastAsia="Arial" w:hAnsi="Arial"/>
          <w:b/>
          <w:bCs/>
          <w:sz w:val="24"/>
          <w:szCs w:val="24"/>
        </w:rPr>
        <w:t xml:space="preserve">Enforcement Reality: Three Tiers</w:t>
      </w:r>
    </w:p>
    <w:p>
      <w:pPr>
        <w:spacing w:after="120"/>
      </w:pPr>
      <w:r>
        <w:rPr>
          <w:rFonts w:ascii="Arial" w:cs="Arial" w:eastAsia="Arial" w:hAnsi="Arial"/>
          <w:b/>
          <w:bCs/>
          <w:sz w:val="22"/>
          <w:szCs w:val="22"/>
        </w:rPr>
        <w:t xml:space="preserve">Tier 1 — API Key Vault (Provably Enforceable): </w:t>
      </w:r>
      <w:r>
        <w:rPr>
          <w:rFonts w:ascii="Arial" w:cs="Arial" w:eastAsia="Arial" w:hAnsi="Arial"/>
          <w:sz w:val="22"/>
          <w:szCs w:val="22"/>
        </w:rPr>
        <w:t xml:space="preserve">BubbleFish holds all real AI provider API keys. Developers receive synthetic keys that only authenticate against BubbleFish. Every API call must transit BubbleFish. Enforcement: credential control. No network changes required. Catches: all API-based dev tools, CI, internal apps, VS Code extensions. Does not catch: browser AI sessions using session cookies.</w:t>
      </w:r>
    </w:p>
    <w:p>
      <w:pPr>
        <w:spacing w:after="120"/>
      </w:pPr>
      <w:r>
        <w:rPr>
          <w:rFonts w:ascii="Arial" w:cs="Arial" w:eastAsia="Arial" w:hAnsi="Arial"/>
          <w:b/>
          <w:bCs/>
          <w:sz w:val="22"/>
          <w:szCs w:val="22"/>
        </w:rPr>
        <w:t xml:space="preserve">Tier 2 — Forward Proxy (IF corporate proxy infrastructure exists): </w:t>
      </w:r>
      <w:r>
        <w:rPr>
          <w:rFonts w:ascii="Arial" w:cs="Arial" w:eastAsia="Arial" w:hAnsi="Arial"/>
          <w:sz w:val="22"/>
          <w:szCs w:val="22"/>
        </w:rPr>
        <w:t xml:space="preserve">BubbleFish becomes CONNECT-capable HTTPS forward proxy. Corporate IT deploys proxy settings via GPO/MDM. BubbleFish inspects destination host; if AI provider, captures payload. Prerequisite: MDM that controls proxy settings. If MDM does not exist, Tier 2 is not viable.</w:t>
      </w:r>
    </w:p>
    <w:p>
      <w:pPr>
        <w:spacing w:after="120"/>
      </w:pPr>
      <w:r>
        <w:rPr>
          <w:rFonts w:ascii="Arial" w:cs="Arial" w:eastAsia="Arial" w:hAnsi="Arial"/>
          <w:b/>
          <w:bCs/>
          <w:sz w:val="22"/>
          <w:szCs w:val="22"/>
        </w:rPr>
        <w:t xml:space="preserve">Tier 3 — TLS Inspection (IF corporate CA infrastructure exists): </w:t>
      </w:r>
      <w:r>
        <w:rPr>
          <w:rFonts w:ascii="Arial" w:cs="Arial" w:eastAsia="Arial" w:hAnsi="Arial"/>
          <w:sz w:val="22"/>
          <w:szCs w:val="22"/>
        </w:rPr>
        <w:t xml:space="preserve">BubbleFish terminates TLS, reads plaintext, re-encrypts. Requires corporate root CA on all endpoints via MDM. CA private key MUST be in HSM. If CA key is on disk, any BubbleFish server compromise exposes all corporate HTTPS. This is a design-level security flaw without HSM.</w:t>
      </w:r>
    </w:p>
    <w:p>
      <w:pPr>
        <w:spacing w:after="120"/>
      </w:pPr>
      <w:r>
        <w:rPr>
          <w:rFonts w:ascii="Arial" w:cs="Arial" w:eastAsia="Arial" w:hAnsi="Arial"/>
          <w:b/>
          <w:bCs/>
          <w:color w:val="CC0000"/>
          <w:sz w:val="22"/>
          <w:szCs w:val="22"/>
        </w:rPr>
        <w:t xml:space="preserve">Honest assessment: </w:t>
      </w:r>
      <w:r>
        <w:rPr>
          <w:rFonts w:ascii="Arial" w:cs="Arial" w:eastAsia="Arial" w:hAnsi="Arial"/>
          <w:sz w:val="22"/>
          <w:szCs w:val="22"/>
        </w:rPr>
        <w:t xml:space="preserve">Tier 1 is self-contained and deployable without external infrastructure. Tiers 2-3 depend on customer's existing MDM, proxy, and PKI. Without these, Enterprise is voluntary routing with RBAC, encryption, and compliance — but not enforcement.</w:t>
      </w:r>
    </w:p>
    <w:p>
      <w:pPr>
        <w:spacing w:after="80" w:before="200"/>
      </w:pPr>
      <w:r>
        <w:rPr>
          <w:rFonts w:ascii="Arial" w:cs="Arial" w:eastAsia="Arial" w:hAnsi="Arial"/>
          <w:b/>
          <w:bCs/>
          <w:sz w:val="24"/>
          <w:szCs w:val="24"/>
        </w:rPr>
        <w:t xml:space="preserve">What Works</w:t>
      </w:r>
    </w:p>
    <w:p>
      <w:pPr>
        <w:pStyle w:val="ListParagraph"/>
        <w:numPr>
          <w:ilvl w:val="0"/>
          <w:numId w:val="2"/>
        </w:numPr>
        <w:spacing w:after="60"/>
      </w:pPr>
      <w:r>
        <w:rPr>
          <w:rFonts w:ascii="Arial" w:cs="Arial" w:eastAsia="Arial" w:hAnsi="Arial"/>
          <w:sz w:val="22"/>
          <w:szCs w:val="22"/>
        </w:rPr>
        <w:t xml:space="preserve">API Key Vault + Proxy: Most honest enforcement mechanism. No external dependencies. Flagship Enterprise feature.</w:t>
      </w:r>
    </w:p>
    <w:p>
      <w:pPr>
        <w:pStyle w:val="ListParagraph"/>
        <w:numPr>
          <w:ilvl w:val="0"/>
          <w:numId w:val="2"/>
        </w:numPr>
        <w:spacing w:after="60"/>
      </w:pPr>
      <w:r>
        <w:rPr>
          <w:rFonts w:ascii="Arial" w:cs="Arial" w:eastAsia="Arial" w:hAnsi="Arial"/>
          <w:sz w:val="22"/>
          <w:szCs w:val="22"/>
        </w:rPr>
        <w:t xml:space="preserve">RBAC per-source/per-destination: Real multi-tenant isolation for platform teams.</w:t>
      </w:r>
    </w:p>
    <w:p>
      <w:pPr>
        <w:pStyle w:val="ListParagraph"/>
        <w:numPr>
          <w:ilvl w:val="0"/>
          <w:numId w:val="2"/>
        </w:numPr>
        <w:spacing w:after="60"/>
      </w:pPr>
      <w:r>
        <w:rPr>
          <w:rFonts w:ascii="Arial" w:cs="Arial" w:eastAsia="Arial" w:hAnsi="Arial"/>
          <w:sz w:val="22"/>
          <w:szCs w:val="22"/>
        </w:rPr>
        <w:t xml:space="preserve">WAL encryption at rest: Required for compliance. AES-256 with key management hooks.</w:t>
      </w:r>
    </w:p>
    <w:p>
      <w:pPr>
        <w:pStyle w:val="ListParagraph"/>
        <w:numPr>
          <w:ilvl w:val="0"/>
          <w:numId w:val="2"/>
        </w:numPr>
        <w:spacing w:after="60"/>
      </w:pPr>
      <w:r>
        <w:rPr>
          <w:rFonts w:ascii="Arial" w:cs="Arial" w:eastAsia="Arial" w:hAnsi="Arial"/>
          <w:sz w:val="22"/>
          <w:szCs w:val="22"/>
        </w:rPr>
        <w:t xml:space="preserve">Raft consensus clustering: Required for HA when BubbleFish is in critical path.</w:t>
      </w:r>
    </w:p>
    <w:p>
      <w:pPr>
        <w:pStyle w:val="ListParagraph"/>
        <w:numPr>
          <w:ilvl w:val="0"/>
          <w:numId w:val="2"/>
        </w:numPr>
        <w:spacing w:after="60"/>
      </w:pPr>
      <w:r>
        <w:rPr>
          <w:rFonts w:ascii="Arial" w:cs="Arial" w:eastAsia="Arial" w:hAnsi="Arial"/>
          <w:sz w:val="22"/>
          <w:szCs w:val="22"/>
        </w:rPr>
        <w:t xml:space="preserve">Cryptographic WAL integrity: SHA-256 hash chain. Transforms 'append-only' from software property to cryptographically verifiable property.</w:t>
      </w:r>
    </w:p>
    <w:p>
      <w:pPr>
        <w:pStyle w:val="ListParagraph"/>
        <w:numPr>
          <w:ilvl w:val="0"/>
          <w:numId w:val="2"/>
        </w:numPr>
        <w:spacing w:after="60"/>
      </w:pPr>
      <w:r>
        <w:rPr>
          <w:rFonts w:ascii="Arial" w:cs="Arial" w:eastAsia="Arial" w:hAnsi="Arial"/>
          <w:sz w:val="22"/>
          <w:szCs w:val="22"/>
        </w:rPr>
        <w:t xml:space="preserve">Automated retention policies with audit-safe export before deletion.</w:t>
      </w:r>
    </w:p>
    <w:p>
      <w:pPr>
        <w:pStyle w:val="ListParagraph"/>
        <w:numPr>
          <w:ilvl w:val="0"/>
          <w:numId w:val="2"/>
        </w:numPr>
        <w:spacing w:after="60"/>
      </w:pPr>
      <w:r>
        <w:rPr>
          <w:rFonts w:ascii="Arial" w:cs="Arial" w:eastAsia="Arial" w:hAnsi="Arial"/>
          <w:sz w:val="22"/>
          <w:szCs w:val="22"/>
        </w:rPr>
        <w:t xml:space="preserve">Web UI dashboard for platform team observability.</w:t>
      </w:r>
    </w:p>
    <w:p>
      <w:pPr>
        <w:pStyle w:val="ListParagraph"/>
        <w:numPr>
          <w:ilvl w:val="0"/>
          <w:numId w:val="2"/>
        </w:numPr>
        <w:spacing w:after="60"/>
      </w:pPr>
      <w:r>
        <w:rPr>
          <w:rFonts w:ascii="Arial" w:cs="Arial" w:eastAsia="Arial" w:hAnsi="Arial"/>
          <w:sz w:val="22"/>
          <w:szCs w:val="22"/>
        </w:rPr>
        <w:t xml:space="preserve">/healthz and /readyz endpoints for Kubernetes. Non-negotiable.</w:t>
      </w:r>
    </w:p>
    <w:p>
      <w:pPr>
        <w:pStyle w:val="ListParagraph"/>
        <w:numPr>
          <w:ilvl w:val="0"/>
          <w:numId w:val="2"/>
        </w:numPr>
        <w:spacing w:after="60"/>
      </w:pPr>
      <w:r>
        <w:rPr>
          <w:rFonts w:ascii="Arial" w:cs="Arial" w:eastAsia="Arial" w:hAnsi="Arial"/>
          <w:sz w:val="22"/>
          <w:szCs w:val="22"/>
        </w:rPr>
        <w:t xml:space="preserve">Backup/restore procedures with point-in-time recovery.</w:t>
      </w:r>
    </w:p>
    <w:p>
      <w:pPr>
        <w:pStyle w:val="ListParagraph"/>
        <w:numPr>
          <w:ilvl w:val="0"/>
          <w:numId w:val="2"/>
        </w:numPr>
        <w:spacing w:after="60"/>
      </w:pPr>
      <w:r>
        <w:rPr>
          <w:rFonts w:ascii="Arial" w:cs="Arial" w:eastAsia="Arial" w:hAnsi="Arial"/>
          <w:sz w:val="22"/>
          <w:szCs w:val="22"/>
        </w:rPr>
        <w:t xml:space="preserve">License key enforcement: Ed25519-signed token at startup.</w:t>
      </w:r>
    </w:p>
    <w:p>
      <w:pPr>
        <w:spacing w:after="80" w:before="200"/>
      </w:pPr>
      <w:r>
        <w:rPr>
          <w:rFonts w:ascii="Arial" w:cs="Arial" w:eastAsia="Arial" w:hAnsi="Arial"/>
          <w:b/>
          <w:bCs/>
          <w:sz w:val="24"/>
          <w:szCs w:val="24"/>
        </w:rPr>
        <w:t xml:space="preserve">What Should Be Removed From Enterprise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Verdict</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6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GPU-aware routing</w:t>
            </w:r>
          </w:p>
        </w:tc>
        <w:tc>
          <w:tcPr>
            <w:tcW w:type="dxa" w:w="1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b/>
                <w:bCs/>
                <w:color w:val="CC8800"/>
                <w:sz w:val="20"/>
                <w:szCs w:val="20"/>
              </w:rPr>
              <w:t xml:space="preserve">MOVE TO GPU CLOUD</w:t>
            </w:r>
          </w:p>
        </w:tc>
        <w:tc>
          <w:tcPr>
            <w:tcW w:type="dxa" w:w="49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Enterprise buyers don't manage GPU pools.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Billing event emission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8800"/>
                <w:sz w:val="20"/>
                <w:szCs w:val="20"/>
              </w:rPr>
              <w:t xml:space="preserve">MOVE TO GPU CLOUD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Enterprise does chargeback via cost-center tags, not per-second billing.</w:t>
            </w:r>
          </w:p>
        </w:tc>
      </w:tr>
      <w:tr>
        <w:tc>
          <w:tcPr>
            <w:tcW w:type="dxa" w:w="26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GPU node pool mapping</w:t>
            </w:r>
          </w:p>
        </w:tc>
        <w:tc>
          <w:tcPr>
            <w:tcW w:type="dxa" w:w="1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b/>
                <w:bCs/>
                <w:color w:val="CC8800"/>
                <w:sz w:val="20"/>
                <w:szCs w:val="20"/>
              </w:rPr>
              <w:t xml:space="preserve">MOVE TO GPU CLOUD</w:t>
            </w:r>
          </w:p>
        </w:tc>
        <w:tc>
          <w:tcPr>
            <w:tcW w:type="dxa" w:w="49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Requires K8s API server integration. GPU cloud infra, not enterprise.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 DAG chaining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DISCARD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Competes with LangGraph/CrewAI/Temporal. Conditional routing is sufficient.</w:t>
            </w:r>
          </w:p>
        </w:tc>
      </w:tr>
    </w:tbl>
    <w:p>
      <w:pPr>
        <w:spacing w:after="80" w:before="200"/>
      </w:pPr>
      <w:r>
        <w:rPr>
          <w:rFonts w:ascii="Arial" w:cs="Arial" w:eastAsia="Arial" w:hAnsi="Arial"/>
          <w:b/>
          <w:bCs/>
          <w:sz w:val="24"/>
          <w:szCs w:val="24"/>
        </w:rPr>
        <w:t xml:space="preserve">What Would Not Work</w:t>
      </w:r>
    </w:p>
    <w:p>
      <w:pPr>
        <w:pStyle w:val="ListParagraph"/>
        <w:numPr>
          <w:ilvl w:val="0"/>
          <w:numId w:val="2"/>
        </w:numPr>
        <w:spacing w:after="80"/>
      </w:pPr>
      <w:r>
        <w:rPr>
          <w:rFonts w:ascii="Arial" w:cs="Arial" w:eastAsia="Arial" w:hAnsi="Arial"/>
          <w:b/>
          <w:bCs/>
          <w:sz w:val="22"/>
          <w:szCs w:val="22"/>
        </w:rPr>
        <w:t xml:space="preserve">Shadow AI without MDM: </w:t>
      </w:r>
      <w:r>
        <w:rPr>
          <w:rFonts w:ascii="Arial" w:cs="Arial" w:eastAsia="Arial" w:hAnsi="Arial"/>
          <w:sz w:val="22"/>
          <w:szCs w:val="22"/>
        </w:rPr>
        <w:t xml:space="preserve">Browser AI (claude.ai, chatgpt.com) bypasses BubbleFish entirely without MDM proxy control. Claiming 'complete AI visibility' without MDM is false.</w:t>
      </w:r>
    </w:p>
    <w:p>
      <w:pPr>
        <w:pStyle w:val="ListParagraph"/>
        <w:numPr>
          <w:ilvl w:val="0"/>
          <w:numId w:val="2"/>
        </w:numPr>
        <w:spacing w:after="80"/>
      </w:pPr>
      <w:r>
        <w:rPr>
          <w:rFonts w:ascii="Arial" w:cs="Arial" w:eastAsia="Arial" w:hAnsi="Arial"/>
          <w:b/>
          <w:bCs/>
          <w:sz w:val="22"/>
          <w:szCs w:val="22"/>
        </w:rPr>
        <w:t xml:space="preserve">TLS inspection without HSM: </w:t>
      </w:r>
      <w:r>
        <w:rPr>
          <w:rFonts w:ascii="Arial" w:cs="Arial" w:eastAsia="Arial" w:hAnsi="Arial"/>
          <w:sz w:val="22"/>
          <w:szCs w:val="22"/>
        </w:rPr>
        <w:t xml:space="preserve">CA key on filesystem = server compromise exposes all HTTPS traffic. Must integrate HSM/KMS or not offer TLS inspection.</w:t>
      </w:r>
    </w:p>
    <w:p>
      <w:pPr>
        <w:pStyle w:val="ListParagraph"/>
        <w:numPr>
          <w:ilvl w:val="0"/>
          <w:numId w:val="2"/>
        </w:numPr>
        <w:spacing w:after="80"/>
      </w:pPr>
      <w:r>
        <w:rPr>
          <w:rFonts w:ascii="Arial" w:cs="Arial" w:eastAsia="Arial" w:hAnsi="Arial"/>
          <w:b/>
          <w:bCs/>
          <w:sz w:val="22"/>
          <w:szCs w:val="22"/>
        </w:rPr>
        <w:t xml:space="preserve">Raft under partition: </w:t>
      </w:r>
      <w:r>
        <w:rPr>
          <w:rFonts w:ascii="Arial" w:cs="Arial" w:eastAsia="Arial" w:hAnsi="Arial"/>
          <w:sz w:val="22"/>
          <w:szCs w:val="22"/>
        </w:rPr>
        <w:t xml:space="preserve">Quorum loss halts all AI access. Must support configurable fail-open mode (proxy without WAL persistence, replay on quorum restore).</w:t>
      </w:r>
    </w:p>
    <w:p>
      <w:pPr>
        <w:pStyle w:val="ListParagraph"/>
        <w:numPr>
          <w:ilvl w:val="0"/>
          <w:numId w:val="2"/>
        </w:numPr>
        <w:spacing w:after="80"/>
      </w:pPr>
      <w:r>
        <w:rPr>
          <w:rFonts w:ascii="Arial" w:cs="Arial" w:eastAsia="Arial" w:hAnsi="Arial"/>
          <w:b/>
          <w:bCs/>
          <w:sz w:val="22"/>
          <w:szCs w:val="22"/>
        </w:rPr>
        <w:t xml:space="preserve">Unbounded payloads: </w:t>
      </w:r>
      <w:r>
        <w:rPr>
          <w:rFonts w:ascii="Arial" w:cs="Arial" w:eastAsia="Arial" w:hAnsi="Arial"/>
          <w:sz w:val="22"/>
          <w:szCs w:val="22"/>
        </w:rPr>
        <w:t xml:space="preserve">Presenter/transform load full payload into memory. 500MB upload OOMs daemon. Need max_payload_size (default 10MB) with 413 rejection.</w:t>
      </w:r>
    </w:p>
    <w:p>
      <w:pPr>
        <w:pStyle w:val="ListParagraph"/>
        <w:numPr>
          <w:ilvl w:val="0"/>
          <w:numId w:val="2"/>
        </w:numPr>
        <w:spacing w:after="80"/>
      </w:pPr>
      <w:r>
        <w:rPr>
          <w:rFonts w:ascii="Arial" w:cs="Arial" w:eastAsia="Arial" w:hAnsi="Arial"/>
          <w:b/>
          <w:bCs/>
          <w:sz w:val="22"/>
          <w:szCs w:val="22"/>
        </w:rPr>
        <w:t xml:space="preserve">Tenant isolation: </w:t>
      </w:r>
      <w:r>
        <w:rPr>
          <w:rFonts w:ascii="Arial" w:cs="Arial" w:eastAsia="Arial" w:hAnsi="Arial"/>
          <w:sz w:val="22"/>
          <w:szCs w:val="22"/>
        </w:rPr>
        <w:t xml:space="preserve">Panicking goroutine in one tenant crashes daemon for all. Need per-tenant recover() boundaries.</w:t>
      </w:r>
    </w:p>
    <w:p>
      <w:pPr>
        <w:spacing w:after="80" w:before="200"/>
      </w:pPr>
      <w:r>
        <w:rPr>
          <w:rFonts w:ascii="Arial" w:cs="Arial" w:eastAsia="Arial" w:hAnsi="Arial"/>
          <w:b/>
          <w:bCs/>
          <w:sz w:val="24"/>
          <w:szCs w:val="24"/>
        </w:rPr>
        <w:t xml:space="preserve">Core Focus for Enterprise</w:t>
      </w:r>
    </w:p>
    <w:p>
      <w:pPr>
        <w:spacing w:after="120"/>
      </w:pPr>
      <w:r>
        <w:rPr>
          <w:rFonts w:ascii="Arial" w:cs="Arial" w:eastAsia="Arial" w:hAnsi="Arial"/>
          <w:b/>
          <w:bCs/>
          <w:sz w:val="22"/>
          <w:szCs w:val="22"/>
        </w:rPr>
        <w:t xml:space="preserve">The Enterprise buyer (CISO / VP Platform / Head of AI Governance) is buying three things:</w:t>
      </w:r>
    </w:p>
    <w:p>
      <w:pPr>
        <w:pStyle w:val="ListParagraph"/>
        <w:numPr>
          <w:ilvl w:val="0"/>
          <w:numId w:val="3"/>
        </w:numPr>
        <w:spacing w:after="60"/>
      </w:pPr>
      <w:r>
        <w:rPr>
          <w:rFonts w:ascii="Arial" w:cs="Arial" w:eastAsia="Arial" w:hAnsi="Arial"/>
          <w:sz w:val="22"/>
          <w:szCs w:val="22"/>
        </w:rPr>
        <w:t xml:space="preserve">Proof all AI API traffic transits a controlled chokepoint (API Key Vault)</w:t>
      </w:r>
    </w:p>
    <w:p>
      <w:pPr>
        <w:pStyle w:val="ListParagraph"/>
        <w:numPr>
          <w:ilvl w:val="0"/>
          <w:numId w:val="3"/>
        </w:numPr>
        <w:spacing w:after="60"/>
      </w:pPr>
      <w:r>
        <w:rPr>
          <w:rFonts w:ascii="Arial" w:cs="Arial" w:eastAsia="Arial" w:hAnsi="Arial"/>
          <w:sz w:val="22"/>
          <w:szCs w:val="22"/>
        </w:rPr>
        <w:t xml:space="preserve">Immutable, tamper-evident audit trail for regulatory compliance (hash-chained WAL)</w:t>
      </w:r>
    </w:p>
    <w:p>
      <w:pPr>
        <w:pStyle w:val="ListParagraph"/>
        <w:numPr>
          <w:ilvl w:val="0"/>
          <w:numId w:val="3"/>
        </w:numPr>
        <w:spacing w:after="60"/>
      </w:pPr>
      <w:r>
        <w:rPr>
          <w:rFonts w:ascii="Arial" w:cs="Arial" w:eastAsia="Arial" w:hAnsi="Arial"/>
          <w:sz w:val="22"/>
          <w:szCs w:val="22"/>
        </w:rPr>
        <w:t xml:space="preserve">Multi-tenant isolation with RBAC for managing AI access across business units</w:t>
      </w:r>
    </w:p>
    <w:p>
      <w:r>
        <w:br w:type="page"/>
      </w:r>
    </w:p>
    <w:p>
      <w:pPr>
        <w:pStyle w:val="Heading2"/>
      </w:pPr>
      <w:r>
        <w:t xml:space="preserve">2.3 BubbleFish for Hyperscalers (AWS, Azure, GCP)</w:t>
      </w:r>
    </w:p>
    <w:p>
      <w:pPr>
        <w:spacing w:after="80" w:before="200"/>
      </w:pPr>
      <w:r>
        <w:rPr>
          <w:rFonts w:ascii="Arial" w:cs="Arial" w:eastAsia="Arial" w:hAnsi="Arial"/>
          <w:b/>
          <w:bCs/>
          <w:sz w:val="24"/>
          <w:szCs w:val="24"/>
        </w:rPr>
        <w:t xml:space="preserve">Environment Assumptions</w:t>
      </w:r>
    </w:p>
    <w:p>
      <w:pPr>
        <w:pStyle w:val="ListParagraph"/>
        <w:numPr>
          <w:ilvl w:val="0"/>
          <w:numId w:val="2"/>
        </w:numPr>
        <w:spacing w:after="60"/>
      </w:pPr>
      <w:r>
        <w:rPr>
          <w:rFonts w:ascii="Arial" w:cs="Arial" w:eastAsia="Arial" w:hAnsi="Arial"/>
          <w:sz w:val="22"/>
          <w:szCs w:val="22"/>
        </w:rPr>
        <w:t xml:space="preserve">Customer deploys into their own VPC/VNet. BubbleFish does not control the environment.</w:t>
      </w:r>
    </w:p>
    <w:p>
      <w:pPr>
        <w:pStyle w:val="ListParagraph"/>
        <w:numPr>
          <w:ilvl w:val="0"/>
          <w:numId w:val="2"/>
        </w:numPr>
        <w:spacing w:after="60"/>
      </w:pPr>
      <w:r>
        <w:rPr>
          <w:rFonts w:ascii="Arial" w:cs="Arial" w:eastAsia="Arial" w:hAnsi="Arial"/>
          <w:sz w:val="22"/>
          <w:szCs w:val="22"/>
        </w:rPr>
        <w:t xml:space="preserve">Cloud IAM is the identity system (IAM roles, managed identity, workload identity federation)</w:t>
      </w:r>
    </w:p>
    <w:p>
      <w:pPr>
        <w:pStyle w:val="ListParagraph"/>
        <w:numPr>
          <w:ilvl w:val="0"/>
          <w:numId w:val="2"/>
        </w:numPr>
        <w:spacing w:after="60"/>
      </w:pPr>
      <w:r>
        <w:rPr>
          <w:rFonts w:ascii="Arial" w:cs="Arial" w:eastAsia="Arial" w:hAnsi="Arial"/>
          <w:sz w:val="22"/>
          <w:szCs w:val="22"/>
        </w:rPr>
        <w:t xml:space="preserve">Security groups, NACLs, route tables control network egress</w:t>
      </w:r>
    </w:p>
    <w:p>
      <w:pPr>
        <w:pStyle w:val="ListParagraph"/>
        <w:numPr>
          <w:ilvl w:val="0"/>
          <w:numId w:val="2"/>
        </w:numPr>
        <w:spacing w:after="60"/>
      </w:pPr>
      <w:r>
        <w:rPr>
          <w:rFonts w:ascii="Arial" w:cs="Arial" w:eastAsia="Arial" w:hAnsi="Arial"/>
          <w:sz w:val="22"/>
          <w:szCs w:val="22"/>
        </w:rPr>
        <w:t xml:space="preserve">Kubernetes (EKS/AKS/GKE) is the likely deployment target</w:t>
      </w:r>
    </w:p>
    <w:p>
      <w:pPr>
        <w:pStyle w:val="ListParagraph"/>
        <w:numPr>
          <w:ilvl w:val="0"/>
          <w:numId w:val="2"/>
        </w:numPr>
        <w:spacing w:after="60"/>
      </w:pPr>
      <w:r>
        <w:rPr>
          <w:rFonts w:ascii="Arial" w:cs="Arial" w:eastAsia="Arial" w:hAnsi="Arial"/>
          <w:sz w:val="22"/>
          <w:szCs w:val="22"/>
        </w:rPr>
        <w:t xml:space="preserve">Distribution via Marketplace, not direct sales to hyperscaler</w:t>
      </w:r>
    </w:p>
    <w:p>
      <w:pPr>
        <w:spacing w:after="80" w:before="200"/>
      </w:pPr>
      <w:r>
        <w:rPr>
          <w:rFonts w:ascii="Arial" w:cs="Arial" w:eastAsia="Arial" w:hAnsi="Arial"/>
          <w:b/>
          <w:bCs/>
          <w:sz w:val="24"/>
          <w:szCs w:val="24"/>
        </w:rPr>
        <w:t xml:space="preserve">Enforcement Reality</w:t>
      </w:r>
    </w:p>
    <w:p>
      <w:pPr>
        <w:spacing w:after="120"/>
      </w:pPr>
      <w:r>
        <w:rPr>
          <w:rFonts w:ascii="Arial" w:cs="Arial" w:eastAsia="Arial" w:hAnsi="Arial"/>
          <w:b/>
          <w:bCs/>
          <w:sz w:val="22"/>
          <w:szCs w:val="22"/>
        </w:rPr>
        <w:t xml:space="preserve">BubbleFish does not control the cloud environment. </w:t>
      </w:r>
      <w:r>
        <w:rPr>
          <w:rFonts w:ascii="Arial" w:cs="Arial" w:eastAsia="Arial" w:hAnsi="Arial"/>
          <w:sz w:val="22"/>
          <w:szCs w:val="22"/>
        </w:rPr>
        <w:t xml:space="preserve">Enforcement depends on customer's VPC config. BubbleFish provides Terraform/CFN/Bicep modules that configure network segmentation (private subnet for AI workloads, egress only to BubbleFish, security groups blocking direct AI provider access). Customer must apply them.</w:t>
      </w:r>
    </w:p>
    <w:p>
      <w:pPr>
        <w:spacing w:after="120"/>
      </w:pPr>
      <w:r>
        <w:rPr>
          <w:rFonts w:ascii="Arial" w:cs="Arial" w:eastAsia="Arial" w:hAnsi="Arial"/>
          <w:b/>
          <w:bCs/>
          <w:sz w:val="22"/>
          <w:szCs w:val="22"/>
        </w:rPr>
        <w:t xml:space="preserve">Identity challenge: </w:t>
      </w:r>
      <w:r>
        <w:rPr>
          <w:rFonts w:ascii="Arial" w:cs="Arial" w:eastAsia="Arial" w:hAnsi="Arial"/>
          <w:sz w:val="22"/>
          <w:szCs w:val="22"/>
        </w:rPr>
        <w:t xml:space="preserve">Hyperscaler AI services (Bedrock, Azure OpenAI, Vertex AI) use cloud-native identity with ephemeral, auto-rotated tokens injected by metadata service. API Key Vault does not work. Alternative: BubbleFish acts as reverse proxy holding cloud-native credentials. Customer workloads call BubbleFish; BubbleFish forwards using its own IAM role/managed identity.</w:t>
      </w:r>
    </w:p>
    <w:p>
      <w:pPr>
        <w:spacing w:after="80" w:before="200"/>
      </w:pPr>
      <w:r>
        <w:rPr>
          <w:rFonts w:ascii="Arial" w:cs="Arial" w:eastAsia="Arial" w:hAnsi="Arial"/>
          <w:b/>
          <w:bCs/>
          <w:sz w:val="24"/>
          <w:szCs w:val="24"/>
        </w:rPr>
        <w:t xml:space="preserve">What Works</w:t>
      </w:r>
    </w:p>
    <w:p>
      <w:pPr>
        <w:pStyle w:val="ListParagraph"/>
        <w:numPr>
          <w:ilvl w:val="0"/>
          <w:numId w:val="2"/>
        </w:numPr>
        <w:spacing w:after="60"/>
      </w:pPr>
      <w:r>
        <w:rPr>
          <w:rFonts w:ascii="Arial" w:cs="Arial" w:eastAsia="Arial" w:hAnsi="Arial"/>
          <w:sz w:val="22"/>
          <w:szCs w:val="22"/>
        </w:rPr>
        <w:t xml:space="preserve">Marketplace listing: AMI, managed app, Cloud Run template. Packaging work.</w:t>
      </w:r>
    </w:p>
    <w:p>
      <w:pPr>
        <w:pStyle w:val="ListParagraph"/>
        <w:numPr>
          <w:ilvl w:val="0"/>
          <w:numId w:val="2"/>
        </w:numPr>
        <w:spacing w:after="60"/>
      </w:pPr>
      <w:r>
        <w:rPr>
          <w:rFonts w:ascii="Arial" w:cs="Arial" w:eastAsia="Arial" w:hAnsi="Arial"/>
          <w:sz w:val="22"/>
          <w:szCs w:val="22"/>
        </w:rPr>
        <w:t xml:space="preserve">Reverse proxy with cloud IAM delegation: Cloud-native equivalent of API Key Vault.</w:t>
      </w:r>
    </w:p>
    <w:p>
      <w:pPr>
        <w:pStyle w:val="ListParagraph"/>
        <w:numPr>
          <w:ilvl w:val="0"/>
          <w:numId w:val="2"/>
        </w:numPr>
        <w:spacing w:after="60"/>
      </w:pPr>
      <w:r>
        <w:rPr>
          <w:rFonts w:ascii="Arial" w:cs="Arial" w:eastAsia="Arial" w:hAnsi="Arial"/>
          <w:sz w:val="22"/>
          <w:szCs w:val="22"/>
        </w:rPr>
        <w:t xml:space="preserve">IaC modules that create VPC/subnet/SG/route enforcement, not just deploy BubbleFish.</w:t>
      </w:r>
    </w:p>
    <w:p>
      <w:pPr>
        <w:pStyle w:val="ListParagraph"/>
        <w:numPr>
          <w:ilvl w:val="0"/>
          <w:numId w:val="2"/>
        </w:numPr>
        <w:spacing w:after="60"/>
      </w:pPr>
      <w:r>
        <w:rPr>
          <w:rFonts w:ascii="Arial" w:cs="Arial" w:eastAsia="Arial" w:hAnsi="Arial"/>
          <w:sz w:val="22"/>
          <w:szCs w:val="22"/>
        </w:rPr>
        <w:t xml:space="preserve">Cloud-native logging: Export WAL + metrics to CloudWatch/Monitor/Cloud Logging.</w:t>
      </w:r>
    </w:p>
    <w:p>
      <w:pPr>
        <w:spacing w:after="80" w:before="200"/>
      </w:pPr>
      <w:r>
        <w:rPr>
          <w:rFonts w:ascii="Arial" w:cs="Arial" w:eastAsia="Arial" w:hAnsi="Arial"/>
          <w:b/>
          <w:bCs/>
          <w:sz w:val="24"/>
          <w:szCs w:val="24"/>
        </w:rPr>
        <w:t xml:space="preserve">What Would Not Work</w:t>
      </w:r>
    </w:p>
    <w:p>
      <w:pPr>
        <w:pStyle w:val="ListParagraph"/>
        <w:numPr>
          <w:ilvl w:val="0"/>
          <w:numId w:val="2"/>
        </w:numPr>
        <w:spacing w:after="80"/>
      </w:pPr>
      <w:r>
        <w:rPr>
          <w:rFonts w:ascii="Arial" w:cs="Arial" w:eastAsia="Arial" w:hAnsi="Arial"/>
          <w:b/>
          <w:bCs/>
          <w:sz w:val="22"/>
          <w:szCs w:val="22"/>
        </w:rPr>
        <w:t xml:space="preserve">Static API Key Vault for cloud AI: </w:t>
      </w:r>
      <w:r>
        <w:rPr>
          <w:rFonts w:ascii="Arial" w:cs="Arial" w:eastAsia="Arial" w:hAnsi="Arial"/>
          <w:sz w:val="22"/>
          <w:szCs w:val="22"/>
        </w:rPr>
        <w:t xml:space="preserve">Bedrock/Azure OpenAI/Vertex AI use IAM roles, not static keys. Must implement cloud-native auth per provider. Months per provider.</w:t>
      </w:r>
    </w:p>
    <w:p>
      <w:pPr>
        <w:pStyle w:val="ListParagraph"/>
        <w:numPr>
          <w:ilvl w:val="0"/>
          <w:numId w:val="2"/>
        </w:numPr>
        <w:spacing w:after="80"/>
      </w:pPr>
      <w:r>
        <w:rPr>
          <w:rFonts w:ascii="Arial" w:cs="Arial" w:eastAsia="Arial" w:hAnsi="Arial"/>
          <w:b/>
          <w:bCs/>
          <w:sz w:val="22"/>
          <w:szCs w:val="22"/>
        </w:rPr>
        <w:t xml:space="preserve">Single IaC module for all clouds: </w:t>
      </w:r>
      <w:r>
        <w:rPr>
          <w:rFonts w:ascii="Arial" w:cs="Arial" w:eastAsia="Arial" w:hAnsi="Arial"/>
          <w:sz w:val="22"/>
          <w:szCs w:val="22"/>
        </w:rPr>
        <w:t xml:space="preserve">AWS/Azure/GCP have fundamentally different networking, IAM, and deployment. Each is a separate product. 2-4 weeks per provider.</w:t>
      </w:r>
    </w:p>
    <w:p>
      <w:pPr>
        <w:pStyle w:val="ListParagraph"/>
        <w:numPr>
          <w:ilvl w:val="0"/>
          <w:numId w:val="2"/>
        </w:numPr>
        <w:spacing w:after="80"/>
      </w:pPr>
      <w:r>
        <w:rPr>
          <w:rFonts w:ascii="Arial" w:cs="Arial" w:eastAsia="Arial" w:hAnsi="Arial"/>
          <w:b/>
          <w:bCs/>
          <w:sz w:val="22"/>
          <w:szCs w:val="22"/>
        </w:rPr>
        <w:t xml:space="preserve">SOC 2 without admin audit logging: </w:t>
      </w:r>
      <w:r>
        <w:rPr>
          <w:rFonts w:ascii="Arial" w:cs="Arial" w:eastAsia="Arial" w:hAnsi="Arial"/>
          <w:sz w:val="22"/>
          <w:szCs w:val="22"/>
        </w:rPr>
        <w:t xml:space="preserve">BubbleFish lacks internal access logging. Required for SOC 2. Must be designed in.</w:t>
      </w:r>
    </w:p>
    <w:p>
      <w:r>
        <w:br w:type="page"/>
      </w:r>
    </w:p>
    <w:p>
      <w:pPr>
        <w:pStyle w:val="Heading2"/>
      </w:pPr>
      <w:r>
        <w:t xml:space="preserve">2.4 BubbleFish for GPU Clouds (CoreWeave, Nebius, Lambda)</w:t>
      </w:r>
    </w:p>
    <w:p>
      <w:pPr>
        <w:spacing w:after="80" w:before="200"/>
      </w:pPr>
      <w:r>
        <w:rPr>
          <w:rFonts w:ascii="Arial" w:cs="Arial" w:eastAsia="Arial" w:hAnsi="Arial"/>
          <w:b/>
          <w:bCs/>
          <w:sz w:val="24"/>
          <w:szCs w:val="24"/>
        </w:rPr>
        <w:t xml:space="preserve">Environment Assumptions</w:t>
      </w:r>
    </w:p>
    <w:p>
      <w:pPr>
        <w:pStyle w:val="ListParagraph"/>
        <w:numPr>
          <w:ilvl w:val="0"/>
          <w:numId w:val="2"/>
        </w:numPr>
        <w:spacing w:after="60"/>
      </w:pPr>
      <w:r>
        <w:rPr>
          <w:rFonts w:ascii="Arial" w:cs="Arial" w:eastAsia="Arial" w:hAnsi="Arial"/>
          <w:sz w:val="22"/>
          <w:szCs w:val="22"/>
        </w:rPr>
        <w:t xml:space="preserve">Kubernetes-native with GPU device plugins (NVIDIA container runtime)</w:t>
      </w:r>
    </w:p>
    <w:p>
      <w:pPr>
        <w:pStyle w:val="ListParagraph"/>
        <w:numPr>
          <w:ilvl w:val="0"/>
          <w:numId w:val="2"/>
        </w:numPr>
        <w:spacing w:after="60"/>
      </w:pPr>
      <w:r>
        <w:rPr>
          <w:rFonts w:ascii="Arial" w:cs="Arial" w:eastAsia="Arial" w:hAnsi="Arial"/>
          <w:sz w:val="22"/>
          <w:szCs w:val="22"/>
        </w:rPr>
        <w:t xml:space="preserve">Multi-tenant: provider serves many customers on shared GPU clusters</w:t>
      </w:r>
    </w:p>
    <w:p>
      <w:pPr>
        <w:pStyle w:val="ListParagraph"/>
        <w:numPr>
          <w:ilvl w:val="0"/>
          <w:numId w:val="2"/>
        </w:numPr>
        <w:spacing w:after="60"/>
      </w:pPr>
      <w:r>
        <w:rPr>
          <w:rFonts w:ascii="Arial" w:cs="Arial" w:eastAsia="Arial" w:hAnsi="Arial"/>
          <w:sz w:val="22"/>
          <w:szCs w:val="22"/>
        </w:rPr>
        <w:t xml:space="preserve">Inference runtimes: vLLM, TGI, Ollama, Triton</w:t>
      </w:r>
    </w:p>
    <w:p>
      <w:pPr>
        <w:pStyle w:val="ListParagraph"/>
        <w:numPr>
          <w:ilvl w:val="0"/>
          <w:numId w:val="2"/>
        </w:numPr>
        <w:spacing w:after="60"/>
      </w:pPr>
      <w:r>
        <w:rPr>
          <w:rFonts w:ascii="Arial" w:cs="Arial" w:eastAsia="Arial" w:hAnsi="Arial"/>
          <w:sz w:val="22"/>
          <w:szCs w:val="22"/>
        </w:rPr>
        <w:t xml:space="preserve">Provider controls cluster. BubbleFish runs as provider infrastructure.</w:t>
      </w:r>
    </w:p>
    <w:p>
      <w:pPr>
        <w:pStyle w:val="ListParagraph"/>
        <w:numPr>
          <w:ilvl w:val="0"/>
          <w:numId w:val="2"/>
        </w:numPr>
        <w:spacing w:after="60"/>
      </w:pPr>
      <w:r>
        <w:rPr>
          <w:rFonts w:ascii="Arial" w:cs="Arial" w:eastAsia="Arial" w:hAnsi="Arial"/>
          <w:sz w:val="22"/>
          <w:szCs w:val="22"/>
        </w:rPr>
        <w:t xml:space="preserve">Billing is per-second or per-token. Revenue attribution is critical.</w:t>
      </w:r>
    </w:p>
    <w:p>
      <w:pPr>
        <w:spacing w:after="80" w:before="200"/>
      </w:pPr>
      <w:r>
        <w:rPr>
          <w:rFonts w:ascii="Arial" w:cs="Arial" w:eastAsia="Arial" w:hAnsi="Arial"/>
          <w:b/>
          <w:bCs/>
          <w:sz w:val="24"/>
          <w:szCs w:val="24"/>
        </w:rPr>
        <w:t xml:space="preserve">Enforcement Reality</w:t>
      </w:r>
    </w:p>
    <w:p>
      <w:pPr>
        <w:spacing w:after="120"/>
      </w:pPr>
      <w:r>
        <w:rPr>
          <w:rFonts w:ascii="Arial" w:cs="Arial" w:eastAsia="Arial" w:hAnsi="Arial"/>
          <w:b/>
          <w:bCs/>
          <w:sz w:val="22"/>
          <w:szCs w:val="22"/>
        </w:rPr>
        <w:t xml:space="preserve">Provider controls the cluster, so enforcement is real. </w:t>
      </w:r>
      <w:r>
        <w:rPr>
          <w:rFonts w:ascii="Arial" w:cs="Arial" w:eastAsia="Arial" w:hAnsi="Arial"/>
          <w:sz w:val="22"/>
          <w:szCs w:val="22"/>
        </w:rPr>
        <w:t xml:space="preserve">Kubernetes NetworkPolicy on inference namespaces allows egress only to BubbleFish service. Provider's API gateway routes customer requests to BubbleFish, which routes to correct GPU pool. Standard K8s service mesh routing.</w:t>
      </w:r>
    </w:p>
    <w:p>
      <w:pPr>
        <w:spacing w:after="120"/>
      </w:pPr>
      <w:r>
        <w:rPr>
          <w:rFonts w:ascii="Arial" w:cs="Arial" w:eastAsia="Arial" w:hAnsi="Arial"/>
          <w:b/>
          <w:bCs/>
          <w:sz w:val="22"/>
          <w:szCs w:val="22"/>
        </w:rPr>
        <w:t xml:space="preserve">GPU-aware routing — honest scope: </w:t>
      </w:r>
      <w:r>
        <w:rPr>
          <w:rFonts w:ascii="Arial" w:cs="Arial" w:eastAsia="Arial" w:hAnsi="Arial"/>
          <w:sz w:val="22"/>
          <w:szCs w:val="22"/>
        </w:rPr>
        <w:t xml:space="preserve">Static model-to-node-pool affinity rules (config file, not scheduler) are buildable and correct. Dynamic real-time GPU scheduling (react to VRAM pressure, queue depth) is a Kubernetes scheduler problem. BubbleFish should not attempt to replicate kube-scheduler. Ship static routing, defer dynamic scheduling to K8s.</w:t>
      </w:r>
    </w:p>
    <w:p>
      <w:pPr>
        <w:spacing w:after="80" w:before="200"/>
      </w:pPr>
      <w:r>
        <w:rPr>
          <w:rFonts w:ascii="Arial" w:cs="Arial" w:eastAsia="Arial" w:hAnsi="Arial"/>
          <w:b/>
          <w:bCs/>
          <w:sz w:val="24"/>
          <w:szCs w:val="24"/>
        </w:rPr>
        <w:t xml:space="preserve">What Works</w:t>
      </w:r>
    </w:p>
    <w:p>
      <w:pPr>
        <w:pStyle w:val="ListParagraph"/>
        <w:numPr>
          <w:ilvl w:val="0"/>
          <w:numId w:val="2"/>
        </w:numPr>
        <w:spacing w:after="60"/>
      </w:pPr>
      <w:r>
        <w:rPr>
          <w:rFonts w:ascii="Arial" w:cs="Arial" w:eastAsia="Arial" w:hAnsi="Arial"/>
          <w:sz w:val="22"/>
          <w:szCs w:val="22"/>
        </w:rPr>
        <w:t xml:space="preserve">Static model-to-pool routing: 'llama-70b' to H100 pool, 'mistral-7b' to A10G pool. Config file.</w:t>
      </w:r>
    </w:p>
    <w:p>
      <w:pPr>
        <w:pStyle w:val="ListParagraph"/>
        <w:numPr>
          <w:ilvl w:val="0"/>
          <w:numId w:val="2"/>
        </w:numPr>
        <w:spacing w:after="60"/>
      </w:pPr>
      <w:r>
        <w:rPr>
          <w:rFonts w:ascii="Arial" w:cs="Arial" w:eastAsia="Arial" w:hAnsi="Arial"/>
          <w:sz w:val="22"/>
          <w:szCs w:val="22"/>
        </w:rPr>
        <w:t xml:space="preserve">Billing events: WAL entries + structured emitter (tenant, model, sizes, duration, token count from inference server headers).</w:t>
      </w:r>
    </w:p>
    <w:p>
      <w:pPr>
        <w:pStyle w:val="ListParagraph"/>
        <w:numPr>
          <w:ilvl w:val="0"/>
          <w:numId w:val="2"/>
        </w:numPr>
        <w:spacing w:after="60"/>
      </w:pPr>
      <w:r>
        <w:rPr>
          <w:rFonts w:ascii="Arial" w:cs="Arial" w:eastAsia="Arial" w:hAnsi="Arial"/>
          <w:sz w:val="22"/>
          <w:szCs w:val="22"/>
        </w:rPr>
        <w:t xml:space="preserve">Multi-tenant namespace isolation: RBAC tenants mapped to K8s namespaces. Dual enforcement (BubbleFish app layer + K8s NetworkPolicy network layer).</w:t>
      </w:r>
    </w:p>
    <w:p>
      <w:pPr>
        <w:pStyle w:val="ListParagraph"/>
        <w:numPr>
          <w:ilvl w:val="0"/>
          <w:numId w:val="2"/>
        </w:numPr>
        <w:spacing w:after="60"/>
      </w:pPr>
      <w:r>
        <w:rPr>
          <w:rFonts w:ascii="Arial" w:cs="Arial" w:eastAsia="Arial" w:hAnsi="Arial"/>
          <w:sz w:val="22"/>
          <w:szCs w:val="22"/>
        </w:rPr>
        <w:t xml:space="preserve">Inference runtime source plugins: vLLM, TGI, Ollama, Triton HTTP APIs fit existing source model.</w:t>
      </w:r>
    </w:p>
    <w:p>
      <w:pPr>
        <w:spacing w:after="80" w:before="200"/>
      </w:pPr>
      <w:r>
        <w:rPr>
          <w:rFonts w:ascii="Arial" w:cs="Arial" w:eastAsia="Arial" w:hAnsi="Arial"/>
          <w:b/>
          <w:bCs/>
          <w:sz w:val="24"/>
          <w:szCs w:val="24"/>
        </w:rPr>
        <w:t xml:space="preserve">What Would Not Work</w:t>
      </w:r>
    </w:p>
    <w:p>
      <w:pPr>
        <w:pStyle w:val="ListParagraph"/>
        <w:numPr>
          <w:ilvl w:val="0"/>
          <w:numId w:val="2"/>
        </w:numPr>
        <w:spacing w:after="80"/>
      </w:pPr>
      <w:r>
        <w:rPr>
          <w:rFonts w:ascii="Arial" w:cs="Arial" w:eastAsia="Arial" w:hAnsi="Arial"/>
          <w:b/>
          <w:bCs/>
          <w:sz w:val="22"/>
          <w:szCs w:val="22"/>
        </w:rPr>
        <w:t xml:space="preserve">BubbleFish as GPU scheduler: </w:t>
      </w:r>
      <w:r>
        <w:rPr>
          <w:rFonts w:ascii="Arial" w:cs="Arial" w:eastAsia="Arial" w:hAnsi="Arial"/>
          <w:sz w:val="22"/>
          <w:szCs w:val="22"/>
        </w:rPr>
        <w:t xml:space="preserve">Dynamic scheduling is a K8s problem. Static affinity rules only.</w:t>
      </w:r>
    </w:p>
    <w:p>
      <w:pPr>
        <w:pStyle w:val="ListParagraph"/>
        <w:numPr>
          <w:ilvl w:val="0"/>
          <w:numId w:val="2"/>
        </w:numPr>
        <w:spacing w:after="80"/>
      </w:pPr>
      <w:r>
        <w:rPr>
          <w:rFonts w:ascii="Arial" w:cs="Arial" w:eastAsia="Arial" w:hAnsi="Arial"/>
          <w:b/>
          <w:bCs/>
          <w:sz w:val="22"/>
          <w:szCs w:val="22"/>
        </w:rPr>
        <w:t xml:space="preserve">Token counting by BubbleFish: </w:t>
      </w:r>
      <w:r>
        <w:rPr>
          <w:rFonts w:ascii="Arial" w:cs="Arial" w:eastAsia="Arial" w:hAnsi="Arial"/>
          <w:sz w:val="22"/>
          <w:szCs w:val="22"/>
        </w:rPr>
        <w:t xml:space="preserve">Accept from inference server headers. If unavailable, log byte size and flag. Do not guess.</w:t>
      </w:r>
    </w:p>
    <w:p>
      <w:pPr>
        <w:pStyle w:val="ListParagraph"/>
        <w:numPr>
          <w:ilvl w:val="0"/>
          <w:numId w:val="2"/>
        </w:numPr>
        <w:spacing w:after="80"/>
      </w:pPr>
      <w:r>
        <w:rPr>
          <w:rFonts w:ascii="Arial" w:cs="Arial" w:eastAsia="Arial" w:hAnsi="Arial"/>
          <w:b/>
          <w:bCs/>
          <w:sz w:val="22"/>
          <w:szCs w:val="22"/>
        </w:rPr>
        <w:t xml:space="preserve">Single-binary deployment: </w:t>
      </w:r>
      <w:r>
        <w:rPr>
          <w:rFonts w:ascii="Arial" w:cs="Arial" w:eastAsia="Arial" w:hAnsi="Arial"/>
          <w:sz w:val="22"/>
          <w:szCs w:val="22"/>
        </w:rPr>
        <w:t xml:space="preserve">GPU clouds run containers in K8s. Must ship as Helm chart with HPA, pod anti-affinity, resource limits.</w:t>
      </w:r>
    </w:p>
    <w:p>
      <w:pPr>
        <w:spacing w:after="80" w:before="200"/>
      </w:pPr>
      <w:r>
        <w:rPr>
          <w:rFonts w:ascii="Arial" w:cs="Arial" w:eastAsia="Arial" w:hAnsi="Arial"/>
          <w:b/>
          <w:bCs/>
          <w:sz w:val="24"/>
          <w:szCs w:val="24"/>
        </w:rPr>
        <w:t xml:space="preserve">GPU Cloud Pitch</w:t>
      </w:r>
    </w:p>
    <w:p>
      <w:pPr>
        <w:spacing w:after="120"/>
      </w:pPr>
      <w:r>
        <w:rPr>
          <w:rFonts w:ascii="Arial" w:cs="Arial" w:eastAsia="Arial" w:hAnsi="Arial"/>
          <w:b/>
          <w:bCs/>
          <w:color w:val="1B3A5C"/>
          <w:sz w:val="22"/>
          <w:szCs w:val="22"/>
        </w:rPr>
        <w:t xml:space="preserve">To the provider: </w:t>
      </w:r>
      <w:r>
        <w:rPr>
          <w:rFonts w:ascii="Arial" w:cs="Arial" w:eastAsia="Arial" w:hAnsi="Arial"/>
          <w:sz w:val="22"/>
          <w:szCs w:val="22"/>
        </w:rPr>
        <w:t xml:space="preserve">'BubbleFish turns raw GPU capacity into a governed AI platform. Tenant isolation, audit trails, usage transparency for your customers. Billing data and compliance for you. Helm chart. NetworkPolicy enforcement. No application changes.'</w:t>
      </w:r>
    </w:p>
    <w:p>
      <w:r>
        <w:br w:type="page"/>
      </w:r>
    </w:p>
    <w:p>
      <w:pPr>
        <w:pStyle w:val="Heading1"/>
      </w:pPr>
      <w:r>
        <w:t xml:space="preserve">3. Required Architecture Changes</w:t>
      </w:r>
    </w:p>
    <w:p>
      <w:pPr>
        <w:spacing w:after="80" w:before="160"/>
      </w:pPr>
      <w:r>
        <w:rPr>
          <w:rFonts w:ascii="Arial" w:cs="Arial" w:eastAsia="Arial" w:hAnsi="Arial"/>
          <w:b/>
          <w:bCs/>
          <w:sz w:val="22"/>
          <w:szCs w:val="22"/>
        </w:rPr>
        <w:t xml:space="preserve">Payload size limits (all versions):</w:t>
      </w:r>
    </w:p>
    <w:p>
      <w:pPr>
        <w:spacing w:after="120"/>
      </w:pPr>
      <w:r>
        <w:rPr>
          <w:rFonts w:ascii="Arial" w:cs="Arial" w:eastAsia="Arial" w:hAnsi="Arial"/>
          <w:sz w:val="22"/>
          <w:szCs w:val="22"/>
        </w:rPr>
        <w:t xml:space="preserve">Configurable max_payload_size (default 10MB) in daemon.toml. Reject above limit with HTTP 413 before processing. Prevents OOM from oversized uploads.</w:t>
      </w:r>
    </w:p>
    <w:p>
      <w:pPr>
        <w:spacing w:after="80" w:before="160"/>
      </w:pPr>
      <w:r>
        <w:rPr>
          <w:rFonts w:ascii="Arial" w:cs="Arial" w:eastAsia="Arial" w:hAnsi="Arial"/>
          <w:b/>
          <w:bCs/>
          <w:sz w:val="22"/>
          <w:szCs w:val="22"/>
        </w:rPr>
        <w:t xml:space="preserve">Per-tenant goroutine recovery (Enterprise, GPU Cloud):</w:t>
      </w:r>
    </w:p>
    <w:p>
      <w:pPr>
        <w:spacing w:after="120"/>
      </w:pPr>
      <w:r>
        <w:rPr>
          <w:rFonts w:ascii="Arial" w:cs="Arial" w:eastAsia="Arial" w:hAnsi="Arial"/>
          <w:sz w:val="22"/>
          <w:szCs w:val="22"/>
        </w:rPr>
        <w:t xml:space="preserve">Wrap every per-tenant handler and queue worker in deferred recover(). Log panic with stack trace, return 500, increment errors_total, continue serving other tenants.</w:t>
      </w:r>
    </w:p>
    <w:p>
      <w:pPr>
        <w:spacing w:after="80" w:before="160"/>
      </w:pPr>
      <w:r>
        <w:rPr>
          <w:rFonts w:ascii="Arial" w:cs="Arial" w:eastAsia="Arial" w:hAnsi="Arial"/>
          <w:b/>
          <w:bCs/>
          <w:sz w:val="22"/>
          <w:szCs w:val="22"/>
        </w:rPr>
        <w:t xml:space="preserve">Cryptographic WAL integrity (Enterprise, Hyperscaler, GPU Cloud):</w:t>
      </w:r>
    </w:p>
    <w:p>
      <w:pPr>
        <w:spacing w:after="120"/>
      </w:pPr>
      <w:r>
        <w:rPr>
          <w:rFonts w:ascii="Arial" w:cs="Arial" w:eastAsia="Arial" w:hAnsi="Arial"/>
          <w:sz w:val="22"/>
          <w:szCs w:val="22"/>
        </w:rPr>
        <w:t xml:space="preserve">Each WAL entry includes SHA-256 hash of previous entry. First entry hashes configurable seed. On replay, verify chain. Tampered entry halts replay with critical alert.</w:t>
      </w:r>
    </w:p>
    <w:p>
      <w:pPr>
        <w:spacing w:after="80" w:before="160"/>
      </w:pPr>
      <w:r>
        <w:rPr>
          <w:rFonts w:ascii="Arial" w:cs="Arial" w:eastAsia="Arial" w:hAnsi="Arial"/>
          <w:b/>
          <w:bCs/>
          <w:sz w:val="22"/>
          <w:szCs w:val="22"/>
        </w:rPr>
        <w:t xml:space="preserve">Fail-open mode for Raft (Enterprise):</w:t>
      </w:r>
    </w:p>
    <w:p>
      <w:pPr>
        <w:spacing w:after="120"/>
      </w:pPr>
      <w:r>
        <w:rPr>
          <w:rFonts w:ascii="Arial" w:cs="Arial" w:eastAsia="Arial" w:hAnsi="Arial"/>
          <w:sz w:val="22"/>
          <w:szCs w:val="22"/>
        </w:rPr>
        <w:t xml:space="preserve">fail_mode = 'closed' | 'open'. Closed (default): quorum loss halts processing. Open: continue proxying without WAL persistence, log to local overflow file, replay on quorum restore.</w:t>
      </w:r>
    </w:p>
    <w:p>
      <w:pPr>
        <w:spacing w:after="80" w:before="160"/>
      </w:pPr>
      <w:r>
        <w:rPr>
          <w:rFonts w:ascii="Arial" w:cs="Arial" w:eastAsia="Arial" w:hAnsi="Arial"/>
          <w:b/>
          <w:bCs/>
          <w:sz w:val="22"/>
          <w:szCs w:val="22"/>
        </w:rPr>
        <w:t xml:space="preserve">HSM integration for TLS CA key (Enterprise):</w:t>
      </w:r>
    </w:p>
    <w:p>
      <w:pPr>
        <w:spacing w:after="120"/>
      </w:pPr>
      <w:r>
        <w:rPr>
          <w:rFonts w:ascii="Arial" w:cs="Arial" w:eastAsia="Arial" w:hAnsi="Arial"/>
          <w:sz w:val="22"/>
          <w:szCs w:val="22"/>
        </w:rPr>
        <w:t xml:space="preserve">CA private key via PKCS#11 or KMS API (HashiCorp Vault, AWS CloudHSM, Azure Dedicated HSM). Never read into process memory from config file. Without this, TLS inspection is a liability.</w:t>
      </w:r>
    </w:p>
    <w:p>
      <w:pPr>
        <w:spacing w:after="80" w:before="160"/>
      </w:pPr>
      <w:r>
        <w:rPr>
          <w:rFonts w:ascii="Arial" w:cs="Arial" w:eastAsia="Arial" w:hAnsi="Arial"/>
          <w:b/>
          <w:bCs/>
          <w:sz w:val="22"/>
          <w:szCs w:val="22"/>
        </w:rPr>
        <w:t xml:space="preserve">Admin audit logging (Enterprise, Hyperscaler):</w:t>
      </w:r>
    </w:p>
    <w:p>
      <w:pPr>
        <w:spacing w:after="120"/>
      </w:pPr>
      <w:r>
        <w:rPr>
          <w:rFonts w:ascii="Arial" w:cs="Arial" w:eastAsia="Arial" w:hAnsi="Arial"/>
          <w:sz w:val="22"/>
          <w:szCs w:val="22"/>
        </w:rPr>
        <w:t xml:space="preserve">Separate admin audit WAL: actor identity, timestamp, action, before/after state for every config change, RBAC modification, license rotation, WAL export, retention change. Required for SOC 2.</w:t>
      </w:r>
    </w:p>
    <w:p>
      <w:pPr>
        <w:spacing w:after="80" w:before="160"/>
      </w:pPr>
      <w:r>
        <w:rPr>
          <w:rFonts w:ascii="Arial" w:cs="Arial" w:eastAsia="Arial" w:hAnsi="Arial"/>
          <w:b/>
          <w:bCs/>
          <w:sz w:val="22"/>
          <w:szCs w:val="22"/>
        </w:rPr>
        <w:t xml:space="preserve">WAL compaction (all versions):</w:t>
      </w:r>
    </w:p>
    <w:p>
      <w:pPr>
        <w:spacing w:after="120"/>
      </w:pPr>
      <w:r>
        <w:rPr>
          <w:rFonts w:ascii="Arial" w:cs="Arial" w:eastAsia="Arial" w:hAnsi="Arial"/>
          <w:sz w:val="22"/>
          <w:szCs w:val="22"/>
        </w:rPr>
        <w:t xml:space="preserve">Checkpointing strategy to prevent unbounded WAL growth. After successful delivery confirmation, entries older than retention window are compacted. Community: simple age-based truncation. Enterprise: archive-then-truncate with audit export.</w:t>
      </w:r>
    </w:p>
    <w:p>
      <w:r>
        <w:br w:type="page"/>
      </w:r>
    </w:p>
    <w:p>
      <w:pPr>
        <w:pStyle w:val="Heading1"/>
      </w:pPr>
      <w:r>
        <w:t xml:space="preserve">4. Revised Build Plans</w:t>
      </w:r>
    </w:p>
    <w:p>
      <w:pPr>
        <w:pStyle w:val="Heading2"/>
      </w:pPr>
      <w:r>
        <w:t xml:space="preserve">4.1 Community Build Plan</w:t>
      </w:r>
    </w:p>
    <w:p>
      <w:pPr>
        <w:spacing w:after="120"/>
      </w:pPr>
      <w:r>
        <w:rPr>
          <w:rFonts w:ascii="Arial" w:cs="Arial" w:eastAsia="Arial" w:hAnsi="Arial"/>
          <w:sz w:val="22"/>
          <w:szCs w:val="22"/>
        </w:rPr>
        <w:t xml:space="preserve">Starting point: Phases 0-4 complete.</w:t>
      </w:r>
    </w:p>
    <w:p>
      <w:pPr>
        <w:spacing w:after="80" w:before="160"/>
      </w:pPr>
      <w:r>
        <w:rPr>
          <w:rFonts w:ascii="Arial" w:cs="Arial" w:eastAsia="Arial" w:hAnsi="Arial"/>
          <w:b/>
          <w:bCs/>
          <w:sz w:val="22"/>
          <w:szCs w:val="22"/>
        </w:rPr>
        <w:t xml:space="preserve">Phase 5: Core Hardening (1-2 weeks)</w:t>
      </w:r>
    </w:p>
    <w:p>
      <w:pPr>
        <w:pStyle w:val="ListParagraph"/>
        <w:numPr>
          <w:ilvl w:val="0"/>
          <w:numId w:val="2"/>
        </w:numPr>
        <w:spacing w:after="60"/>
      </w:pPr>
      <w:r>
        <w:rPr>
          <w:rFonts w:ascii="Arial" w:cs="Arial" w:eastAsia="Arial" w:hAnsi="Arial"/>
          <w:sz w:val="22"/>
          <w:szCs w:val="22"/>
        </w:rPr>
        <w:t xml:space="preserve">max_payload_size with HTTP 413 rejection</w:t>
      </w:r>
    </w:p>
    <w:p>
      <w:pPr>
        <w:pStyle w:val="ListParagraph"/>
        <w:numPr>
          <w:ilvl w:val="0"/>
          <w:numId w:val="2"/>
        </w:numPr>
        <w:spacing w:after="60"/>
      </w:pPr>
      <w:r>
        <w:rPr>
          <w:rFonts w:ascii="Arial" w:cs="Arial" w:eastAsia="Arial" w:hAnsi="Arial"/>
          <w:sz w:val="22"/>
          <w:szCs w:val="22"/>
        </w:rPr>
        <w:t xml:space="preserve">WAL compaction / checkpointing (prevent unbounded growth)</w:t>
      </w:r>
    </w:p>
    <w:p>
      <w:pPr>
        <w:pStyle w:val="ListParagraph"/>
        <w:numPr>
          <w:ilvl w:val="0"/>
          <w:numId w:val="2"/>
        </w:numPr>
        <w:spacing w:after="60"/>
      </w:pPr>
      <w:r>
        <w:rPr>
          <w:rFonts w:ascii="Arial" w:cs="Arial" w:eastAsia="Arial" w:hAnsi="Arial"/>
          <w:sz w:val="22"/>
          <w:szCs w:val="22"/>
        </w:rPr>
        <w:t xml:space="preserve">/healthz and /readyz endpoints</w:t>
      </w:r>
    </w:p>
    <w:p>
      <w:pPr>
        <w:pStyle w:val="ListParagraph"/>
        <w:numPr>
          <w:ilvl w:val="0"/>
          <w:numId w:val="2"/>
        </w:numPr>
        <w:spacing w:after="60"/>
      </w:pPr>
      <w:r>
        <w:rPr>
          <w:rFonts w:ascii="Arial" w:cs="Arial" w:eastAsia="Arial" w:hAnsi="Arial"/>
          <w:sz w:val="22"/>
          <w:szCs w:val="22"/>
        </w:rPr>
        <w:t xml:space="preserve">Structured JSON logging option</w:t>
      </w:r>
    </w:p>
    <w:p>
      <w:pPr>
        <w:pStyle w:val="ListParagraph"/>
        <w:numPr>
          <w:ilvl w:val="0"/>
          <w:numId w:val="2"/>
        </w:numPr>
        <w:spacing w:after="60"/>
      </w:pPr>
      <w:r>
        <w:rPr>
          <w:rFonts w:ascii="Arial" w:cs="Arial" w:eastAsia="Arial" w:hAnsi="Arial"/>
          <w:sz w:val="22"/>
          <w:szCs w:val="22"/>
        </w:rPr>
        <w:t xml:space="preserve">Docker image: multi-stage build, scratch base, Docker Hub + GHCR</w:t>
      </w:r>
    </w:p>
    <w:p>
      <w:pPr>
        <w:pStyle w:val="ListParagraph"/>
        <w:numPr>
          <w:ilvl w:val="0"/>
          <w:numId w:val="2"/>
        </w:numPr>
        <w:spacing w:after="60"/>
      </w:pPr>
      <w:r>
        <w:rPr>
          <w:rFonts w:ascii="Arial" w:cs="Arial" w:eastAsia="Arial" w:hAnsi="Arial"/>
          <w:sz w:val="22"/>
          <w:szCs w:val="22"/>
        </w:rPr>
        <w:t xml:space="preserve">Install script: curl | sh, brew formula, winget manifest</w:t>
      </w:r>
    </w:p>
    <w:p>
      <w:pPr>
        <w:spacing w:after="80" w:before="160"/>
      </w:pPr>
      <w:r>
        <w:rPr>
          <w:rFonts w:ascii="Arial" w:cs="Arial" w:eastAsia="Arial" w:hAnsi="Arial"/>
          <w:b/>
          <w:bCs/>
          <w:sz w:val="22"/>
          <w:szCs w:val="22"/>
        </w:rPr>
        <w:t xml:space="preserve">Phase 6: Transport Middleware SDK (2-3 weeks)</w:t>
      </w:r>
    </w:p>
    <w:p>
      <w:pPr>
        <w:pStyle w:val="ListParagraph"/>
        <w:numPr>
          <w:ilvl w:val="0"/>
          <w:numId w:val="2"/>
        </w:numPr>
        <w:spacing w:after="60"/>
      </w:pPr>
      <w:r>
        <w:rPr>
          <w:rFonts w:ascii="Arial" w:cs="Arial" w:eastAsia="Arial" w:hAnsi="Arial"/>
          <w:sz w:val="22"/>
          <w:szCs w:val="22"/>
        </w:rPr>
        <w:t xml:space="preserve">Go: http.RoundTripper wrapper. Existing SDKs handle all API logic.</w:t>
      </w:r>
    </w:p>
    <w:p>
      <w:pPr>
        <w:pStyle w:val="ListParagraph"/>
        <w:numPr>
          <w:ilvl w:val="0"/>
          <w:numId w:val="2"/>
        </w:numPr>
        <w:spacing w:after="60"/>
      </w:pPr>
      <w:r>
        <w:rPr>
          <w:rFonts w:ascii="Arial" w:cs="Arial" w:eastAsia="Arial" w:hAnsi="Arial"/>
          <w:sz w:val="22"/>
          <w:szCs w:val="22"/>
        </w:rPr>
        <w:t xml:space="preserve">Python: httpx transport wrapper. Three lines to add.</w:t>
      </w:r>
    </w:p>
    <w:p>
      <w:pPr>
        <w:pStyle w:val="ListParagraph"/>
        <w:numPr>
          <w:ilvl w:val="0"/>
          <w:numId w:val="2"/>
        </w:numPr>
        <w:spacing w:after="60"/>
      </w:pPr>
      <w:r>
        <w:rPr>
          <w:rFonts w:ascii="Arial" w:cs="Arial" w:eastAsia="Arial" w:hAnsi="Arial"/>
          <w:sz w:val="22"/>
          <w:szCs w:val="22"/>
        </w:rPr>
        <w:t xml:space="preserve">Node.js: fetch wrapper or Axios interceptor.</w:t>
      </w:r>
    </w:p>
    <w:p>
      <w:pPr>
        <w:pStyle w:val="ListParagraph"/>
        <w:numPr>
          <w:ilvl w:val="0"/>
          <w:numId w:val="2"/>
        </w:numPr>
        <w:spacing w:after="60"/>
      </w:pPr>
      <w:r>
        <w:rPr>
          <w:rFonts w:ascii="Arial" w:cs="Arial" w:eastAsia="Arial" w:hAnsi="Arial"/>
          <w:sz w:val="22"/>
          <w:szCs w:val="22"/>
        </w:rPr>
        <w:t xml:space="preserve">Design constraint: SDKs NEVER parse API payloads. Capture raw HTTP only.</w:t>
      </w:r>
    </w:p>
    <w:p>
      <w:pPr>
        <w:spacing w:after="80" w:before="160"/>
      </w:pPr>
      <w:r>
        <w:rPr>
          <w:rFonts w:ascii="Arial" w:cs="Arial" w:eastAsia="Arial" w:hAnsi="Arial"/>
          <w:b/>
          <w:bCs/>
          <w:sz w:val="22"/>
          <w:szCs w:val="22"/>
        </w:rPr>
        <w:t xml:space="preserve">Phase 7: Documentation and Launch Prep (1-2 weeks)</w:t>
      </w:r>
    </w:p>
    <w:p>
      <w:pPr>
        <w:pStyle w:val="ListParagraph"/>
        <w:numPr>
          <w:ilvl w:val="0"/>
          <w:numId w:val="2"/>
        </w:numPr>
        <w:spacing w:after="60"/>
      </w:pPr>
      <w:r>
        <w:rPr>
          <w:rFonts w:ascii="Arial" w:cs="Arial" w:eastAsia="Arial" w:hAnsi="Arial"/>
          <w:sz w:val="22"/>
          <w:szCs w:val="22"/>
        </w:rPr>
        <w:t xml:space="preserve">README with 60-second quickstart</w:t>
      </w:r>
    </w:p>
    <w:p>
      <w:pPr>
        <w:pStyle w:val="ListParagraph"/>
        <w:numPr>
          <w:ilvl w:val="0"/>
          <w:numId w:val="2"/>
        </w:numPr>
        <w:spacing w:after="60"/>
      </w:pPr>
      <w:r>
        <w:rPr>
          <w:rFonts w:ascii="Arial" w:cs="Arial" w:eastAsia="Arial" w:hAnsi="Arial"/>
          <w:sz w:val="22"/>
          <w:szCs w:val="22"/>
        </w:rPr>
        <w:t xml:space="preserve">Architecture docs, config reference, destination plugin guide</w:t>
      </w:r>
    </w:p>
    <w:p>
      <w:pPr>
        <w:pStyle w:val="ListParagraph"/>
        <w:numPr>
          <w:ilvl w:val="0"/>
          <w:numId w:val="2"/>
        </w:numPr>
        <w:spacing w:after="60"/>
      </w:pPr>
      <w:r>
        <w:rPr>
          <w:rFonts w:ascii="Arial" w:cs="Arial" w:eastAsia="Arial" w:hAnsi="Arial"/>
          <w:sz w:val="22"/>
          <w:szCs w:val="22"/>
        </w:rPr>
        <w:t xml:space="preserve">bubblefish.dev website</w:t>
      </w:r>
    </w:p>
    <w:p>
      <w:pPr>
        <w:pStyle w:val="ListParagraph"/>
        <w:numPr>
          <w:ilvl w:val="0"/>
          <w:numId w:val="2"/>
        </w:numPr>
        <w:spacing w:after="60"/>
      </w:pPr>
      <w:r>
        <w:rPr>
          <w:rFonts w:ascii="Arial" w:cs="Arial" w:eastAsia="Arial" w:hAnsi="Arial"/>
          <w:sz w:val="22"/>
          <w:szCs w:val="22"/>
        </w:rPr>
        <w:t xml:space="preserve">GitHub: LICENSE, CONTRIBUTING, SECURITY.md, CI (go test, go vet, goreleaser)</w:t>
      </w:r>
    </w:p>
    <w:p>
      <w:pPr>
        <w:spacing w:after="80" w:before="160"/>
      </w:pPr>
      <w:r>
        <w:rPr>
          <w:rFonts w:ascii="Arial" w:cs="Arial" w:eastAsia="Arial" w:hAnsi="Arial"/>
          <w:b/>
          <w:bCs/>
          <w:sz w:val="22"/>
          <w:szCs w:val="22"/>
        </w:rPr>
        <w:t xml:space="preserve">Phase 8: Public Launch</w:t>
      </w:r>
    </w:p>
    <w:p>
      <w:pPr>
        <w:pStyle w:val="ListParagraph"/>
        <w:numPr>
          <w:ilvl w:val="0"/>
          <w:numId w:val="2"/>
        </w:numPr>
        <w:spacing w:after="60"/>
      </w:pPr>
      <w:r>
        <w:rPr>
          <w:rFonts w:ascii="Arial" w:cs="Arial" w:eastAsia="Arial" w:hAnsi="Arial"/>
          <w:sz w:val="22"/>
          <w:szCs w:val="22"/>
        </w:rPr>
        <w:t xml:space="preserve">Hacker News Show HN post</w:t>
      </w:r>
    </w:p>
    <w:p>
      <w:pPr>
        <w:pStyle w:val="ListParagraph"/>
        <w:numPr>
          <w:ilvl w:val="0"/>
          <w:numId w:val="2"/>
        </w:numPr>
        <w:spacing w:after="60"/>
      </w:pPr>
      <w:r>
        <w:rPr>
          <w:rFonts w:ascii="Arial" w:cs="Arial" w:eastAsia="Arial" w:hAnsi="Arial"/>
          <w:sz w:val="22"/>
          <w:szCs w:val="22"/>
        </w:rPr>
        <w:t xml:space="preserve">LinkedIn targeting AI infrastructure / platform engineering</w:t>
      </w:r>
    </w:p>
    <w:p>
      <w:pPr>
        <w:pStyle w:val="ListParagraph"/>
        <w:numPr>
          <w:ilvl w:val="0"/>
          <w:numId w:val="2"/>
        </w:numPr>
        <w:spacing w:after="60"/>
      </w:pPr>
      <w:r>
        <w:rPr>
          <w:rFonts w:ascii="Arial" w:cs="Arial" w:eastAsia="Arial" w:hAnsi="Arial"/>
          <w:sz w:val="22"/>
          <w:szCs w:val="22"/>
        </w:rPr>
        <w:t xml:space="preserve">goreleaser binaries for Linux/macOS/Windows</w:t>
      </w:r>
    </w:p>
    <w:p>
      <w:pPr>
        <w:spacing w:before="200"/>
      </w:pPr>
    </w:p>
    <w:p>
      <w:pPr>
        <w:pStyle w:val="Heading2"/>
      </w:pPr>
      <w:r>
        <w:t xml:space="preserve">4.2 Enterprise Build Plan</w:t>
      </w:r>
    </w:p>
    <w:p>
      <w:pPr>
        <w:spacing w:after="120"/>
      </w:pPr>
      <w:r>
        <w:rPr>
          <w:rFonts w:ascii="Arial" w:cs="Arial" w:eastAsia="Arial" w:hAnsi="Arial"/>
          <w:sz w:val="22"/>
          <w:szCs w:val="22"/>
        </w:rPr>
        <w:t xml:space="preserve">Starting point: Community Phase 8 shipped.</w:t>
      </w:r>
    </w:p>
    <w:p>
      <w:pPr>
        <w:spacing w:after="80" w:before="160"/>
      </w:pPr>
      <w:r>
        <w:rPr>
          <w:rFonts w:ascii="Arial" w:cs="Arial" w:eastAsia="Arial" w:hAnsi="Arial"/>
          <w:b/>
          <w:bCs/>
          <w:sz w:val="22"/>
          <w:szCs w:val="22"/>
        </w:rPr>
        <w:t xml:space="preserve">Phase E1: API Key Vault + Proxy (3-4 weeks)</w:t>
      </w:r>
    </w:p>
    <w:p>
      <w:pPr>
        <w:pStyle w:val="ListParagraph"/>
        <w:numPr>
          <w:ilvl w:val="0"/>
          <w:numId w:val="2"/>
        </w:numPr>
        <w:spacing w:after="60"/>
      </w:pPr>
      <w:r>
        <w:rPr>
          <w:rFonts w:ascii="Arial" w:cs="Arial" w:eastAsia="Arial" w:hAnsi="Arial"/>
          <w:sz w:val="22"/>
          <w:szCs w:val="22"/>
        </w:rPr>
        <w:t xml:space="preserve">Credential vault: encrypted AI provider key storage</w:t>
      </w:r>
    </w:p>
    <w:p>
      <w:pPr>
        <w:pStyle w:val="ListParagraph"/>
        <w:numPr>
          <w:ilvl w:val="0"/>
          <w:numId w:val="2"/>
        </w:numPr>
        <w:spacing w:after="60"/>
      </w:pPr>
      <w:r>
        <w:rPr>
          <w:rFonts w:ascii="Arial" w:cs="Arial" w:eastAsia="Arial" w:hAnsi="Arial"/>
          <w:sz w:val="22"/>
          <w:szCs w:val="22"/>
        </w:rPr>
        <w:t xml:space="preserve">Synthetic key issuance per developer/team/app</w:t>
      </w:r>
    </w:p>
    <w:p>
      <w:pPr>
        <w:pStyle w:val="ListParagraph"/>
        <w:numPr>
          <w:ilvl w:val="0"/>
          <w:numId w:val="2"/>
        </w:numPr>
        <w:spacing w:after="60"/>
      </w:pPr>
      <w:r>
        <w:rPr>
          <w:rFonts w:ascii="Arial" w:cs="Arial" w:eastAsia="Arial" w:hAnsi="Arial"/>
          <w:sz w:val="22"/>
          <w:szCs w:val="22"/>
        </w:rPr>
        <w:t xml:space="preserve">Forward proxy: synthetic key in, real key out, capture both directions</w:t>
      </w:r>
    </w:p>
    <w:p>
      <w:pPr>
        <w:pStyle w:val="ListParagraph"/>
        <w:numPr>
          <w:ilvl w:val="0"/>
          <w:numId w:val="2"/>
        </w:numPr>
        <w:spacing w:after="60"/>
      </w:pPr>
      <w:r>
        <w:rPr>
          <w:rFonts w:ascii="Arial" w:cs="Arial" w:eastAsia="Arial" w:hAnsi="Arial"/>
          <w:sz w:val="22"/>
          <w:szCs w:val="22"/>
        </w:rPr>
        <w:t xml:space="preserve">Validation: prove direct API calls fail without BubbleFish</w:t>
      </w:r>
    </w:p>
    <w:p>
      <w:pPr>
        <w:spacing w:after="80" w:before="160"/>
      </w:pPr>
      <w:r>
        <w:rPr>
          <w:rFonts w:ascii="Arial" w:cs="Arial" w:eastAsia="Arial" w:hAnsi="Arial"/>
          <w:b/>
          <w:bCs/>
          <w:sz w:val="22"/>
          <w:szCs w:val="22"/>
        </w:rPr>
        <w:t xml:space="preserve">Phase E2: RBAC + Multi-Tenant (2-3 weeks)</w:t>
      </w:r>
    </w:p>
    <w:p>
      <w:pPr>
        <w:pStyle w:val="ListParagraph"/>
        <w:numPr>
          <w:ilvl w:val="0"/>
          <w:numId w:val="2"/>
        </w:numPr>
        <w:spacing w:after="60"/>
      </w:pPr>
      <w:r>
        <w:rPr>
          <w:rFonts w:ascii="Arial" w:cs="Arial" w:eastAsia="Arial" w:hAnsi="Arial"/>
          <w:sz w:val="22"/>
          <w:szCs w:val="22"/>
        </w:rPr>
        <w:t xml:space="preserve">Role-based access: admin, writer, reader, per source/destination</w:t>
      </w:r>
    </w:p>
    <w:p>
      <w:pPr>
        <w:pStyle w:val="ListParagraph"/>
        <w:numPr>
          <w:ilvl w:val="0"/>
          <w:numId w:val="2"/>
        </w:numPr>
        <w:spacing w:after="60"/>
      </w:pPr>
      <w:r>
        <w:rPr>
          <w:rFonts w:ascii="Arial" w:cs="Arial" w:eastAsia="Arial" w:hAnsi="Arial"/>
          <w:sz w:val="22"/>
          <w:szCs w:val="22"/>
        </w:rPr>
        <w:t xml:space="preserve">Tenant namespace isolation</w:t>
      </w:r>
    </w:p>
    <w:p>
      <w:pPr>
        <w:pStyle w:val="ListParagraph"/>
        <w:numPr>
          <w:ilvl w:val="0"/>
          <w:numId w:val="2"/>
        </w:numPr>
        <w:spacing w:after="60"/>
      </w:pPr>
      <w:r>
        <w:rPr>
          <w:rFonts w:ascii="Arial" w:cs="Arial" w:eastAsia="Arial" w:hAnsi="Arial"/>
          <w:sz w:val="22"/>
          <w:szCs w:val="22"/>
        </w:rPr>
        <w:t xml:space="preserve">Per-tenant goroutine recovery boundaries</w:t>
      </w:r>
    </w:p>
    <w:p>
      <w:pPr>
        <w:spacing w:after="80" w:before="160"/>
      </w:pPr>
      <w:r>
        <w:rPr>
          <w:rFonts w:ascii="Arial" w:cs="Arial" w:eastAsia="Arial" w:hAnsi="Arial"/>
          <w:b/>
          <w:bCs/>
          <w:sz w:val="22"/>
          <w:szCs w:val="22"/>
        </w:rPr>
        <w:t xml:space="preserve">Phase E3: Crypto WAL + Encryption (2 weeks)</w:t>
      </w:r>
    </w:p>
    <w:p>
      <w:pPr>
        <w:pStyle w:val="ListParagraph"/>
        <w:numPr>
          <w:ilvl w:val="0"/>
          <w:numId w:val="2"/>
        </w:numPr>
        <w:spacing w:after="60"/>
      </w:pPr>
      <w:r>
        <w:rPr>
          <w:rFonts w:ascii="Arial" w:cs="Arial" w:eastAsia="Arial" w:hAnsi="Arial"/>
          <w:sz w:val="22"/>
          <w:szCs w:val="22"/>
        </w:rPr>
        <w:t xml:space="preserve">SHA-256 hash chain on WAL entries</w:t>
      </w:r>
    </w:p>
    <w:p>
      <w:pPr>
        <w:pStyle w:val="ListParagraph"/>
        <w:numPr>
          <w:ilvl w:val="0"/>
          <w:numId w:val="2"/>
        </w:numPr>
        <w:spacing w:after="60"/>
      </w:pPr>
      <w:r>
        <w:rPr>
          <w:rFonts w:ascii="Arial" w:cs="Arial" w:eastAsia="Arial" w:hAnsi="Arial"/>
          <w:sz w:val="22"/>
          <w:szCs w:val="22"/>
        </w:rPr>
        <w:t xml:space="preserve">AES-256 at rest for WAL and destinations</w:t>
      </w:r>
    </w:p>
    <w:p>
      <w:pPr>
        <w:pStyle w:val="ListParagraph"/>
        <w:numPr>
          <w:ilvl w:val="0"/>
          <w:numId w:val="2"/>
        </w:numPr>
        <w:spacing w:after="60"/>
      </w:pPr>
      <w:r>
        <w:rPr>
          <w:rFonts w:ascii="Arial" w:cs="Arial" w:eastAsia="Arial" w:hAnsi="Arial"/>
          <w:sz w:val="22"/>
          <w:szCs w:val="22"/>
        </w:rPr>
        <w:t xml:space="preserve">Key management hooks: Vault, AWS KMS, Azure Key Vault</w:t>
      </w:r>
    </w:p>
    <w:p>
      <w:pPr>
        <w:spacing w:after="80" w:before="160"/>
      </w:pPr>
      <w:r>
        <w:rPr>
          <w:rFonts w:ascii="Arial" w:cs="Arial" w:eastAsia="Arial" w:hAnsi="Arial"/>
          <w:b/>
          <w:bCs/>
          <w:sz w:val="22"/>
          <w:szCs w:val="22"/>
        </w:rPr>
        <w:t xml:space="preserve">Phase E4: Raft Clustering (3-4 weeks)</w:t>
      </w:r>
    </w:p>
    <w:p>
      <w:pPr>
        <w:pStyle w:val="ListParagraph"/>
        <w:numPr>
          <w:ilvl w:val="0"/>
          <w:numId w:val="2"/>
        </w:numPr>
        <w:spacing w:after="60"/>
      </w:pPr>
      <w:r>
        <w:rPr>
          <w:rFonts w:ascii="Arial" w:cs="Arial" w:eastAsia="Arial" w:hAnsi="Arial"/>
          <w:sz w:val="22"/>
          <w:szCs w:val="22"/>
        </w:rPr>
        <w:t xml:space="preserve">Embedded etcd Raft: leader election, WAL replication</w:t>
      </w:r>
    </w:p>
    <w:p>
      <w:pPr>
        <w:pStyle w:val="ListParagraph"/>
        <w:numPr>
          <w:ilvl w:val="0"/>
          <w:numId w:val="2"/>
        </w:numPr>
        <w:spacing w:after="60"/>
      </w:pPr>
      <w:r>
        <w:rPr>
          <w:rFonts w:ascii="Arial" w:cs="Arial" w:eastAsia="Arial" w:hAnsi="Arial"/>
          <w:sz w:val="22"/>
          <w:szCs w:val="22"/>
        </w:rPr>
        <w:t xml:space="preserve">Configurable fail-open / fail-closed</w:t>
      </w:r>
    </w:p>
    <w:p>
      <w:pPr>
        <w:pStyle w:val="ListParagraph"/>
        <w:numPr>
          <w:ilvl w:val="0"/>
          <w:numId w:val="2"/>
        </w:numPr>
        <w:spacing w:after="60"/>
      </w:pPr>
      <w:r>
        <w:rPr>
          <w:rFonts w:ascii="Arial" w:cs="Arial" w:eastAsia="Arial" w:hAnsi="Arial"/>
          <w:sz w:val="22"/>
          <w:szCs w:val="22"/>
        </w:rPr>
        <w:t xml:space="preserve">Zero-downtime rolling upgrades</w:t>
      </w:r>
    </w:p>
    <w:p>
      <w:pPr>
        <w:spacing w:after="80" w:before="160"/>
      </w:pPr>
      <w:r>
        <w:rPr>
          <w:rFonts w:ascii="Arial" w:cs="Arial" w:eastAsia="Arial" w:hAnsi="Arial"/>
          <w:b/>
          <w:bCs/>
          <w:sz w:val="22"/>
          <w:szCs w:val="22"/>
        </w:rPr>
        <w:t xml:space="preserve">Phase E5: SSO + Admin Audit + Compliance (2-3 weeks)</w:t>
      </w:r>
    </w:p>
    <w:p>
      <w:pPr>
        <w:pStyle w:val="ListParagraph"/>
        <w:numPr>
          <w:ilvl w:val="0"/>
          <w:numId w:val="2"/>
        </w:numPr>
        <w:spacing w:after="60"/>
      </w:pPr>
      <w:r>
        <w:rPr>
          <w:rFonts w:ascii="Arial" w:cs="Arial" w:eastAsia="Arial" w:hAnsi="Arial"/>
          <w:sz w:val="22"/>
          <w:szCs w:val="22"/>
        </w:rPr>
        <w:t xml:space="preserve">OIDC/SAML (Entra ID, Okta)</w:t>
      </w:r>
    </w:p>
    <w:p>
      <w:pPr>
        <w:pStyle w:val="ListParagraph"/>
        <w:numPr>
          <w:ilvl w:val="0"/>
          <w:numId w:val="2"/>
        </w:numPr>
        <w:spacing w:after="60"/>
      </w:pPr>
      <w:r>
        <w:rPr>
          <w:rFonts w:ascii="Arial" w:cs="Arial" w:eastAsia="Arial" w:hAnsi="Arial"/>
          <w:sz w:val="22"/>
          <w:szCs w:val="22"/>
        </w:rPr>
        <w:t xml:space="preserve">Admin audit WAL for all admin actions</w:t>
      </w:r>
    </w:p>
    <w:p>
      <w:pPr>
        <w:pStyle w:val="ListParagraph"/>
        <w:numPr>
          <w:ilvl w:val="0"/>
          <w:numId w:val="2"/>
        </w:numPr>
        <w:spacing w:after="60"/>
      </w:pPr>
      <w:r>
        <w:rPr>
          <w:rFonts w:ascii="Arial" w:cs="Arial" w:eastAsia="Arial" w:hAnsi="Arial"/>
          <w:sz w:val="22"/>
          <w:szCs w:val="22"/>
        </w:rPr>
        <w:t xml:space="preserve">Retention policies with audit export</w:t>
      </w:r>
    </w:p>
    <w:p>
      <w:pPr>
        <w:pStyle w:val="ListParagraph"/>
        <w:numPr>
          <w:ilvl w:val="0"/>
          <w:numId w:val="2"/>
        </w:numPr>
        <w:spacing w:after="60"/>
      </w:pPr>
      <w:r>
        <w:rPr>
          <w:rFonts w:ascii="Arial" w:cs="Arial" w:eastAsia="Arial" w:hAnsi="Arial"/>
          <w:sz w:val="22"/>
          <w:szCs w:val="22"/>
        </w:rPr>
        <w:t xml:space="preserve">SOC 2 readiness docs and control mapping</w:t>
      </w:r>
    </w:p>
    <w:p>
      <w:pPr>
        <w:spacing w:after="80" w:before="160"/>
      </w:pPr>
      <w:r>
        <w:rPr>
          <w:rFonts w:ascii="Arial" w:cs="Arial" w:eastAsia="Arial" w:hAnsi="Arial"/>
          <w:b/>
          <w:bCs/>
          <w:sz w:val="22"/>
          <w:szCs w:val="22"/>
        </w:rPr>
        <w:t xml:space="preserve">Phase E6: Packaging + Beta (2 weeks)</w:t>
      </w:r>
    </w:p>
    <w:p>
      <w:pPr>
        <w:pStyle w:val="ListParagraph"/>
        <w:numPr>
          <w:ilvl w:val="0"/>
          <w:numId w:val="2"/>
        </w:numPr>
        <w:spacing w:after="60"/>
      </w:pPr>
      <w:r>
        <w:rPr>
          <w:rFonts w:ascii="Arial" w:cs="Arial" w:eastAsia="Arial" w:hAnsi="Arial"/>
          <w:sz w:val="22"/>
          <w:szCs w:val="22"/>
        </w:rPr>
        <w:t xml:space="preserve">Helm chart, Terraform module with network enforcement</w:t>
      </w:r>
    </w:p>
    <w:p>
      <w:pPr>
        <w:pStyle w:val="ListParagraph"/>
        <w:numPr>
          <w:ilvl w:val="0"/>
          <w:numId w:val="2"/>
        </w:numPr>
        <w:spacing w:after="60"/>
      </w:pPr>
      <w:r>
        <w:rPr>
          <w:rFonts w:ascii="Arial" w:cs="Arial" w:eastAsia="Arial" w:hAnsi="Arial"/>
          <w:sz w:val="22"/>
          <w:szCs w:val="22"/>
        </w:rPr>
        <w:t xml:space="preserve">Web UI dashboard, license key enforcement</w:t>
      </w:r>
    </w:p>
    <w:p>
      <w:pPr>
        <w:pStyle w:val="ListParagraph"/>
        <w:numPr>
          <w:ilvl w:val="0"/>
          <w:numId w:val="2"/>
        </w:numPr>
        <w:spacing w:after="60"/>
      </w:pPr>
      <w:r>
        <w:rPr>
          <w:rFonts w:ascii="Arial" w:cs="Arial" w:eastAsia="Arial" w:hAnsi="Arial"/>
          <w:sz w:val="22"/>
          <w:szCs w:val="22"/>
        </w:rPr>
        <w:t xml:space="preserve">Backup/restore docs, beta customer</w:t>
      </w:r>
    </w:p>
    <w:p>
      <w:pPr>
        <w:spacing w:before="200"/>
      </w:pPr>
    </w:p>
    <w:p>
      <w:pPr>
        <w:pStyle w:val="Heading2"/>
      </w:pPr>
      <w:r>
        <w:t xml:space="preserve">4.3 Hyperscaler Build Plan</w:t>
      </w:r>
    </w:p>
    <w:p>
      <w:pPr>
        <w:spacing w:after="120"/>
      </w:pPr>
      <w:r>
        <w:rPr>
          <w:rFonts w:ascii="Arial" w:cs="Arial" w:eastAsia="Arial" w:hAnsi="Arial"/>
          <w:sz w:val="22"/>
          <w:szCs w:val="22"/>
        </w:rPr>
        <w:t xml:space="preserve">Starting point: Enterprise E6 complete.</w:t>
      </w:r>
    </w:p>
    <w:p>
      <w:pPr>
        <w:spacing w:after="80" w:before="160"/>
      </w:pPr>
      <w:r>
        <w:rPr>
          <w:rFonts w:ascii="Arial" w:cs="Arial" w:eastAsia="Arial" w:hAnsi="Arial"/>
          <w:b/>
          <w:bCs/>
          <w:sz w:val="22"/>
          <w:szCs w:val="22"/>
        </w:rPr>
        <w:t xml:space="preserve">Phase H1: Cloud IAM Delegation (3-4 weeks per provider)</w:t>
      </w:r>
    </w:p>
    <w:p>
      <w:pPr>
        <w:pStyle w:val="ListParagraph"/>
        <w:numPr>
          <w:ilvl w:val="0"/>
          <w:numId w:val="2"/>
        </w:numPr>
        <w:spacing w:after="60"/>
      </w:pPr>
      <w:r>
        <w:rPr>
          <w:rFonts w:ascii="Arial" w:cs="Arial" w:eastAsia="Arial" w:hAnsi="Arial"/>
          <w:sz w:val="22"/>
          <w:szCs w:val="22"/>
        </w:rPr>
        <w:t xml:space="preserve">AWS: IAM role assumption, SigV4 signing for Bedrock</w:t>
      </w:r>
    </w:p>
    <w:p>
      <w:pPr>
        <w:pStyle w:val="ListParagraph"/>
        <w:numPr>
          <w:ilvl w:val="0"/>
          <w:numId w:val="2"/>
        </w:numPr>
        <w:spacing w:after="60"/>
      </w:pPr>
      <w:r>
        <w:rPr>
          <w:rFonts w:ascii="Arial" w:cs="Arial" w:eastAsia="Arial" w:hAnsi="Arial"/>
          <w:sz w:val="22"/>
          <w:szCs w:val="22"/>
        </w:rPr>
        <w:t xml:space="preserve">Azure: Managed identity, Azure AD tokens for Azure OpenAI</w:t>
      </w:r>
    </w:p>
    <w:p>
      <w:pPr>
        <w:pStyle w:val="ListParagraph"/>
        <w:numPr>
          <w:ilvl w:val="0"/>
          <w:numId w:val="2"/>
        </w:numPr>
        <w:spacing w:after="60"/>
      </w:pPr>
      <w:r>
        <w:rPr>
          <w:rFonts w:ascii="Arial" w:cs="Arial" w:eastAsia="Arial" w:hAnsi="Arial"/>
          <w:sz w:val="22"/>
          <w:szCs w:val="22"/>
        </w:rPr>
        <w:t xml:space="preserve">GCP: Workload identity federation for Vertex AI</w:t>
      </w:r>
    </w:p>
    <w:p>
      <w:pPr>
        <w:spacing w:after="80" w:before="160"/>
      </w:pPr>
      <w:r>
        <w:rPr>
          <w:rFonts w:ascii="Arial" w:cs="Arial" w:eastAsia="Arial" w:hAnsi="Arial"/>
          <w:b/>
          <w:bCs/>
          <w:sz w:val="22"/>
          <w:szCs w:val="22"/>
        </w:rPr>
        <w:t xml:space="preserve">Phase H2: IaC Modules (2-3 weeks per provider)</w:t>
      </w:r>
    </w:p>
    <w:p>
      <w:pPr>
        <w:pStyle w:val="ListParagraph"/>
        <w:numPr>
          <w:ilvl w:val="0"/>
          <w:numId w:val="2"/>
        </w:numPr>
        <w:spacing w:after="60"/>
      </w:pPr>
      <w:r>
        <w:rPr>
          <w:rFonts w:ascii="Arial" w:cs="Arial" w:eastAsia="Arial" w:hAnsi="Arial"/>
          <w:sz w:val="22"/>
          <w:szCs w:val="22"/>
        </w:rPr>
        <w:t xml:space="preserve">AWS CloudFormation, Azure Bicep, GCP Terraform: VPC + subnet + SG + routing + BubbleFish deployment</w:t>
      </w:r>
    </w:p>
    <w:p>
      <w:pPr>
        <w:spacing w:after="80" w:before="160"/>
      </w:pPr>
      <w:r>
        <w:rPr>
          <w:rFonts w:ascii="Arial" w:cs="Arial" w:eastAsia="Arial" w:hAnsi="Arial"/>
          <w:b/>
          <w:bCs/>
          <w:sz w:val="22"/>
          <w:szCs w:val="22"/>
        </w:rPr>
        <w:t xml:space="preserve">Phase H3: Marketplace Listing (1-2 weeks per provider)</w:t>
      </w:r>
    </w:p>
    <w:p>
      <w:pPr>
        <w:pStyle w:val="ListParagraph"/>
        <w:numPr>
          <w:ilvl w:val="0"/>
          <w:numId w:val="2"/>
        </w:numPr>
        <w:spacing w:after="60"/>
      </w:pPr>
      <w:r>
        <w:rPr>
          <w:rFonts w:ascii="Arial" w:cs="Arial" w:eastAsia="Arial" w:hAnsi="Arial"/>
          <w:sz w:val="22"/>
          <w:szCs w:val="22"/>
        </w:rPr>
        <w:t xml:space="preserve">AMI, managed app, Cloud Run template packaging</w:t>
      </w:r>
    </w:p>
    <w:p>
      <w:pPr>
        <w:spacing w:before="200"/>
      </w:pPr>
    </w:p>
    <w:p>
      <w:pPr>
        <w:pStyle w:val="Heading2"/>
      </w:pPr>
      <w:r>
        <w:t xml:space="preserve">4.4 GPU Cloud Build Plan</w:t>
      </w:r>
    </w:p>
    <w:p>
      <w:pPr>
        <w:spacing w:after="120"/>
      </w:pPr>
      <w:r>
        <w:rPr>
          <w:rFonts w:ascii="Arial" w:cs="Arial" w:eastAsia="Arial" w:hAnsi="Arial"/>
          <w:sz w:val="22"/>
          <w:szCs w:val="22"/>
        </w:rPr>
        <w:t xml:space="preserve">Starting point: Enterprise E4 (Raft) complete. Parallel with Hyperscaler.</w:t>
      </w:r>
    </w:p>
    <w:p>
      <w:pPr>
        <w:spacing w:after="80" w:before="160"/>
      </w:pPr>
      <w:r>
        <w:rPr>
          <w:rFonts w:ascii="Arial" w:cs="Arial" w:eastAsia="Arial" w:hAnsi="Arial"/>
          <w:b/>
          <w:bCs/>
          <w:sz w:val="22"/>
          <w:szCs w:val="22"/>
        </w:rPr>
        <w:t xml:space="preserve">Phase G1: Inference Runtime Plugins (2-3 weeks)</w:t>
      </w:r>
    </w:p>
    <w:p>
      <w:pPr>
        <w:pStyle w:val="ListParagraph"/>
        <w:numPr>
          <w:ilvl w:val="0"/>
          <w:numId w:val="2"/>
        </w:numPr>
        <w:spacing w:after="60"/>
      </w:pPr>
      <w:r>
        <w:rPr>
          <w:rFonts w:ascii="Arial" w:cs="Arial" w:eastAsia="Arial" w:hAnsi="Arial"/>
          <w:sz w:val="22"/>
          <w:szCs w:val="22"/>
        </w:rPr>
        <w:t xml:space="preserve">vLLM, TGI, Triton, Ollama source plugins with token count extraction</w:t>
      </w:r>
    </w:p>
    <w:p>
      <w:pPr>
        <w:spacing w:after="80" w:before="160"/>
      </w:pPr>
      <w:r>
        <w:rPr>
          <w:rFonts w:ascii="Arial" w:cs="Arial" w:eastAsia="Arial" w:hAnsi="Arial"/>
          <w:b/>
          <w:bCs/>
          <w:sz w:val="22"/>
          <w:szCs w:val="22"/>
        </w:rPr>
        <w:t xml:space="preserve">Phase G2: Billing Events (2 weeks)</w:t>
      </w:r>
    </w:p>
    <w:p>
      <w:pPr>
        <w:pStyle w:val="ListParagraph"/>
        <w:numPr>
          <w:ilvl w:val="0"/>
          <w:numId w:val="2"/>
        </w:numPr>
        <w:spacing w:after="60"/>
      </w:pPr>
      <w:r>
        <w:rPr>
          <w:rFonts w:ascii="Arial" w:cs="Arial" w:eastAsia="Arial" w:hAnsi="Arial"/>
          <w:sz w:val="22"/>
          <w:szCs w:val="22"/>
        </w:rPr>
        <w:t xml:space="preserve">Structured emitter: JSON lines, Kafka, BigQuery, webhook</w:t>
      </w:r>
    </w:p>
    <w:p>
      <w:pPr>
        <w:spacing w:after="80" w:before="160"/>
      </w:pPr>
      <w:r>
        <w:rPr>
          <w:rFonts w:ascii="Arial" w:cs="Arial" w:eastAsia="Arial" w:hAnsi="Arial"/>
          <w:b/>
          <w:bCs/>
          <w:sz w:val="22"/>
          <w:szCs w:val="22"/>
        </w:rPr>
        <w:t xml:space="preserve">Phase G3: Routing + Helm (2-3 weeks)</w:t>
      </w:r>
    </w:p>
    <w:p>
      <w:pPr>
        <w:pStyle w:val="ListParagraph"/>
        <w:numPr>
          <w:ilvl w:val="0"/>
          <w:numId w:val="2"/>
        </w:numPr>
        <w:spacing w:after="60"/>
      </w:pPr>
      <w:r>
        <w:rPr>
          <w:rFonts w:ascii="Arial" w:cs="Arial" w:eastAsia="Arial" w:hAnsi="Arial"/>
          <w:sz w:val="22"/>
          <w:szCs w:val="22"/>
        </w:rPr>
        <w:t xml:space="preserve">Static model-to-pool routing, Helm chart with HPA + anti-affinity, NetworkPolicy templates</w:t>
      </w:r>
    </w:p>
    <w:p>
      <w:r>
        <w:br w:type="page"/>
      </w:r>
    </w:p>
    <w:p>
      <w:pPr>
        <w:pStyle w:val="Heading1"/>
      </w:pPr>
      <w:r>
        <w:t xml:space="preserve">5. Honest Constraints and Tradeoffs</w:t>
      </w:r>
    </w:p>
    <w:p>
      <w:pPr>
        <w:pStyle w:val="Heading2"/>
      </w:pPr>
      <w:r>
        <w:t xml:space="preserve">5.1 What BubbleFish Can Do</w:t>
      </w:r>
    </w:p>
    <w:p>
      <w:pPr>
        <w:pStyle w:val="ListParagraph"/>
        <w:numPr>
          <w:ilvl w:val="0"/>
          <w:numId w:val="2"/>
        </w:numPr>
        <w:spacing w:after="60"/>
      </w:pPr>
      <w:r>
        <w:rPr>
          <w:rFonts w:ascii="Arial" w:cs="Arial" w:eastAsia="Arial" w:hAnsi="Arial"/>
          <w:sz w:val="22"/>
          <w:szCs w:val="22"/>
        </w:rPr>
        <w:t xml:space="preserve">Capture, transform, persist AI traffic that is voluntarily or enforceably routed through it</w:t>
      </w:r>
    </w:p>
    <w:p>
      <w:pPr>
        <w:pStyle w:val="ListParagraph"/>
        <w:numPr>
          <w:ilvl w:val="0"/>
          <w:numId w:val="2"/>
        </w:numPr>
        <w:spacing w:after="60"/>
      </w:pPr>
      <w:r>
        <w:rPr>
          <w:rFonts w:ascii="Arial" w:cs="Arial" w:eastAsia="Arial" w:hAnsi="Arial"/>
          <w:sz w:val="22"/>
          <w:szCs w:val="22"/>
        </w:rPr>
        <w:t xml:space="preserve">Provide crash-safe, append-only, tamper-evident audit trail for every AI interaction</w:t>
      </w:r>
    </w:p>
    <w:p>
      <w:pPr>
        <w:pStyle w:val="ListParagraph"/>
        <w:numPr>
          <w:ilvl w:val="0"/>
          <w:numId w:val="2"/>
        </w:numPr>
        <w:spacing w:after="60"/>
      </w:pPr>
      <w:r>
        <w:rPr>
          <w:rFonts w:ascii="Arial" w:cs="Arial" w:eastAsia="Arial" w:hAnsi="Arial"/>
          <w:sz w:val="22"/>
          <w:szCs w:val="22"/>
        </w:rPr>
        <w:t xml:space="preserve">Route AI data to multiple destinations with build-time validated config</w:t>
      </w:r>
    </w:p>
    <w:p>
      <w:pPr>
        <w:pStyle w:val="ListParagraph"/>
        <w:numPr>
          <w:ilvl w:val="0"/>
          <w:numId w:val="2"/>
        </w:numPr>
        <w:spacing w:after="60"/>
      </w:pPr>
      <w:r>
        <w:rPr>
          <w:rFonts w:ascii="Arial" w:cs="Arial" w:eastAsia="Arial" w:hAnsi="Arial"/>
          <w:sz w:val="22"/>
          <w:szCs w:val="22"/>
        </w:rPr>
        <w:t xml:space="preserve">Enforce AI API access via credential control (API Key Vault) where BubbleFish holds only valid credentials</w:t>
      </w:r>
    </w:p>
    <w:p>
      <w:pPr>
        <w:pStyle w:val="ListParagraph"/>
        <w:numPr>
          <w:ilvl w:val="0"/>
          <w:numId w:val="2"/>
        </w:numPr>
        <w:spacing w:after="60"/>
      </w:pPr>
      <w:r>
        <w:rPr>
          <w:rFonts w:ascii="Arial" w:cs="Arial" w:eastAsia="Arial" w:hAnsi="Arial"/>
          <w:sz w:val="22"/>
          <w:szCs w:val="22"/>
        </w:rPr>
        <w:t xml:space="preserve">Integrate with cloud-native identity as delegated credential proxy</w:t>
      </w:r>
    </w:p>
    <w:p>
      <w:pPr>
        <w:pStyle w:val="ListParagraph"/>
        <w:numPr>
          <w:ilvl w:val="0"/>
          <w:numId w:val="2"/>
        </w:numPr>
        <w:spacing w:after="60"/>
      </w:pPr>
      <w:r>
        <w:rPr>
          <w:rFonts w:ascii="Arial" w:cs="Arial" w:eastAsia="Arial" w:hAnsi="Arial"/>
          <w:sz w:val="22"/>
          <w:szCs w:val="22"/>
        </w:rPr>
        <w:t xml:space="preserve">Provide tenant isolation, RBAC, and billing attribution for GPU cloud providers</w:t>
      </w:r>
    </w:p>
    <w:p>
      <w:pPr>
        <w:pStyle w:val="Heading2"/>
      </w:pPr>
      <w:r>
        <w:t xml:space="preserve">5.2 What BubbleFish Cannot Do</w:t>
      </w:r>
    </w:p>
    <w:p>
      <w:pPr>
        <w:pStyle w:val="ListParagraph"/>
        <w:numPr>
          <w:ilvl w:val="0"/>
          <w:numId w:val="2"/>
        </w:numPr>
        <w:spacing w:after="60"/>
      </w:pPr>
      <w:r>
        <w:rPr>
          <w:rFonts w:ascii="Arial" w:cs="Arial" w:eastAsia="Arial" w:hAnsi="Arial"/>
          <w:sz w:val="22"/>
          <w:szCs w:val="22"/>
        </w:rPr>
        <w:t xml:space="preserve">Intercept traffic not routed through it. No kernel, VPN, or eBPF capability.</w:t>
      </w:r>
    </w:p>
    <w:p>
      <w:pPr>
        <w:pStyle w:val="ListParagraph"/>
        <w:numPr>
          <w:ilvl w:val="0"/>
          <w:numId w:val="2"/>
        </w:numPr>
        <w:spacing w:after="60"/>
      </w:pPr>
      <w:r>
        <w:rPr>
          <w:rFonts w:ascii="Arial" w:cs="Arial" w:eastAsia="Arial" w:hAnsi="Arial"/>
          <w:sz w:val="22"/>
          <w:szCs w:val="22"/>
        </w:rPr>
        <w:t xml:space="preserve">Capture browser AI usage without corporate forward proxy + TLS inspection + MDM root CA.</w:t>
      </w:r>
    </w:p>
    <w:p>
      <w:pPr>
        <w:pStyle w:val="ListParagraph"/>
        <w:numPr>
          <w:ilvl w:val="0"/>
          <w:numId w:val="2"/>
        </w:numPr>
        <w:spacing w:after="60"/>
      </w:pPr>
      <w:r>
        <w:rPr>
          <w:rFonts w:ascii="Arial" w:cs="Arial" w:eastAsia="Arial" w:hAnsi="Arial"/>
          <w:sz w:val="22"/>
          <w:szCs w:val="22"/>
        </w:rPr>
        <w:t xml:space="preserve">Act as a GPU scheduler. Static routing only; dynamic scheduling is K8s domain.</w:t>
      </w:r>
    </w:p>
    <w:p>
      <w:pPr>
        <w:pStyle w:val="ListParagraph"/>
        <w:numPr>
          <w:ilvl w:val="0"/>
          <w:numId w:val="2"/>
        </w:numPr>
        <w:spacing w:after="60"/>
      </w:pPr>
      <w:r>
        <w:rPr>
          <w:rFonts w:ascii="Arial" w:cs="Arial" w:eastAsia="Arial" w:hAnsi="Arial"/>
          <w:sz w:val="22"/>
          <w:szCs w:val="22"/>
        </w:rPr>
        <w:t xml:space="preserve">Count tokens accurately without model-specific tokenizers.</w:t>
      </w:r>
    </w:p>
    <w:p>
      <w:pPr>
        <w:pStyle w:val="ListParagraph"/>
        <w:numPr>
          <w:ilvl w:val="0"/>
          <w:numId w:val="2"/>
        </w:numPr>
        <w:spacing w:after="60"/>
      </w:pPr>
      <w:r>
        <w:rPr>
          <w:rFonts w:ascii="Arial" w:cs="Arial" w:eastAsia="Arial" w:hAnsi="Arial"/>
          <w:sz w:val="22"/>
          <w:szCs w:val="22"/>
        </w:rPr>
        <w:t xml:space="preserve">Replace enterprise DLP (Zscaler, Netskope) for general traffic inspection.</w:t>
      </w:r>
    </w:p>
    <w:p>
      <w:pPr>
        <w:pStyle w:val="ListParagraph"/>
        <w:numPr>
          <w:ilvl w:val="0"/>
          <w:numId w:val="2"/>
        </w:numPr>
        <w:spacing w:after="60"/>
      </w:pPr>
      <w:r>
        <w:rPr>
          <w:rFonts w:ascii="Arial" w:cs="Arial" w:eastAsia="Arial" w:hAnsi="Arial"/>
          <w:sz w:val="22"/>
          <w:szCs w:val="22"/>
        </w:rPr>
        <w:t xml:space="preserve">Guarantee zero-downtime during Raft quorum loss without temporary audit gap.</w:t>
      </w:r>
    </w:p>
    <w:p>
      <w:pPr>
        <w:pStyle w:val="Heading2"/>
      </w:pPr>
      <w:r>
        <w:t xml:space="preserve">5.3 Key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Benefit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312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Pure-Go SQLite</w:t>
            </w:r>
          </w:p>
        </w:tc>
        <w:tc>
          <w:tcPr>
            <w:tcW w:type="dxa" w:w="312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Zero CGO, true single binary, cross-compile</w:t>
            </w:r>
          </w:p>
        </w:tc>
        <w:tc>
          <w:tcPr>
            <w:tcW w:type="dxa" w:w="312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2-5x slower writes. Bottleneck under agentic volume.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Build-time compilation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config errors caught pre-runtime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 changes require rebuild. Friction in fast iteration.</w:t>
            </w:r>
          </w:p>
        </w:tc>
      </w:tr>
      <w:tr>
        <w:tc>
          <w:tcPr>
            <w:tcW w:type="dxa" w:w="312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BubbleFish in critical path</w:t>
            </w:r>
          </w:p>
        </w:tc>
        <w:tc>
          <w:tcPr>
            <w:tcW w:type="dxa" w:w="312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Real enforcement via credential control</w:t>
            </w:r>
          </w:p>
        </w:tc>
        <w:tc>
          <w:tcPr>
            <w:tcW w:type="dxa" w:w="312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Downtime = zero AI access. Raft HA is mandatory, not optional.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binary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Trivial deployment, no runtime deps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Conflicts with GPU cloud K8s patterns. Must ship container image.</w:t>
            </w:r>
          </w:p>
        </w:tc>
      </w:tr>
      <w:tr>
        <w:tc>
          <w:tcPr>
            <w:tcW w:type="dxa" w:w="312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Transport middleware SDK</w:t>
            </w:r>
          </w:p>
        </w:tc>
        <w:tc>
          <w:tcPr>
            <w:tcW w:type="dxa" w:w="312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Never breaks on upstream SDK updates</w:t>
            </w:r>
          </w:p>
        </w:tc>
        <w:tc>
          <w:tcPr>
            <w:tcW w:type="dxa" w:w="312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Cannot capture traffic from non-configurable HTTP transports.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Fail-open mode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survives network partitions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Temporary audit gap. Compliance teams may reject.</w:t>
            </w:r>
          </w:p>
        </w:tc>
      </w:tr>
    </w:tbl>
    <w:p>
      <w:pPr>
        <w:spacing w:before="400"/>
      </w:pPr>
    </w:p>
    <w:p>
      <w:pPr>
        <w:jc w:val="center"/>
      </w:pPr>
      <w:r>
        <w:rPr>
          <w:b/>
          <w:bCs/>
          <w:color w:val="1B3A5C"/>
          <w:sz w:val="20"/>
          <w:szCs w:val="20"/>
        </w:rPr>
        <w:t xml:space="preserve">END OF DOCUMENT | BUBBLEFISH STRATEGIC REDESIGN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Arial" w:cs="Arial" w:eastAsia="Arial" w:hAnsi="Arial"/>
        <w:color w:val="999999"/>
        <w:sz w:val="16"/>
        <w:szCs w:val="16"/>
      </w:rPr>
      <w:t xml:space="preserve">BUBBLEFISH STRATEGIC REDESIGN</w:t>
    </w:r>
    <w:r>
      <w:rPr>
        <w:rFonts w:ascii="Arial" w:cs="Arial" w:eastAsia="Arial" w:hAnsi="Arial"/>
        <w:color w:val="999999"/>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598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2026-03-29T22:16:20.034Z</dcterms:created>
  <dcterms:modified xsi:type="dcterms:W3CDTF">2026-03-29T22:16:20.035Z</dcterms:modified>
</cp:coreProperties>
</file>

<file path=docProps/custom.xml><?xml version="1.0" encoding="utf-8"?>
<Properties xmlns="http://schemas.openxmlformats.org/officeDocument/2006/custom-properties" xmlns:vt="http://schemas.openxmlformats.org/officeDocument/2006/docPropsVTypes"/>
</file>