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considering the contents of this particular manuscript, there were also some other concerns/criticisms that are important to make. 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 intro rambled a bit, and lost focus from the main point, which is that the authors wanted to develop a specific assay for one species.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Reviewer 2</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Gambierdiscus have a large variation in rDNA gene copies. </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144. How were the strains of G. lapillus and G. polynesiensis isolated in the study identified?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230. Were gene or cell-based standards used to generate standard curves for the environmental samples? How were cell numbers caculated?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343-350. It appears that the qPCR assay is quite sensitive. You are able to detect less than once cell per gram of algal wet weight. Did any of the sites have “actionable” concentrations of G. labillus from a human health/fisheries perspective?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1 line 20-21 Delete “in triplicate”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Deleted.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2 line 33-34 move “as a matter of urgency” after the words “was developed”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Moved.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3 line 50 change “which is then either” to “which then either”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Page 3 line 59. Change inhabit to inhabits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66-68. Reports of Gambierdiscus spp. …. I’m not clear as to what this means: Is the identification based on morphology for some Gambierdiscus spp suspect?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Yes, it is.  </w:t>
            </w:r>
            <w:r>
              <w:rPr/>
              <w:t>The Litaker et al. study extensiely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70 change assess to assessing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91-92 Therefore, although bioassays provide a strong indicator for toxin production progress in determining the toxin profiles produced …</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100 change DNA samples to DNA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 delete since then. Change if recommendations to of recommendations.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154-156 on DNA extraction. Move to the next section, Evaluation of primer specificity.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197-199 Total gBlock fragment size? Region?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234. Do the dashed lines indicate the location of the surrounding reefs?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Yes, added to figure legend.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246. Table 5 unnecessary. Add the strain names in parenthesis in the methods.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259-262. Methods say gene curves were from 10^3-10^8, that’s only 5 orders of magnitude. Figure 4 only shows amplification down to ~ 5x10^4 and up to 4x10^9.</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272. Add from macroalgae around Heron Island.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333 change to rRNA gene copy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Stations labelled with numbers and red changed to purple to br visible for the colour blind, thank you for picking that up.</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279. Change spatial replicates to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Lind 380. First names for Dr Adachi and Dr. Nishimura are missing.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 thank you for picking up.</w:t>
            </w:r>
          </w:p>
        </w:tc>
      </w:tr>
    </w:tbl>
    <w:p>
      <w:pPr>
        <w:pStyle w:val="Normal"/>
        <w:rPr/>
      </w:pPr>
      <w:r>
        <w:rPr/>
      </w:r>
    </w:p>
    <w:p>
      <w:pPr>
        <w:pStyle w:val="Normal"/>
        <w:rPr/>
      </w:pPr>
      <w:r>
        <w:rPr/>
        <w:t>Reviewer 3</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Thank you.</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Additionally, the authors do not describe in detail the gBlocks technique which would be very useful for readers who are not familiar with this approach.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Abstract – Would be good to include a little bit of general information here. Assumes a lot of prior knowledge of CFP and Gambierdiscus in Australia.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 – Change to: “…determine the presence and patchiness of this species across samples from Chnoospora sp.,..”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27 and 35 – I would change algae/microalgae to dinoflagellate or protist.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32 – UNESCO should in written out in full.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56 – Mention that in extreme cases CFP may result in death.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58 – I would remove mention of MTX here. Gambierdiscus species produce many compounds and you explain this further on in the paper.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Removed and references updated.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60 – Change to: “….toxins can bioaccumulate in herbivorous fish…”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References updated.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62 – Please change identified to described.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64 – Please change to “…16 described species and 4 currently undescribed species or types..”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78 – LC-MS/MS needs to be in full here for the first reference.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Acronym introduced.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83-84 – This shows the high variability in compound production within Gambierdiscus species. Can you stress this point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87 – What kind of bioassay?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Included.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Table 1 – Gambierdiscus type 2 is now described as G. jejuensis. Reference 40 does not describe an assay for </w:t>
            </w:r>
            <w:bookmarkStart w:id="0" w:name="__DdeLink__15021_1272333750"/>
            <w:bookmarkEnd w:id="0"/>
            <w:r>
              <w:rPr/>
              <w:t>Fukuyoa cf. yasumotoi.</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Changed and </w:t>
            </w:r>
            <w:r>
              <w:rPr>
                <w:color w:val="FF3333"/>
              </w:rPr>
              <w:t>reference fixed.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109 and Table 1 – Fukuyoa is misspelled.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Changed.</w:t>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120 – Change to: “….put forward a series of recommendations to manage the…”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128 – Spell out LSU in full for first reference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129 – Is this identification of G. toxicus certain? As outlined in the text above, Gambierdiscus identifications as toxicus are uncertain before 2009. Change new to undescribed. The Fukuyoa species detected in Australia was originally called Gambierdiscus yasumotoi but has since been described as Fukuyoa paulensis (Gomez et al. 2015).</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140 – Change to: “The assay was then..”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141 – GBR should be written in full for the first reference.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145 – Were these strains isolated as part of this study or as part of the study in reference 19? Why were these three species targeted?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Tables 3 and 5 – These tables can be condensed by grouping the strains to a single line, i.e. one line for each species.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154 – CTAB in full here.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157 – Change to: “…small subunit ribosomal DNA (SSU rDNA).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158 – Change to: “…GenBank reference database (accession numbers KU558929-33).”</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177 – Should be Qiagen.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179 – It is also useful to test for cross-reactivity with species from outside the genus, e.g. Ostreopsis spp, Coolia spp, Alexandrium spp. etc. Was this done?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180 – Please be more specific about what “appropriate positive and negative controls” were applied.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182 – It not clear to me how the authors tested primer sensitivity here. Can you please include more explanation?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188 – What is the synthetic gene approach? Is this the gBlocks?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189 – Change to: “…also to quantify species presence..”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198 – This sentence is not clear.</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200 – What is this copy number referring too? Is this the number of copies of the gBlock fragments in a 1 ng/uL solution?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222 – Might be useful to include some taxonomic information for these genera?</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226 – Should this be 120 µm mesh?</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227 – It is better to use g as a unit for centrifugation steps rather than rpm.</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5 – Would be useful to explain the gDNA gel band. Im assuming it was to estimate suitability for PCR amplification?</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 This table may not be necessary or could be moved to supplementary material as the information is shown in figures 5 and 6.</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316 – Again it would be good to include an explanation of gBlocks and why a genomic DNA extract is not required for a positive control.</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330 – Please include some explanation around “ghost” cells.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363 – Chnoospora sp.</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368 – It may be useful to comment here on how these artificial substrates are useful for monitoring programmes and how they can work with molecular tools.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Paragraph 370 – Do the authors have any comments or recommendations on how this assay will be used for future research or monitoring programmes?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Figures 2 and 4 – Are the x-axis log scale?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Reviewer 4</w:t>
      </w:r>
    </w:p>
    <w:tbl>
      <w:tblPr>
        <w:tblW w:w="964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4"/>
        <w:gridCol w:w="6579"/>
      </w:tblGrid>
      <w:tr>
        <w:trPr/>
        <w:tc>
          <w:tcPr>
            <w:tcW w:w="3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the lower limit of detection was not determined;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the specificity wasn’t sufficiently tested, in particular on environmental samples.</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173-177: clarify why different extraction methods were used.</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5 could be removed since the results were described in the text.</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0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Table 6: need to specify the unit in the table.</w:t>
            </w:r>
          </w:p>
        </w:tc>
        <w:tc>
          <w:tcPr>
            <w:tcW w:w="65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 w:val="24"/>
        <w:szCs w:val="24"/>
        <w:lang w:val="en-AU" w:eastAsia="zh-CN" w:bidi="hi-IN"/>
      </w:rPr>
    </w:rPrDefault>
    <w:pPrDefault>
      <w:pPr>
        <w:widowControl/>
      </w:pPr>
    </w:pPrDefault>
  </w:docDefaults>
  <w:style w:type="paragraph" w:styleId="Normal">
    <w:name w:val="Normal"/>
    <w:qFormat/>
    <w:pPr>
      <w:widowControl/>
    </w:pPr>
    <w:rPr>
      <w:rFonts w:ascii="Calibri" w:hAnsi="Calibri" w:eastAsia="WenQuanYi Micro Hei" w:cs="Lohit Devanagari"/>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551</TotalTime>
  <Application>LibreOffice/5.1.6.2$Linux_X86_64 LibreOffice_project/10m0$Build-2</Application>
  <Pages>17</Pages>
  <Words>3356</Words>
  <Characters>17065</Characters>
  <CharactersWithSpaces>20330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2019-05-17T06:10:11Z</dcterms:created>
  <dc:creator>Anna Kretzschmar</dc:creator>
  <dc:description/>
  <dc:language>en-AU</dc:language>
  <cp:lastModifiedBy>Anna Kretzschmar</cp:lastModifiedBy>
  <dcterms:modified xsi:type="dcterms:W3CDTF">2019-05-17T20:24:37Z</dcterms:modified>
  <cp:revision>30</cp:revision>
  <dc:subject/>
  <dc:title/>
</cp:coreProperties>
</file>