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48F5B" w14:textId="77777777" w:rsidR="005A1DD5" w:rsidRDefault="00000000">
      <w:pPr>
        <w:spacing w:before="600" w:after="200"/>
        <w:jc w:val="center"/>
      </w:pPr>
      <w:r>
        <w:rPr>
          <w:b/>
          <w:bCs/>
          <w:sz w:val="32"/>
          <w:szCs w:val="32"/>
        </w:rPr>
        <w:t xml:space="preserve">MicroAgri-FP4: Simulated </w:t>
      </w:r>
      <w:proofErr w:type="spellStart"/>
      <w:r>
        <w:rPr>
          <w:b/>
          <w:bCs/>
          <w:sz w:val="32"/>
          <w:szCs w:val="32"/>
        </w:rPr>
        <w:t>Microscaling</w:t>
      </w:r>
      <w:proofErr w:type="spellEnd"/>
      <w:r>
        <w:rPr>
          <w:b/>
          <w:bCs/>
          <w:sz w:val="32"/>
          <w:szCs w:val="32"/>
        </w:rPr>
        <w:t xml:space="preserve"> FP4 Quantization for Vision Transformer-Based Crop Health Monitoring with Multimodal RAG on Resource-Constrained Devices</w:t>
      </w:r>
    </w:p>
    <w:p w14:paraId="42ECDF88" w14:textId="77777777" w:rsidR="005A1DD5" w:rsidRDefault="00000000">
      <w:pPr>
        <w:spacing w:after="40"/>
        <w:jc w:val="center"/>
      </w:pPr>
      <w:proofErr w:type="spellStart"/>
      <w:r>
        <w:rPr>
          <w:sz w:val="22"/>
          <w:szCs w:val="22"/>
        </w:rPr>
        <w:t>Mueid</w:t>
      </w:r>
      <w:proofErr w:type="spellEnd"/>
      <w:r>
        <w:rPr>
          <w:sz w:val="22"/>
          <w:szCs w:val="22"/>
        </w:rPr>
        <w:t xml:space="preserve"> Islam Arian, </w:t>
      </w:r>
      <w:proofErr w:type="spellStart"/>
      <w:r>
        <w:rPr>
          <w:sz w:val="22"/>
          <w:szCs w:val="22"/>
        </w:rPr>
        <w:t>Mahamudul</w:t>
      </w:r>
      <w:proofErr w:type="spellEnd"/>
      <w:r>
        <w:rPr>
          <w:sz w:val="22"/>
          <w:szCs w:val="22"/>
        </w:rPr>
        <w:t xml:space="preserve"> Hasan, </w:t>
      </w:r>
      <w:proofErr w:type="spellStart"/>
      <w:r>
        <w:rPr>
          <w:sz w:val="22"/>
          <w:szCs w:val="22"/>
        </w:rPr>
        <w:t>Nafiz</w:t>
      </w:r>
      <w:proofErr w:type="spellEnd"/>
      <w:r>
        <w:rPr>
          <w:sz w:val="22"/>
          <w:szCs w:val="22"/>
        </w:rPr>
        <w:t xml:space="preserve"> Un Nabi Ishan</w:t>
      </w:r>
    </w:p>
    <w:p w14:paraId="14484A50" w14:textId="77777777" w:rsidR="005A1DD5" w:rsidRDefault="00000000">
      <w:pPr>
        <w:spacing w:after="40"/>
        <w:jc w:val="center"/>
      </w:pPr>
      <w:r>
        <w:rPr>
          <w:i/>
          <w:iCs/>
        </w:rPr>
        <w:t>Department of Computer Science and Engineering</w:t>
      </w:r>
    </w:p>
    <w:p w14:paraId="345793BD" w14:textId="46A634D5" w:rsidR="005A1DD5" w:rsidRDefault="000A50EE">
      <w:pPr>
        <w:spacing w:after="40"/>
        <w:jc w:val="center"/>
        <w:rPr>
          <w:i/>
          <w:iCs/>
        </w:rPr>
      </w:pPr>
      <w:r w:rsidRPr="000A50EE">
        <w:rPr>
          <w:i/>
          <w:iCs/>
        </w:rPr>
        <w:t>North South University, Dhaka, Bangladesh</w:t>
      </w:r>
    </w:p>
    <w:p w14:paraId="7AC301AD" w14:textId="498DFBCD" w:rsidR="00830233" w:rsidRPr="000A50EE" w:rsidRDefault="00830233">
      <w:pPr>
        <w:spacing w:after="40"/>
        <w:jc w:val="center"/>
        <w:rPr>
          <w:i/>
          <w:iCs/>
        </w:rPr>
      </w:pPr>
      <w:r>
        <w:rPr>
          <w:i/>
          <w:iCs/>
        </w:rPr>
        <w:t>Group-6</w:t>
      </w:r>
    </w:p>
    <w:p w14:paraId="3AE1EB8A" w14:textId="77777777" w:rsidR="005A1DD5" w:rsidRDefault="00000000" w:rsidP="000A50EE">
      <w:pPr>
        <w:pStyle w:val="Heading1"/>
        <w:jc w:val="left"/>
      </w:pPr>
      <w:r>
        <w:t>Abstract</w:t>
      </w:r>
    </w:p>
    <w:p w14:paraId="0815ED45" w14:textId="77777777" w:rsidR="005A1DD5" w:rsidRDefault="00000000">
      <w:pPr>
        <w:spacing w:after="80" w:line="276" w:lineRule="auto"/>
        <w:jc w:val="both"/>
      </w:pPr>
      <w:r>
        <w:rPr>
          <w:i/>
          <w:iCs/>
        </w:rPr>
        <w:t xml:space="preserve">Plant diseases cause approximately $220 billion in annual agricultural losses worldwide, disproportionately affecting smallholder farmers in developing countries who lack access to expert agronomists and reliable internet connectivity. This paper proposes </w:t>
      </w:r>
      <w:r>
        <w:rPr>
          <w:b/>
          <w:bCs/>
          <w:i/>
          <w:iCs/>
        </w:rPr>
        <w:t>MicroAgri-FP4</w:t>
      </w:r>
      <w:r>
        <w:rPr>
          <w:i/>
          <w:iCs/>
        </w:rPr>
        <w:t xml:space="preserve">, an end-to-end offline crop health monitoring system that combines three novel contributions: (1) the first systematic application of </w:t>
      </w:r>
      <w:proofErr w:type="spellStart"/>
      <w:r>
        <w:rPr>
          <w:i/>
          <w:iCs/>
        </w:rPr>
        <w:t>microscaling</w:t>
      </w:r>
      <w:proofErr w:type="spellEnd"/>
      <w:r>
        <w:rPr>
          <w:i/>
          <w:iCs/>
        </w:rPr>
        <w:t xml:space="preserve"> FP4 quantization algorithms (MR-GPTQ with Hadamard rotations, GPTQ error compensation, and MSE-optimized non-uniform grids) from Castro et al. (2025) to agricultural vision transformers, demonstrating fundamentally different distributional behavior than the billion-parameter LLMs for which these algorithms were designed; (2) a multimodal retrieval-augmented generation (RAG) pipeline powered by a quantized vision-language model (VLM) that generates grounded treatment recommendations from locally-stored agricultural knowledge bases, running entirely on-device without internet connectivity; and (3) an explainable, GPS-enabled field scouting interface featuring real-time attention heatmap overlays and spatial disease mapping for precision agriculture. Our </w:t>
      </w:r>
      <w:proofErr w:type="spellStart"/>
      <w:r>
        <w:rPr>
          <w:i/>
          <w:iCs/>
        </w:rPr>
        <w:t>DeiT</w:t>
      </w:r>
      <w:proofErr w:type="spellEnd"/>
      <w:r>
        <w:rPr>
          <w:i/>
          <w:iCs/>
        </w:rPr>
        <w:t xml:space="preserve">-Tiny model (5.53M parameters), fine-tuned on a 15-class </w:t>
      </w:r>
      <w:proofErr w:type="spellStart"/>
      <w:r>
        <w:rPr>
          <w:i/>
          <w:iCs/>
        </w:rPr>
        <w:t>PlantVillage</w:t>
      </w:r>
      <w:proofErr w:type="spellEnd"/>
      <w:r>
        <w:rPr>
          <w:i/>
          <w:iCs/>
        </w:rPr>
        <w:t xml:space="preserve"> dataset, achieves 99.81% FP32 accuracy and 99.86% under MXFP4+MR-GPTQ quantization with ~96ms inference latency. Distribution analysis reveals that vision transformer activations exhibit 67% higher kurtosis than LLM activations, with MLP FC2 layers showing extreme outlier behavior (κ≈51) that fundamentally challenges existing quantization assumptions.</w:t>
      </w:r>
    </w:p>
    <w:p w14:paraId="4C3C30BB" w14:textId="1CA79A45" w:rsidR="000A50EE" w:rsidRDefault="00000000">
      <w:pPr>
        <w:spacing w:after="80" w:line="276" w:lineRule="auto"/>
        <w:jc w:val="both"/>
        <w:rPr>
          <w:i/>
          <w:iCs/>
        </w:rPr>
      </w:pPr>
      <w:r>
        <w:rPr>
          <w:b/>
          <w:bCs/>
          <w:i/>
          <w:iCs/>
        </w:rPr>
        <w:t>Keywords</w:t>
      </w:r>
      <w:r>
        <w:rPr>
          <w:i/>
          <w:iCs/>
        </w:rPr>
        <w:t>—</w:t>
      </w:r>
      <w:proofErr w:type="spellStart"/>
      <w:r>
        <w:rPr>
          <w:i/>
          <w:iCs/>
        </w:rPr>
        <w:t>Microscaling</w:t>
      </w:r>
      <w:proofErr w:type="spellEnd"/>
      <w:r>
        <w:rPr>
          <w:i/>
          <w:iCs/>
        </w:rPr>
        <w:t xml:space="preserve"> FP4, Vision Transformer, Post-Training Quantization, MR-GPTQ, Agricultural AI, Multimodal RAG, Edge Deployment, Explainable AI, Precision Agriculture</w:t>
      </w:r>
      <w:r w:rsidR="000A50EE">
        <w:rPr>
          <w:i/>
          <w:iCs/>
        </w:rPr>
        <w:t xml:space="preserve"> </w:t>
      </w:r>
    </w:p>
    <w:p w14:paraId="2367E0C5" w14:textId="4E6CBCA8" w:rsidR="005A1DD5" w:rsidRPr="000A50EE" w:rsidRDefault="005A1DD5">
      <w:pPr>
        <w:rPr>
          <w:i/>
          <w:iCs/>
        </w:rPr>
        <w:sectPr w:rsidR="005A1DD5" w:rsidRPr="000A50EE">
          <w:pgSz w:w="12240" w:h="15840"/>
          <w:pgMar w:top="1080" w:right="900" w:bottom="1080" w:left="900" w:header="708" w:footer="708" w:gutter="0"/>
          <w:cols w:space="720"/>
          <w:docGrid w:linePitch="360"/>
        </w:sectPr>
      </w:pPr>
    </w:p>
    <w:p w14:paraId="6326A900" w14:textId="169504C0" w:rsidR="005A1DD5" w:rsidRDefault="000A50EE" w:rsidP="000A50EE">
      <w:pPr>
        <w:pStyle w:val="Heading1"/>
        <w:jc w:val="left"/>
      </w:pPr>
      <w:r>
        <w:t xml:space="preserve">                             </w:t>
      </w:r>
      <w:r w:rsidR="00000000">
        <w:t>I. Introduction</w:t>
      </w:r>
    </w:p>
    <w:p w14:paraId="5D2E511F" w14:textId="77777777" w:rsidR="005A1DD5" w:rsidRDefault="00000000">
      <w:pPr>
        <w:spacing w:after="80" w:line="276" w:lineRule="auto"/>
        <w:jc w:val="both"/>
      </w:pPr>
      <w:r>
        <w:t>Crop diseases cause devastating losses in agricultural productivity, particularly in South and Southeast Asia where smallholder farmers manage the majority of arable land [1]. While deep learning-based disease detection has achieved laboratory accuracies exceeding 95%, a critical gap persists between research prototypes and field-deployable tools [2]. Current solutions either require cloud connectivity (impractical in rural areas with intermittent internet) or sacrifice accuracy through aggressive model compression to standard INT8 quantization [3].</w:t>
      </w:r>
    </w:p>
    <w:p w14:paraId="54EAF039" w14:textId="77777777" w:rsidR="005A1DD5" w:rsidRDefault="00000000">
      <w:pPr>
        <w:spacing w:after="80" w:line="276" w:lineRule="auto"/>
        <w:jc w:val="both"/>
      </w:pPr>
      <w:r>
        <w:t xml:space="preserve">Simultaneously, the emergence of hardware-accelerated </w:t>
      </w:r>
      <w:proofErr w:type="spellStart"/>
      <w:r>
        <w:t>microscaling</w:t>
      </w:r>
      <w:proofErr w:type="spellEnd"/>
      <w:r>
        <w:t xml:space="preserve"> 4-bit floating-point (FP4) formats—specifically MXFP4 and NVFP4—represents an inflection point for efficient deep learning. Castro, </w:t>
      </w:r>
      <w:proofErr w:type="spellStart"/>
      <w:r>
        <w:t>Egiazarian</w:t>
      </w:r>
      <w:proofErr w:type="spellEnd"/>
      <w:r>
        <w:t xml:space="preserve"> et al. (2025) provided the first rigorous analysis of these formats for LLM post-training quantization, introducing the MR-GPTQ algorithm combining Hadamard rotations, GPTQ error compensation, and MSE-optimized scale fitting [4]. However, their analysis was limited exclusively to billion-parameter decoder-only language models. No prior work has investigated whether these distributional </w:t>
      </w:r>
      <w:r>
        <w:t>assumptions and quantization algorithms transfer to vision transformers, let alone to the domain of agricultural image classification.</w:t>
      </w:r>
    </w:p>
    <w:p w14:paraId="540E8C01" w14:textId="77777777" w:rsidR="005A1DD5" w:rsidRDefault="00000000">
      <w:pPr>
        <w:spacing w:after="80" w:line="276" w:lineRule="auto"/>
        <w:jc w:val="both"/>
      </w:pPr>
      <w:r>
        <w:t xml:space="preserve">This paper addresses three open questions: (1) Do the weight and activation distributions of agricultural vision transformers follow the same Laplace-to-Normal patterns observed in LLMs? (2) Can </w:t>
      </w:r>
      <w:proofErr w:type="spellStart"/>
      <w:r>
        <w:t>microscaling</w:t>
      </w:r>
      <w:proofErr w:type="spellEnd"/>
      <w:r>
        <w:t xml:space="preserve"> FP4 quantization maintain classification accuracy on fine-grained crop disease tasks? (3) Can a complete offline agricultural advisory system—combining quantized </w:t>
      </w:r>
      <w:proofErr w:type="spellStart"/>
      <w:r>
        <w:t>ViT</w:t>
      </w:r>
      <w:proofErr w:type="spellEnd"/>
      <w:r>
        <w:t xml:space="preserve"> classification, multimodal RAG, explainability, and precision agriculture mapping—run entirely on a smartphone without internet connectivity?</w:t>
      </w:r>
    </w:p>
    <w:p w14:paraId="4D1DDF46" w14:textId="77777777" w:rsidR="005A1DD5" w:rsidRDefault="00000000">
      <w:pPr>
        <w:pStyle w:val="Heading1"/>
      </w:pPr>
      <w:r>
        <w:t>II. Related Work</w:t>
      </w:r>
    </w:p>
    <w:p w14:paraId="0E0B6343" w14:textId="77777777" w:rsidR="005A1DD5" w:rsidRDefault="00000000">
      <w:pPr>
        <w:pStyle w:val="Heading2"/>
      </w:pPr>
      <w:r>
        <w:t xml:space="preserve">A. FP4 </w:t>
      </w:r>
      <w:proofErr w:type="spellStart"/>
      <w:r>
        <w:t>Microscaling</w:t>
      </w:r>
      <w:proofErr w:type="spellEnd"/>
      <w:r>
        <w:t xml:space="preserve"> Quantization</w:t>
      </w:r>
    </w:p>
    <w:p w14:paraId="65EBCB38" w14:textId="77777777" w:rsidR="005A1DD5" w:rsidRDefault="00000000">
      <w:pPr>
        <w:spacing w:after="80" w:line="276" w:lineRule="auto"/>
        <w:jc w:val="both"/>
      </w:pPr>
      <w:r>
        <w:t xml:space="preserve">The MXFP4 and NVFP4 formats share an FP4 E2M1 element representation with 7 distinct positive values {0.5, 1.0, 1.5, 2.0, 3.0, 4.0, 6.0}, differing in group size (32 vs 16) and scale format (E8M0 power-of-two vs E4M3 full FP8) [4]. Castro et al. demonstrated that format-specialized algorithms outperform generic approaches, with MR-GPTQ recovering 95–99% of </w:t>
      </w:r>
      <w:r>
        <w:lastRenderedPageBreak/>
        <w:t>baseline accuracy on Llama-3.1-8B through block-wise Hadamard transforms that convert heavy-tailed Laplace distributions into quantization-friendly Gaussians. Their analysis showed native LLM weight kurtosis of 1.47 and activation kurtosis of 8.75, with Hadamard rotation reducing both to near-zero [4].</w:t>
      </w:r>
    </w:p>
    <w:p w14:paraId="21E000EE" w14:textId="77777777" w:rsidR="005A1DD5" w:rsidRDefault="00000000">
      <w:pPr>
        <w:pStyle w:val="Heading2"/>
      </w:pPr>
      <w:r>
        <w:t>B. Vision Transformers for Agriculture</w:t>
      </w:r>
    </w:p>
    <w:p w14:paraId="29907F48" w14:textId="77777777" w:rsidR="005A1DD5" w:rsidRDefault="00000000">
      <w:pPr>
        <w:spacing w:after="80" w:line="276" w:lineRule="auto"/>
        <w:jc w:val="both"/>
      </w:pPr>
      <w:r>
        <w:t xml:space="preserve">Vision transformers have demonstrated superior robustness over CNNs for plant disease detection, with SWIN achieving 88% accuracy on real-world datasets compared to 53% for traditional CNNs [2]. However, existing </w:t>
      </w:r>
      <w:proofErr w:type="spellStart"/>
      <w:r>
        <w:t>TinyML</w:t>
      </w:r>
      <w:proofErr w:type="spellEnd"/>
      <w:r>
        <w:t xml:space="preserve"> agriculture deployments exclusively use CNN architectures (</w:t>
      </w:r>
      <w:proofErr w:type="spellStart"/>
      <w:r>
        <w:t>MobileNet</w:t>
      </w:r>
      <w:proofErr w:type="spellEnd"/>
      <w:r>
        <w:t xml:space="preserve">, </w:t>
      </w:r>
      <w:proofErr w:type="spellStart"/>
      <w:r>
        <w:t>EfficientNet</w:t>
      </w:r>
      <w:proofErr w:type="spellEnd"/>
      <w:r>
        <w:t xml:space="preserve">) with INT8 quantization [3]. Recent work on cross-modal data fusion for crop disease recognition (CMDF-VLM) has shown that integrating textual disease descriptions with visual features improves recognition performance [5], while </w:t>
      </w:r>
      <w:proofErr w:type="spellStart"/>
      <w:r>
        <w:t>AgriM</w:t>
      </w:r>
      <w:proofErr w:type="spellEnd"/>
      <w:r>
        <w:t>-LLM introduced agriculture-specific multimodal models with enhanced vision encoders and domain-adaptive language modules [6].</w:t>
      </w:r>
    </w:p>
    <w:p w14:paraId="276FB850" w14:textId="77777777" w:rsidR="005A1DD5" w:rsidRDefault="00000000">
      <w:pPr>
        <w:pStyle w:val="Heading2"/>
      </w:pPr>
      <w:r>
        <w:t>C. On-Device VLMs and RAG</w:t>
      </w:r>
    </w:p>
    <w:p w14:paraId="03FE8FA9" w14:textId="77777777" w:rsidR="005A1DD5" w:rsidRDefault="00000000">
      <w:pPr>
        <w:spacing w:after="80" w:line="276" w:lineRule="auto"/>
        <w:jc w:val="both"/>
      </w:pPr>
      <w:r>
        <w:t xml:space="preserve">The deployment of vision-language models on edge devices has advanced rapidly. Qwen2.5-VL-3B outperforms its 7B predecessor while running on smartphones [7], and frameworks like </w:t>
      </w:r>
      <w:proofErr w:type="spellStart"/>
      <w:r>
        <w:t>mllm</w:t>
      </w:r>
      <w:proofErr w:type="spellEnd"/>
      <w:r>
        <w:t xml:space="preserve"> support on-device VLM inference with rotation quantization on Android [8]. Retrieval-augmented generation (RAG) has been identified as critical for agricultural applications, enabling models to generate responses grounded in domain-specific knowledge bases rather than relying solely on parametric knowledge [9]. However, no existing system combines FP4-quantized </w:t>
      </w:r>
      <w:proofErr w:type="spellStart"/>
      <w:r>
        <w:t>ViT</w:t>
      </w:r>
      <w:proofErr w:type="spellEnd"/>
      <w:r>
        <w:t xml:space="preserve"> classification with on-device multimodal RAG for agriculture.</w:t>
      </w:r>
    </w:p>
    <w:p w14:paraId="57D9FB84" w14:textId="77777777" w:rsidR="005A1DD5" w:rsidRDefault="00000000">
      <w:pPr>
        <w:pStyle w:val="Heading2"/>
      </w:pPr>
      <w:r>
        <w:t>D. Explainability for Vision Transformers</w:t>
      </w:r>
    </w:p>
    <w:p w14:paraId="6092EED6" w14:textId="77777777" w:rsidR="005A1DD5" w:rsidRDefault="00000000">
      <w:pPr>
        <w:spacing w:after="80" w:line="276" w:lineRule="auto"/>
        <w:jc w:val="both"/>
      </w:pPr>
      <w:r>
        <w:t xml:space="preserve">Transformer explainability methods have evolved from simple attention visualization to gradient-weighted multi-head attention rollout (GMAR), which quantifies per-head importance using gradient-based scores [10]. The </w:t>
      </w:r>
      <w:proofErr w:type="spellStart"/>
      <w:r>
        <w:t>pytorch</w:t>
      </w:r>
      <w:proofErr w:type="spellEnd"/>
      <w:r>
        <w:t xml:space="preserve">-grad-cam library provides production-ready implementations of </w:t>
      </w:r>
      <w:proofErr w:type="spellStart"/>
      <w:r>
        <w:t>GradCAM</w:t>
      </w:r>
      <w:proofErr w:type="spellEnd"/>
      <w:r>
        <w:t xml:space="preserve">, </w:t>
      </w:r>
      <w:proofErr w:type="spellStart"/>
      <w:r>
        <w:t>HiResCAM</w:t>
      </w:r>
      <w:proofErr w:type="spellEnd"/>
      <w:r>
        <w:t xml:space="preserve">, and attention rollout for </w:t>
      </w:r>
      <w:proofErr w:type="spellStart"/>
      <w:r>
        <w:t>ViTs</w:t>
      </w:r>
      <w:proofErr w:type="spellEnd"/>
      <w:r>
        <w:t xml:space="preserve"> [11]. In medical imaging, attention-based explanations have achieved 90% precision in localizing pathological regions [12], but no prior work has examined how FP4 quantization affects attention patterns in agricultural </w:t>
      </w:r>
      <w:proofErr w:type="spellStart"/>
      <w:r>
        <w:t>ViTs</w:t>
      </w:r>
      <w:proofErr w:type="spellEnd"/>
      <w:r>
        <w:t>.</w:t>
      </w:r>
    </w:p>
    <w:p w14:paraId="7FE1798E" w14:textId="77777777" w:rsidR="005A1DD5" w:rsidRDefault="00000000">
      <w:pPr>
        <w:pStyle w:val="Heading1"/>
      </w:pPr>
      <w:r>
        <w:t>III. Completed Work</w:t>
      </w:r>
    </w:p>
    <w:p w14:paraId="0801396C" w14:textId="77777777" w:rsidR="005A1DD5" w:rsidRDefault="00000000">
      <w:pPr>
        <w:pStyle w:val="Heading2"/>
      </w:pPr>
      <w:r>
        <w:t>A. Model Fine-Tuning and Baseline</w:t>
      </w:r>
    </w:p>
    <w:p w14:paraId="32048906" w14:textId="77777777" w:rsidR="005A1DD5" w:rsidRDefault="00000000">
      <w:pPr>
        <w:spacing w:after="80" w:line="276" w:lineRule="auto"/>
        <w:jc w:val="both"/>
      </w:pPr>
      <w:r>
        <w:t xml:space="preserve">We fine-tuned </w:t>
      </w:r>
      <w:proofErr w:type="spellStart"/>
      <w:r>
        <w:t>DeiT</w:t>
      </w:r>
      <w:proofErr w:type="spellEnd"/>
      <w:r>
        <w:t xml:space="preserve">-Tiny (5.53M parameters, 12 transformer blocks, 3 attention heads, 192-dim embeddings) on a 15-class </w:t>
      </w:r>
      <w:proofErr w:type="spellStart"/>
      <w:r>
        <w:t>PlantVillage</w:t>
      </w:r>
      <w:proofErr w:type="spellEnd"/>
      <w:r>
        <w:t xml:space="preserve"> subset covering tomato, potato, and bell pepper diseases. Training used the </w:t>
      </w:r>
      <w:proofErr w:type="spellStart"/>
      <w:r>
        <w:t>timm</w:t>
      </w:r>
      <w:proofErr w:type="spellEnd"/>
      <w:r>
        <w:t xml:space="preserve"> library with </w:t>
      </w:r>
      <w:proofErr w:type="spellStart"/>
      <w:r>
        <w:t>AdamW</w:t>
      </w:r>
      <w:proofErr w:type="spellEnd"/>
      <w:r>
        <w:t xml:space="preserve"> </w:t>
      </w:r>
      <w:r>
        <w:t>optimization, cosine annealing, label smoothing (0.1), and mixed-precision training on a T4 GPU. The baseline achieves 99.81% FP32 test accuracy.</w:t>
      </w:r>
    </w:p>
    <w:p w14:paraId="73098C22" w14:textId="77777777" w:rsidR="005A1DD5" w:rsidRDefault="00000000">
      <w:pPr>
        <w:pStyle w:val="Heading2"/>
      </w:pPr>
      <w:r>
        <w:t>B. Simulated FP4 Quantization</w:t>
      </w:r>
    </w:p>
    <w:p w14:paraId="5051F634" w14:textId="77777777" w:rsidR="005A1DD5" w:rsidRDefault="00000000">
      <w:pPr>
        <w:spacing w:after="80" w:line="276" w:lineRule="auto"/>
        <w:jc w:val="both"/>
      </w:pPr>
      <w:r>
        <w:t xml:space="preserve">We implemented software simulations of MXFP4 (G=32, E8M0 scales), NVFP4 (G=16, E4M3 scales), and symmetric INT4 (G=32) quantization in </w:t>
      </w:r>
      <w:proofErr w:type="spellStart"/>
      <w:r>
        <w:t>PyTorch</w:t>
      </w:r>
      <w:proofErr w:type="spellEnd"/>
      <w:r>
        <w:t>, along with the full MR-GPTQ pipeline: block-diagonal Hadamard rotation, GPTQ error compensation with Hessian-based column ordering, and MSE-optimized scale fitting. Seven configurations were evaluated:</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900"/>
        <w:gridCol w:w="900"/>
      </w:tblGrid>
      <w:tr w:rsidR="005A1DD5" w14:paraId="6EC23B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80" w:type="dxa"/>
              <w:bottom w:w="60" w:type="dxa"/>
              <w:right w:w="80" w:type="dxa"/>
            </w:tcMar>
          </w:tcPr>
          <w:p w14:paraId="735EFA7C" w14:textId="77777777" w:rsidR="005A1DD5" w:rsidRDefault="00000000">
            <w:pPr>
              <w:jc w:val="center"/>
            </w:pPr>
            <w:r>
              <w:rPr>
                <w:b/>
                <w:bCs/>
                <w:color w:val="FFFFFF"/>
                <w:sz w:val="18"/>
                <w:szCs w:val="18"/>
              </w:rPr>
              <w:t>Method</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80" w:type="dxa"/>
              <w:bottom w:w="60" w:type="dxa"/>
              <w:right w:w="80" w:type="dxa"/>
            </w:tcMar>
          </w:tcPr>
          <w:p w14:paraId="1DBC5FD5" w14:textId="77777777" w:rsidR="005A1DD5" w:rsidRDefault="00000000">
            <w:pPr>
              <w:jc w:val="center"/>
            </w:pPr>
            <w:r>
              <w:rPr>
                <w:b/>
                <w:bCs/>
                <w:color w:val="FFFFFF"/>
                <w:sz w:val="18"/>
                <w:szCs w:val="18"/>
              </w:rPr>
              <w:t>Acc%</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80" w:type="dxa"/>
              <w:bottom w:w="60" w:type="dxa"/>
              <w:right w:w="80" w:type="dxa"/>
            </w:tcMar>
          </w:tcPr>
          <w:p w14:paraId="5EB540B9" w14:textId="77777777" w:rsidR="005A1DD5" w:rsidRDefault="00000000">
            <w:pPr>
              <w:jc w:val="center"/>
            </w:pPr>
            <w:proofErr w:type="spellStart"/>
            <w:r>
              <w:rPr>
                <w:b/>
                <w:bCs/>
                <w:color w:val="FFFFFF"/>
                <w:sz w:val="18"/>
                <w:szCs w:val="18"/>
              </w:rPr>
              <w:t>MSE_rel</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80" w:type="dxa"/>
              <w:bottom w:w="60" w:type="dxa"/>
              <w:right w:w="80" w:type="dxa"/>
            </w:tcMar>
          </w:tcPr>
          <w:p w14:paraId="6A80EAF2" w14:textId="77777777" w:rsidR="005A1DD5" w:rsidRDefault="00000000">
            <w:pPr>
              <w:jc w:val="center"/>
            </w:pPr>
            <w:r>
              <w:rPr>
                <w:b/>
                <w:bCs/>
                <w:color w:val="FFFFFF"/>
                <w:sz w:val="18"/>
                <w:szCs w:val="18"/>
              </w:rPr>
              <w:t>Rec%</w:t>
            </w:r>
          </w:p>
        </w:tc>
      </w:tr>
      <w:tr w:rsidR="005A1DD5" w14:paraId="51F8D5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C7C106B" w14:textId="77777777" w:rsidR="005A1DD5" w:rsidRDefault="00000000">
            <w:r>
              <w:rPr>
                <w:sz w:val="18"/>
                <w:szCs w:val="18"/>
              </w:rPr>
              <w:t>FP32 Baseline</w:t>
            </w:r>
          </w:p>
        </w:tc>
        <w:tc>
          <w:tcPr>
            <w:tcW w:w="1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E8EAB85" w14:textId="77777777" w:rsidR="005A1DD5" w:rsidRDefault="00000000">
            <w:r>
              <w:rPr>
                <w:sz w:val="18"/>
                <w:szCs w:val="18"/>
              </w:rPr>
              <w:t>99.81</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256CE35" w14:textId="77777777" w:rsidR="005A1DD5" w:rsidRDefault="00000000">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7318645" w14:textId="77777777" w:rsidR="005A1DD5" w:rsidRDefault="00000000">
            <w:r>
              <w:rPr>
                <w:sz w:val="18"/>
                <w:szCs w:val="18"/>
              </w:rPr>
              <w:t>100.0</w:t>
            </w:r>
          </w:p>
        </w:tc>
      </w:tr>
      <w:tr w:rsidR="005A1DD5" w14:paraId="25028C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80" w:type="dxa"/>
              <w:bottom w:w="60" w:type="dxa"/>
              <w:right w:w="80" w:type="dxa"/>
            </w:tcMar>
          </w:tcPr>
          <w:p w14:paraId="522AABDC" w14:textId="77777777" w:rsidR="005A1DD5" w:rsidRDefault="00000000">
            <w:r>
              <w:rPr>
                <w:sz w:val="18"/>
                <w:szCs w:val="18"/>
              </w:rPr>
              <w:t>INT4 RTN</w:t>
            </w:r>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80" w:type="dxa"/>
              <w:bottom w:w="60" w:type="dxa"/>
              <w:right w:w="80" w:type="dxa"/>
            </w:tcMar>
          </w:tcPr>
          <w:p w14:paraId="4A0FF87A" w14:textId="77777777" w:rsidR="005A1DD5" w:rsidRDefault="00000000">
            <w:r>
              <w:rPr>
                <w:sz w:val="18"/>
                <w:szCs w:val="18"/>
              </w:rPr>
              <w:t>99.62</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80" w:type="dxa"/>
              <w:bottom w:w="60" w:type="dxa"/>
              <w:right w:w="80" w:type="dxa"/>
            </w:tcMar>
          </w:tcPr>
          <w:p w14:paraId="61BC4D30" w14:textId="77777777" w:rsidR="005A1DD5" w:rsidRDefault="00000000">
            <w:r>
              <w:rPr>
                <w:sz w:val="18"/>
                <w:szCs w:val="18"/>
              </w:rPr>
              <w:t>0.011</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80" w:type="dxa"/>
              <w:bottom w:w="60" w:type="dxa"/>
              <w:right w:w="80" w:type="dxa"/>
            </w:tcMar>
          </w:tcPr>
          <w:p w14:paraId="0FEA27B9" w14:textId="77777777" w:rsidR="005A1DD5" w:rsidRDefault="00000000">
            <w:r>
              <w:rPr>
                <w:sz w:val="18"/>
                <w:szCs w:val="18"/>
              </w:rPr>
              <w:t>99.8</w:t>
            </w:r>
          </w:p>
        </w:tc>
      </w:tr>
      <w:tr w:rsidR="005A1DD5" w14:paraId="01AA76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DCCF9E7" w14:textId="77777777" w:rsidR="005A1DD5" w:rsidRDefault="00000000">
            <w:r>
              <w:rPr>
                <w:sz w:val="18"/>
                <w:szCs w:val="18"/>
              </w:rPr>
              <w:t>NVFP4 RTN</w:t>
            </w:r>
          </w:p>
        </w:tc>
        <w:tc>
          <w:tcPr>
            <w:tcW w:w="1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B9BF8E5" w14:textId="77777777" w:rsidR="005A1DD5" w:rsidRDefault="00000000">
            <w:r>
              <w:rPr>
                <w:sz w:val="18"/>
                <w:szCs w:val="18"/>
              </w:rPr>
              <w:t>99.71</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9A84B45" w14:textId="77777777" w:rsidR="005A1DD5" w:rsidRDefault="00000000">
            <w:r>
              <w:rPr>
                <w:sz w:val="18"/>
                <w:szCs w:val="18"/>
              </w:rPr>
              <w:t>0.009</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85C8D6E" w14:textId="77777777" w:rsidR="005A1DD5" w:rsidRDefault="00000000">
            <w:r>
              <w:rPr>
                <w:sz w:val="18"/>
                <w:szCs w:val="18"/>
              </w:rPr>
              <w:t>99.9</w:t>
            </w:r>
          </w:p>
        </w:tc>
      </w:tr>
      <w:tr w:rsidR="005A1DD5" w14:paraId="59E661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80" w:type="dxa"/>
              <w:bottom w:w="60" w:type="dxa"/>
              <w:right w:w="80" w:type="dxa"/>
            </w:tcMar>
          </w:tcPr>
          <w:p w14:paraId="037DAAF5" w14:textId="77777777" w:rsidR="005A1DD5" w:rsidRDefault="00000000">
            <w:r>
              <w:rPr>
                <w:sz w:val="18"/>
                <w:szCs w:val="18"/>
              </w:rPr>
              <w:t>MXFP4 RTN</w:t>
            </w:r>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80" w:type="dxa"/>
              <w:bottom w:w="60" w:type="dxa"/>
              <w:right w:w="80" w:type="dxa"/>
            </w:tcMar>
          </w:tcPr>
          <w:p w14:paraId="07141B07" w14:textId="77777777" w:rsidR="005A1DD5" w:rsidRDefault="00000000">
            <w:r>
              <w:rPr>
                <w:sz w:val="18"/>
                <w:szCs w:val="18"/>
              </w:rPr>
              <w:t>99.52</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80" w:type="dxa"/>
              <w:bottom w:w="60" w:type="dxa"/>
              <w:right w:w="80" w:type="dxa"/>
            </w:tcMar>
          </w:tcPr>
          <w:p w14:paraId="295D917C" w14:textId="77777777" w:rsidR="005A1DD5" w:rsidRDefault="00000000">
            <w:r>
              <w:rPr>
                <w:sz w:val="18"/>
                <w:szCs w:val="18"/>
              </w:rPr>
              <w:t>0.038</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80" w:type="dxa"/>
              <w:bottom w:w="60" w:type="dxa"/>
              <w:right w:w="80" w:type="dxa"/>
            </w:tcMar>
          </w:tcPr>
          <w:p w14:paraId="05A3043E" w14:textId="77777777" w:rsidR="005A1DD5" w:rsidRDefault="00000000">
            <w:r>
              <w:rPr>
                <w:sz w:val="18"/>
                <w:szCs w:val="18"/>
              </w:rPr>
              <w:t>99.7</w:t>
            </w:r>
          </w:p>
        </w:tc>
      </w:tr>
      <w:tr w:rsidR="005A1DD5" w14:paraId="3838DA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6491758" w14:textId="77777777" w:rsidR="005A1DD5" w:rsidRDefault="00000000">
            <w:r>
              <w:rPr>
                <w:sz w:val="18"/>
                <w:szCs w:val="18"/>
              </w:rPr>
              <w:t>MXFP4+HT RTN</w:t>
            </w:r>
          </w:p>
        </w:tc>
        <w:tc>
          <w:tcPr>
            <w:tcW w:w="1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D118A45" w14:textId="77777777" w:rsidR="005A1DD5" w:rsidRDefault="00000000">
            <w:r>
              <w:rPr>
                <w:sz w:val="18"/>
                <w:szCs w:val="18"/>
              </w:rPr>
              <w:t>99.67</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4F26A48" w14:textId="77777777" w:rsidR="005A1DD5" w:rsidRDefault="00000000">
            <w:r>
              <w:rPr>
                <w:sz w:val="18"/>
                <w:szCs w:val="18"/>
              </w:rPr>
              <w:t>0.036</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2E437AD" w14:textId="77777777" w:rsidR="005A1DD5" w:rsidRDefault="00000000">
            <w:r>
              <w:rPr>
                <w:sz w:val="18"/>
                <w:szCs w:val="18"/>
              </w:rPr>
              <w:t>99.9</w:t>
            </w:r>
          </w:p>
        </w:tc>
      </w:tr>
      <w:tr w:rsidR="005A1DD5" w14:paraId="156495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80" w:type="dxa"/>
              <w:bottom w:w="60" w:type="dxa"/>
              <w:right w:w="80" w:type="dxa"/>
            </w:tcMar>
          </w:tcPr>
          <w:p w14:paraId="782E436F" w14:textId="77777777" w:rsidR="005A1DD5" w:rsidRDefault="00000000">
            <w:r>
              <w:rPr>
                <w:sz w:val="18"/>
                <w:szCs w:val="18"/>
              </w:rPr>
              <w:t>NVFP4+GPTQ</w:t>
            </w:r>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80" w:type="dxa"/>
              <w:bottom w:w="60" w:type="dxa"/>
              <w:right w:w="80" w:type="dxa"/>
            </w:tcMar>
          </w:tcPr>
          <w:p w14:paraId="21DDE12D" w14:textId="77777777" w:rsidR="005A1DD5" w:rsidRDefault="00000000">
            <w:r>
              <w:rPr>
                <w:sz w:val="18"/>
                <w:szCs w:val="18"/>
              </w:rPr>
              <w:t>99.76</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80" w:type="dxa"/>
              <w:bottom w:w="60" w:type="dxa"/>
              <w:right w:w="80" w:type="dxa"/>
            </w:tcMar>
          </w:tcPr>
          <w:p w14:paraId="58144BE5" w14:textId="77777777" w:rsidR="005A1DD5" w:rsidRDefault="00000000">
            <w:r>
              <w:rPr>
                <w:sz w:val="18"/>
                <w:szCs w:val="18"/>
              </w:rPr>
              <w:t>0.008</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80" w:type="dxa"/>
              <w:bottom w:w="60" w:type="dxa"/>
              <w:right w:w="80" w:type="dxa"/>
            </w:tcMar>
          </w:tcPr>
          <w:p w14:paraId="1DB07426" w14:textId="77777777" w:rsidR="005A1DD5" w:rsidRDefault="00000000">
            <w:r>
              <w:rPr>
                <w:sz w:val="18"/>
                <w:szCs w:val="18"/>
              </w:rPr>
              <w:t>99.9</w:t>
            </w:r>
          </w:p>
        </w:tc>
      </w:tr>
      <w:tr w:rsidR="005A1DD5" w14:paraId="464D37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EB98C65" w14:textId="77777777" w:rsidR="005A1DD5" w:rsidRDefault="00000000">
            <w:r>
              <w:rPr>
                <w:sz w:val="18"/>
                <w:szCs w:val="18"/>
              </w:rPr>
              <w:t>MXFP4+MR-GPTQ</w:t>
            </w:r>
          </w:p>
        </w:tc>
        <w:tc>
          <w:tcPr>
            <w:tcW w:w="1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F4BD921" w14:textId="77777777" w:rsidR="005A1DD5" w:rsidRDefault="00000000">
            <w:r>
              <w:rPr>
                <w:sz w:val="18"/>
                <w:szCs w:val="18"/>
              </w:rPr>
              <w:t>99.86</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BD5AA0B" w14:textId="77777777" w:rsidR="005A1DD5" w:rsidRDefault="00000000">
            <w:r>
              <w:rPr>
                <w:sz w:val="18"/>
                <w:szCs w:val="18"/>
              </w:rPr>
              <w:t>0.006</w:t>
            </w:r>
          </w:p>
        </w:tc>
        <w:tc>
          <w:tcPr>
            <w:tcW w:w="9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EE946C8" w14:textId="77777777" w:rsidR="005A1DD5" w:rsidRDefault="00000000">
            <w:r>
              <w:rPr>
                <w:sz w:val="18"/>
                <w:szCs w:val="18"/>
              </w:rPr>
              <w:t>100.1</w:t>
            </w:r>
          </w:p>
        </w:tc>
      </w:tr>
    </w:tbl>
    <w:p w14:paraId="1B6588AF" w14:textId="77777777" w:rsidR="005A1DD5" w:rsidRDefault="00000000">
      <w:pPr>
        <w:spacing w:after="80" w:line="276" w:lineRule="auto"/>
        <w:jc w:val="center"/>
      </w:pPr>
      <w:r>
        <w:rPr>
          <w:i/>
          <w:iCs/>
          <w:sz w:val="18"/>
          <w:szCs w:val="18"/>
        </w:rPr>
        <w:t xml:space="preserve">Table I: Quantization Results on </w:t>
      </w:r>
      <w:proofErr w:type="spellStart"/>
      <w:r>
        <w:rPr>
          <w:i/>
          <w:iCs/>
          <w:sz w:val="18"/>
          <w:szCs w:val="18"/>
        </w:rPr>
        <w:t>PlantVillage</w:t>
      </w:r>
      <w:proofErr w:type="spellEnd"/>
      <w:r>
        <w:rPr>
          <w:i/>
          <w:iCs/>
          <w:sz w:val="18"/>
          <w:szCs w:val="18"/>
        </w:rPr>
        <w:t xml:space="preserve"> 15-class Test Set</w:t>
      </w:r>
    </w:p>
    <w:p w14:paraId="2139622A" w14:textId="77777777" w:rsidR="005A1DD5" w:rsidRDefault="005A1DD5">
      <w:pPr>
        <w:spacing w:after="80"/>
      </w:pPr>
    </w:p>
    <w:p w14:paraId="3177AEC4" w14:textId="77777777" w:rsidR="005A1DD5" w:rsidRDefault="00000000">
      <w:pPr>
        <w:pStyle w:val="Heading2"/>
      </w:pPr>
      <w:r>
        <w:t>C. Distribution Analysis (Figure 2 Replication)</w:t>
      </w:r>
    </w:p>
    <w:p w14:paraId="57784FF2" w14:textId="77777777" w:rsidR="005A1DD5" w:rsidRDefault="00000000">
      <w:pPr>
        <w:spacing w:after="80" w:line="276" w:lineRule="auto"/>
        <w:jc w:val="both"/>
      </w:pPr>
      <w:r>
        <w:t xml:space="preserve">We conducted a comprehensive per-layer distribution analysis across all 49 linear layers of </w:t>
      </w:r>
      <w:proofErr w:type="spellStart"/>
      <w:r>
        <w:t>DeiT</w:t>
      </w:r>
      <w:proofErr w:type="spellEnd"/>
      <w:r>
        <w:t>-Tiny, replicating the methodology of Castro et al. Figure 2 [4]. For each layer, we collected weight tensors directly and activation tensors via forward hooks on 128 calibration images, fitted Laplace and Normal distributions with KS goodness-of-fit tests, computed excess kurtosis, applied Hadamard rotation, and repeated the analysis. Key findings:</w:t>
      </w:r>
    </w:p>
    <w:p w14:paraId="3D9FE057" w14:textId="77777777" w:rsidR="005A1DD5" w:rsidRDefault="00000000">
      <w:pPr>
        <w:spacing w:after="80" w:line="276" w:lineRule="auto"/>
        <w:jc w:val="both"/>
      </w:pPr>
      <w:r>
        <w:rPr>
          <w:b/>
          <w:bCs/>
        </w:rPr>
        <w:t xml:space="preserve">Finding 1: </w:t>
      </w:r>
      <w:proofErr w:type="spellStart"/>
      <w:r>
        <w:t>ViT</w:t>
      </w:r>
      <w:proofErr w:type="spellEnd"/>
      <w:r>
        <w:t xml:space="preserve"> weights are less heavy-tailed than LLM weights (average κ=1.05 vs 1.47), with most layers already fitting a </w:t>
      </w:r>
      <w:proofErr w:type="gramStart"/>
      <w:r>
        <w:t>Normal</w:t>
      </w:r>
      <w:proofErr w:type="gramEnd"/>
      <w:r>
        <w:t xml:space="preserve"> distribution. This means the Hadamard rotation component of MR-GPTQ provides less weight-side benefit for </w:t>
      </w:r>
      <w:proofErr w:type="spellStart"/>
      <w:r>
        <w:t>ViTs</w:t>
      </w:r>
      <w:proofErr w:type="spellEnd"/>
      <w:r>
        <w:t xml:space="preserve"> than for LLMs.</w:t>
      </w:r>
    </w:p>
    <w:p w14:paraId="396E32E3" w14:textId="77777777" w:rsidR="005A1DD5" w:rsidRDefault="00000000">
      <w:pPr>
        <w:spacing w:after="80" w:line="276" w:lineRule="auto"/>
        <w:jc w:val="both"/>
      </w:pPr>
      <w:r>
        <w:rPr>
          <w:b/>
          <w:bCs/>
        </w:rPr>
        <w:t xml:space="preserve">Finding 2: </w:t>
      </w:r>
      <w:proofErr w:type="spellStart"/>
      <w:r>
        <w:t>ViT</w:t>
      </w:r>
      <w:proofErr w:type="spellEnd"/>
      <w:r>
        <w:t xml:space="preserve"> activations are 67% more heavy-tailed than LLM activations (average κ=14.59 vs 8.75), driven by MLP FC2 layers with extreme kurtosis (κ≈51.05). This GELU-induced outlier pattern has no equivalent in LLMs and identifies MLP FC2 as the critical quantization bottleneck.</w:t>
      </w:r>
    </w:p>
    <w:p w14:paraId="53A2FAAB" w14:textId="77777777" w:rsidR="005A1DD5" w:rsidRDefault="00000000">
      <w:pPr>
        <w:spacing w:after="80" w:line="276" w:lineRule="auto"/>
        <w:jc w:val="both"/>
      </w:pPr>
      <w:r>
        <w:rPr>
          <w:b/>
          <w:bCs/>
        </w:rPr>
        <w:t xml:space="preserve">Finding 3: </w:t>
      </w:r>
      <w:r>
        <w:t>Hadamard rotation reduces activation kurtosis by 95.1% (14.59→0.72) but anomalously increases MLP FC2 weight kurtosis (2.07→12.84). This layer-type-dependent effectiveness is a novel finding absent from the LLM literature.</w:t>
      </w:r>
    </w:p>
    <w:p w14:paraId="2E77418C" w14:textId="77777777" w:rsidR="005A1DD5" w:rsidRDefault="00000000">
      <w:pPr>
        <w:spacing w:after="80" w:line="276" w:lineRule="auto"/>
        <w:jc w:val="both"/>
      </w:pPr>
      <w:r>
        <w:rPr>
          <w:b/>
          <w:bCs/>
        </w:rPr>
        <w:t xml:space="preserve">Finding 4: </w:t>
      </w:r>
      <w:r>
        <w:t xml:space="preserve">NVFP4 consistently achieves 4–5× lower </w:t>
      </w:r>
      <w:proofErr w:type="spellStart"/>
      <w:r>
        <w:t>MSE_rel</w:t>
      </w:r>
      <w:proofErr w:type="spellEnd"/>
      <w:r>
        <w:t xml:space="preserve"> than MXFP4 across all layers, with </w:t>
      </w:r>
      <w:proofErr w:type="spellStart"/>
      <w:r>
        <w:t>MSE_rel</w:t>
      </w:r>
      <w:proofErr w:type="spellEnd"/>
      <w:r>
        <w:t xml:space="preserve"> of 0.0087–0.0091 vs </w:t>
      </w:r>
      <w:r>
        <w:lastRenderedPageBreak/>
        <w:t>0.031–0.045. Layer-type heterogeneity (10× kurtosis variation across categories) argues strongly for adaptive format selection.</w:t>
      </w:r>
    </w:p>
    <w:p w14:paraId="301A6004" w14:textId="77777777" w:rsidR="005A1DD5" w:rsidRDefault="00000000">
      <w:pPr>
        <w:pStyle w:val="Heading2"/>
      </w:pPr>
      <w:r>
        <w:t>D. Smartphone Deployment</w:t>
      </w:r>
    </w:p>
    <w:p w14:paraId="7EE25037" w14:textId="77777777" w:rsidR="005A1DD5" w:rsidRDefault="00000000">
      <w:pPr>
        <w:spacing w:after="80" w:line="276" w:lineRule="auto"/>
        <w:jc w:val="both"/>
      </w:pPr>
      <w:r>
        <w:t xml:space="preserve">The fine-tuned model was exported to ONNX format (resolving a </w:t>
      </w:r>
      <w:proofErr w:type="spellStart"/>
      <w:r>
        <w:t>PyTorch</w:t>
      </w:r>
      <w:proofErr w:type="spellEnd"/>
      <w:r>
        <w:t xml:space="preserve"> 2.x Dynamo export bug that externalized weights) and deployed via ONNX Runtime on smartphone through a </w:t>
      </w:r>
      <w:proofErr w:type="spellStart"/>
      <w:r>
        <w:t>Gradio</w:t>
      </w:r>
      <w:proofErr w:type="spellEnd"/>
      <w:r>
        <w:t xml:space="preserve"> prototype, achieving ~96ms average CPU latency and ~99.76% ONNX accuracy. Packed FP4 binary weights (4-bit indices, 2 per byte) with per-group scales and a 256-byte FP4 dot-product LUT were exported for ESP32-S3 deployment.</w:t>
      </w:r>
    </w:p>
    <w:p w14:paraId="4B2C5B38" w14:textId="77777777" w:rsidR="005A1DD5" w:rsidRDefault="00000000">
      <w:pPr>
        <w:pStyle w:val="Heading1"/>
      </w:pPr>
      <w:r>
        <w:t>IV. Proposed System Architecture</w:t>
      </w:r>
    </w:p>
    <w:p w14:paraId="7FB45C51" w14:textId="77777777" w:rsidR="005A1DD5" w:rsidRDefault="00000000">
      <w:pPr>
        <w:spacing w:after="80" w:line="276" w:lineRule="auto"/>
        <w:jc w:val="both"/>
      </w:pPr>
      <w:r>
        <w:t>We propose a three-layer architecture that transforms MicroAgri-FP4 from a research prototype into a deployable precision agriculture tool:</w:t>
      </w:r>
    </w:p>
    <w:p w14:paraId="45467B9F" w14:textId="77777777" w:rsidR="005A1DD5" w:rsidRDefault="00000000">
      <w:pPr>
        <w:pStyle w:val="Heading2"/>
      </w:pPr>
      <w:r>
        <w:t>A. Layer 1: Real-Time Classification with Attention Overlay</w:t>
      </w:r>
    </w:p>
    <w:p w14:paraId="3C0167B1" w14:textId="77777777" w:rsidR="005A1DD5" w:rsidRDefault="00000000">
      <w:pPr>
        <w:spacing w:after="80" w:line="276" w:lineRule="auto"/>
        <w:jc w:val="both"/>
      </w:pPr>
      <w:r>
        <w:t xml:space="preserve">The quantized </w:t>
      </w:r>
      <w:proofErr w:type="spellStart"/>
      <w:r>
        <w:t>DeiT</w:t>
      </w:r>
      <w:proofErr w:type="spellEnd"/>
      <w:r>
        <w:t xml:space="preserve">-Tiny runs continuously on the camera feed, providing instant classification (~100ms per frame). Simultaneously, </w:t>
      </w:r>
      <w:proofErr w:type="spellStart"/>
      <w:r>
        <w:t>GradCAM</w:t>
      </w:r>
      <w:proofErr w:type="spellEnd"/>
      <w:r>
        <w:t xml:space="preserve"> and gradient-weighted attention rollout [10][11] generate per-frame saliency maps that are overlaid as a semi-transparent heatmap on the live camera view, highlighting the exact leaf regions (lesions, discoloration, fungal spots) driving the classification. This provides farmers with immediate visual feedback and builds trust in the AI system—a critical adoption factor identified in precision agriculture literature [2].</w:t>
      </w:r>
    </w:p>
    <w:p w14:paraId="1CF3BE7B" w14:textId="77777777" w:rsidR="005A1DD5" w:rsidRDefault="00000000">
      <w:pPr>
        <w:spacing w:after="80" w:line="276" w:lineRule="auto"/>
        <w:jc w:val="both"/>
      </w:pPr>
      <w:r>
        <w:t xml:space="preserve">A novel contribution is the quantization-aware explainability analysis: comparing attention patterns across FP32, MXFP4, NVFP4, and MR-GPTQ configurations to determine whether FP4 quantization shifts where the model attends. If quantization alters attention from lesion edges to leaf veins, for example, this has direct implications for clinical-grade deployment of quantized </w:t>
      </w:r>
      <w:proofErr w:type="spellStart"/>
      <w:r>
        <w:t>ViTs</w:t>
      </w:r>
      <w:proofErr w:type="spellEnd"/>
      <w:r>
        <w:t>.</w:t>
      </w:r>
    </w:p>
    <w:p w14:paraId="4DDF2B9B" w14:textId="77777777" w:rsidR="005A1DD5" w:rsidRDefault="00000000">
      <w:pPr>
        <w:pStyle w:val="Heading2"/>
      </w:pPr>
      <w:r>
        <w:t>B. Layer 2: GPS-Tagged Disease Mapping</w:t>
      </w:r>
    </w:p>
    <w:p w14:paraId="0598B89F" w14:textId="77777777" w:rsidR="005A1DD5" w:rsidRDefault="00000000">
      <w:pPr>
        <w:spacing w:after="80" w:line="276" w:lineRule="auto"/>
        <w:jc w:val="both"/>
      </w:pPr>
      <w:r>
        <w:t>Each classification capture is GPS-tagged and stored in a local SQLite database with the image thumbnail, predicted class, confidence score, timestamp, and coordinates. Detections are plotted on an offline map (cached OpenStreetMap tiles) as color-coded pins, producing a spatial disease heatmap of the farmer’s field. This transforms the app from a single-image classifier into a precision agriculture field scouting tool [13][14], enabling farmers to identify disease hotspots, track spatial spread over time, and make targeted treatment decisions.</w:t>
      </w:r>
    </w:p>
    <w:p w14:paraId="4EEF6109" w14:textId="77777777" w:rsidR="005A1DD5" w:rsidRDefault="00000000">
      <w:pPr>
        <w:spacing w:after="80" w:line="276" w:lineRule="auto"/>
        <w:jc w:val="both"/>
      </w:pPr>
      <w:r>
        <w:t xml:space="preserve">Current precision agriculture mapping relies on expensive drone surveys ($500–$2,000 per survey [2]) or cloud-connected platforms. Our smartphone-based approach provides comparable </w:t>
      </w:r>
      <w:r>
        <w:t>field-level disease mapping at zero marginal cost, operating entirely offline.</w:t>
      </w:r>
    </w:p>
    <w:p w14:paraId="506A75BA" w14:textId="77777777" w:rsidR="005A1DD5" w:rsidRDefault="00000000">
      <w:pPr>
        <w:pStyle w:val="Heading2"/>
      </w:pPr>
      <w:r>
        <w:t>C. Layer 3: VLM-Powered Multimodal RAG</w:t>
      </w:r>
    </w:p>
    <w:p w14:paraId="1F334A26" w14:textId="77777777" w:rsidR="005A1DD5" w:rsidRDefault="00000000">
      <w:pPr>
        <w:spacing w:after="80" w:line="276" w:lineRule="auto"/>
        <w:jc w:val="both"/>
      </w:pPr>
      <w:r>
        <w:t>When a farmer requests treatment advice (by tapping a detection pin or capture), the system invokes a multimodal RAG pipeline:</w:t>
      </w:r>
    </w:p>
    <w:p w14:paraId="0DB044A9" w14:textId="77777777" w:rsidR="005A1DD5" w:rsidRDefault="00000000">
      <w:pPr>
        <w:spacing w:after="80" w:line="276" w:lineRule="auto"/>
        <w:jc w:val="both"/>
      </w:pPr>
      <w:r>
        <w:rPr>
          <w:b/>
          <w:bCs/>
        </w:rPr>
        <w:t xml:space="preserve">Step 1—Retrieval: </w:t>
      </w:r>
      <w:r>
        <w:t xml:space="preserve">The </w:t>
      </w:r>
      <w:proofErr w:type="spellStart"/>
      <w:r>
        <w:t>DeiT</w:t>
      </w:r>
      <w:proofErr w:type="spellEnd"/>
      <w:r>
        <w:t>-Tiny classification label and confidence score query a local vector store (</w:t>
      </w:r>
      <w:proofErr w:type="spellStart"/>
      <w:r>
        <w:t>ChromaDB</w:t>
      </w:r>
      <w:proofErr w:type="spellEnd"/>
      <w:r>
        <w:t>/FAISS) containing embedded agricultural extension documents, treatment protocols, pesticide databases, and region-specific crop management guidelines for Bangladesh. Documents are pre-embedded using a sentence transformer and stored on-device.</w:t>
      </w:r>
    </w:p>
    <w:p w14:paraId="3E46CB5B" w14:textId="77777777" w:rsidR="005A1DD5" w:rsidRDefault="00000000">
      <w:pPr>
        <w:spacing w:after="80" w:line="276" w:lineRule="auto"/>
        <w:jc w:val="both"/>
      </w:pPr>
      <w:r>
        <w:rPr>
          <w:b/>
          <w:bCs/>
        </w:rPr>
        <w:t xml:space="preserve">Step 2—Generation: </w:t>
      </w:r>
      <w:r>
        <w:t xml:space="preserve">The captured image, classification result, and top-k retrieved documents are passed to a quantized vision-language model (Qwen2.5-VL-3B [7] or LFM2.5-VLM [15]) running locally via llama.cpp [16] or </w:t>
      </w:r>
      <w:proofErr w:type="spellStart"/>
      <w:r>
        <w:t>Ollama</w:t>
      </w:r>
      <w:proofErr w:type="spellEnd"/>
      <w:r>
        <w:t xml:space="preserve"> [17]. The VLM generates a grounded natural-language treatment recommendation, citing specific retrieved documents.</w:t>
      </w:r>
    </w:p>
    <w:p w14:paraId="3CF4323B" w14:textId="77777777" w:rsidR="005A1DD5" w:rsidRDefault="00000000">
      <w:pPr>
        <w:spacing w:after="80" w:line="276" w:lineRule="auto"/>
        <w:jc w:val="both"/>
      </w:pPr>
      <w:r>
        <w:rPr>
          <w:b/>
          <w:bCs/>
        </w:rPr>
        <w:t xml:space="preserve">Step 3—Presentation: </w:t>
      </w:r>
      <w:r>
        <w:t>The recommendation is displayed with the attention heatmap overlay, confidence score, retrieved source citations, and the detection’s position on the field map, providing a complete decision-support interface.</w:t>
      </w:r>
    </w:p>
    <w:p w14:paraId="7F37E8E8" w14:textId="77777777" w:rsidR="005A1DD5" w:rsidRDefault="00000000">
      <w:pPr>
        <w:spacing w:after="80" w:line="276" w:lineRule="auto"/>
        <w:jc w:val="both"/>
      </w:pPr>
      <w:r>
        <w:t xml:space="preserve">This architecture addresses a critical limitation of existing agricultural VLMs: while systems like LLMI-CDP [18] and </w:t>
      </w:r>
      <w:proofErr w:type="spellStart"/>
      <w:r>
        <w:t>AgriM</w:t>
      </w:r>
      <w:proofErr w:type="spellEnd"/>
      <w:r>
        <w:t>-LLM [6] achieve strong recognition accuracy, they require server-side inference and lack grounding in retrievable knowledge sources. Our system runs entirely on-device, generates advice grounded in verifiable agricultural documents, and operates in regions with no internet connectivity.</w:t>
      </w:r>
    </w:p>
    <w:p w14:paraId="1EEF0691" w14:textId="77777777" w:rsidR="005A1DD5" w:rsidRDefault="00000000">
      <w:pPr>
        <w:pStyle w:val="Heading1"/>
      </w:pPr>
      <w:r>
        <w:t>V. Expected Contributions</w:t>
      </w:r>
    </w:p>
    <w:p w14:paraId="52DBACEF" w14:textId="77777777" w:rsidR="005A1DD5" w:rsidRDefault="00000000">
      <w:pPr>
        <w:spacing w:after="80" w:line="276" w:lineRule="auto"/>
        <w:jc w:val="both"/>
      </w:pPr>
      <w:r>
        <w:rPr>
          <w:b/>
          <w:bCs/>
        </w:rPr>
        <w:t xml:space="preserve">C1—Cross-Architecture Distribution Analysis: </w:t>
      </w:r>
      <w:r>
        <w:t>The first per-layer distributional characterization of FP4 quantization applied to agricultural vision transformers, revealing fundamental differences from LLMs (67% higher activation kurtosis, layer-type-dependent Hadamard effectiveness, extreme MLP FC2 outlier behavior).</w:t>
      </w:r>
    </w:p>
    <w:p w14:paraId="508638DF" w14:textId="77777777" w:rsidR="005A1DD5" w:rsidRDefault="00000000">
      <w:pPr>
        <w:spacing w:after="80" w:line="276" w:lineRule="auto"/>
        <w:jc w:val="both"/>
      </w:pPr>
      <w:r>
        <w:rPr>
          <w:b/>
          <w:bCs/>
        </w:rPr>
        <w:t xml:space="preserve">C2—Quantization-Aware Explainability: </w:t>
      </w:r>
      <w:r>
        <w:t xml:space="preserve">First analysis of how </w:t>
      </w:r>
      <w:proofErr w:type="spellStart"/>
      <w:r>
        <w:t>microscaling</w:t>
      </w:r>
      <w:proofErr w:type="spellEnd"/>
      <w:r>
        <w:t xml:space="preserve"> FP4 quantization affects attention patterns in </w:t>
      </w:r>
      <w:proofErr w:type="spellStart"/>
      <w:r>
        <w:t>ViTs</w:t>
      </w:r>
      <w:proofErr w:type="spellEnd"/>
      <w:r>
        <w:t xml:space="preserve">, comparing </w:t>
      </w:r>
      <w:proofErr w:type="spellStart"/>
      <w:r>
        <w:t>GradCAM</w:t>
      </w:r>
      <w:proofErr w:type="spellEnd"/>
      <w:r>
        <w:t xml:space="preserve"> and attention rollout heatmaps across 7 quantization configurations.</w:t>
      </w:r>
    </w:p>
    <w:p w14:paraId="48409A01" w14:textId="77777777" w:rsidR="005A1DD5" w:rsidRDefault="00000000">
      <w:pPr>
        <w:spacing w:after="80" w:line="276" w:lineRule="auto"/>
        <w:jc w:val="both"/>
      </w:pPr>
      <w:r>
        <w:rPr>
          <w:b/>
          <w:bCs/>
        </w:rPr>
        <w:t xml:space="preserve">C3—Offline Multimodal Agricultural RAG: </w:t>
      </w:r>
      <w:r>
        <w:t xml:space="preserve">First on-device multimodal RAG system for agriculture combining FP4-quantized </w:t>
      </w:r>
      <w:proofErr w:type="spellStart"/>
      <w:r>
        <w:t>ViT</w:t>
      </w:r>
      <w:proofErr w:type="spellEnd"/>
      <w:r>
        <w:t xml:space="preserve"> classification with locally-served VLM generation and retrieval-grounded treatment advice.</w:t>
      </w:r>
    </w:p>
    <w:p w14:paraId="7160EDC7" w14:textId="77777777" w:rsidR="005A1DD5" w:rsidRDefault="00000000">
      <w:pPr>
        <w:spacing w:after="80" w:line="276" w:lineRule="auto"/>
        <w:jc w:val="both"/>
      </w:pPr>
      <w:r>
        <w:rPr>
          <w:b/>
          <w:bCs/>
        </w:rPr>
        <w:t xml:space="preserve">C4—Smartphone Precision Agriculture: </w:t>
      </w:r>
      <w:r>
        <w:t>Complete offline field scouting system with GPS-tagged disease mapping, attention-based explainability, and AI-generated treatment recommendations running on commodity smartphones.</w:t>
      </w:r>
    </w:p>
    <w:p w14:paraId="2E8EEE32" w14:textId="77777777" w:rsidR="005A1DD5" w:rsidRDefault="00000000">
      <w:pPr>
        <w:pStyle w:val="Heading1"/>
      </w:pPr>
      <w:r>
        <w:lastRenderedPageBreak/>
        <w:t>VI. Implementation Plan</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300"/>
        <w:gridCol w:w="2700"/>
      </w:tblGrid>
      <w:tr w:rsidR="005A1DD5" w14:paraId="2D0D43D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80" w:type="dxa"/>
              <w:bottom w:w="60" w:type="dxa"/>
              <w:right w:w="80" w:type="dxa"/>
            </w:tcMar>
          </w:tcPr>
          <w:p w14:paraId="3C54B43A" w14:textId="77777777" w:rsidR="005A1DD5" w:rsidRDefault="00000000">
            <w:pPr>
              <w:jc w:val="center"/>
            </w:pPr>
            <w:r>
              <w:rPr>
                <w:b/>
                <w:bCs/>
                <w:color w:val="FFFFFF"/>
                <w:sz w:val="18"/>
                <w:szCs w:val="18"/>
              </w:rPr>
              <w:t>Weeks</w:t>
            </w:r>
          </w:p>
        </w:tc>
        <w:tc>
          <w:tcPr>
            <w:tcW w:w="13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80" w:type="dxa"/>
              <w:bottom w:w="60" w:type="dxa"/>
              <w:right w:w="80" w:type="dxa"/>
            </w:tcMar>
          </w:tcPr>
          <w:p w14:paraId="1892FA87" w14:textId="77777777" w:rsidR="005A1DD5" w:rsidRDefault="00000000">
            <w:pPr>
              <w:jc w:val="center"/>
            </w:pPr>
            <w:r>
              <w:rPr>
                <w:b/>
                <w:bCs/>
                <w:color w:val="FFFFFF"/>
                <w:sz w:val="18"/>
                <w:szCs w:val="18"/>
              </w:rPr>
              <w:t>Phase</w:t>
            </w:r>
          </w:p>
        </w:tc>
        <w:tc>
          <w:tcPr>
            <w:tcW w:w="27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80" w:type="dxa"/>
              <w:bottom w:w="60" w:type="dxa"/>
              <w:right w:w="80" w:type="dxa"/>
            </w:tcMar>
          </w:tcPr>
          <w:p w14:paraId="59A1BE45" w14:textId="77777777" w:rsidR="005A1DD5" w:rsidRDefault="00000000">
            <w:pPr>
              <w:jc w:val="center"/>
            </w:pPr>
            <w:r>
              <w:rPr>
                <w:b/>
                <w:bCs/>
                <w:color w:val="FFFFFF"/>
                <w:sz w:val="18"/>
                <w:szCs w:val="18"/>
              </w:rPr>
              <w:t>Deliverables</w:t>
            </w:r>
          </w:p>
        </w:tc>
      </w:tr>
      <w:tr w:rsidR="005A1DD5" w14:paraId="44ECC4C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0F17D94" w14:textId="77777777" w:rsidR="005A1DD5" w:rsidRDefault="00000000">
            <w:r>
              <w:rPr>
                <w:sz w:val="18"/>
                <w:szCs w:val="18"/>
              </w:rPr>
              <w:t>1–2</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B6B801D" w14:textId="77777777" w:rsidR="005A1DD5" w:rsidRDefault="00000000">
            <w:r>
              <w:rPr>
                <w:sz w:val="18"/>
                <w:szCs w:val="18"/>
              </w:rPr>
              <w:t>Explainability</w:t>
            </w:r>
          </w:p>
        </w:tc>
        <w:tc>
          <w:tcPr>
            <w:tcW w:w="2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61EC15C" w14:textId="77777777" w:rsidR="005A1DD5" w:rsidRDefault="00000000">
            <w:proofErr w:type="spellStart"/>
            <w:r>
              <w:rPr>
                <w:sz w:val="18"/>
                <w:szCs w:val="18"/>
              </w:rPr>
              <w:t>GradCAM</w:t>
            </w:r>
            <w:proofErr w:type="spellEnd"/>
            <w:r>
              <w:rPr>
                <w:sz w:val="18"/>
                <w:szCs w:val="18"/>
              </w:rPr>
              <w:t xml:space="preserve"> + attention rollout on all 7 quantization configs; quantization-aware attention shift analysis; paper figures</w:t>
            </w:r>
          </w:p>
        </w:tc>
      </w:tr>
      <w:tr w:rsidR="005A1DD5" w14:paraId="268AB48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80" w:type="dxa"/>
              <w:bottom w:w="60" w:type="dxa"/>
              <w:right w:w="80" w:type="dxa"/>
            </w:tcMar>
          </w:tcPr>
          <w:p w14:paraId="4A451440" w14:textId="77777777" w:rsidR="005A1DD5" w:rsidRDefault="00000000">
            <w:r>
              <w:rPr>
                <w:sz w:val="18"/>
                <w:szCs w:val="18"/>
              </w:rPr>
              <w:t>3–4</w:t>
            </w:r>
          </w:p>
        </w:tc>
        <w:tc>
          <w:tcPr>
            <w:tcW w:w="13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80" w:type="dxa"/>
              <w:bottom w:w="60" w:type="dxa"/>
              <w:right w:w="80" w:type="dxa"/>
            </w:tcMar>
          </w:tcPr>
          <w:p w14:paraId="5726C9EB" w14:textId="77777777" w:rsidR="005A1DD5" w:rsidRDefault="00000000">
            <w:r>
              <w:rPr>
                <w:sz w:val="18"/>
                <w:szCs w:val="18"/>
              </w:rPr>
              <w:t>RAG Pipeline</w:t>
            </w:r>
          </w:p>
        </w:tc>
        <w:tc>
          <w:tcPr>
            <w:tcW w:w="2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80" w:type="dxa"/>
              <w:bottom w:w="60" w:type="dxa"/>
              <w:right w:w="80" w:type="dxa"/>
            </w:tcMar>
          </w:tcPr>
          <w:p w14:paraId="061D2114" w14:textId="77777777" w:rsidR="005A1DD5" w:rsidRDefault="00000000">
            <w:r>
              <w:rPr>
                <w:sz w:val="18"/>
                <w:szCs w:val="18"/>
              </w:rPr>
              <w:t xml:space="preserve">Curate agricultural knowledge base (15 diseases); embed documents; test VLM (Qwen2.5-VL-3B) via </w:t>
            </w:r>
            <w:proofErr w:type="spellStart"/>
            <w:r>
              <w:rPr>
                <w:sz w:val="18"/>
                <w:szCs w:val="18"/>
              </w:rPr>
              <w:t>Ollama</w:t>
            </w:r>
            <w:proofErr w:type="spellEnd"/>
            <w:r>
              <w:rPr>
                <w:sz w:val="18"/>
                <w:szCs w:val="18"/>
              </w:rPr>
              <w:t xml:space="preserve"> in </w:t>
            </w:r>
            <w:proofErr w:type="spellStart"/>
            <w:r>
              <w:rPr>
                <w:sz w:val="18"/>
                <w:szCs w:val="18"/>
              </w:rPr>
              <w:t>Colab</w:t>
            </w:r>
            <w:proofErr w:type="spellEnd"/>
            <w:r>
              <w:rPr>
                <w:sz w:val="18"/>
                <w:szCs w:val="18"/>
              </w:rPr>
              <w:t xml:space="preserve">; wire full </w:t>
            </w:r>
            <w:proofErr w:type="spellStart"/>
            <w:r>
              <w:rPr>
                <w:sz w:val="18"/>
                <w:szCs w:val="18"/>
              </w:rPr>
              <w:t>retrieval→generation</w:t>
            </w:r>
            <w:proofErr w:type="spellEnd"/>
            <w:r>
              <w:rPr>
                <w:sz w:val="18"/>
                <w:szCs w:val="18"/>
              </w:rPr>
              <w:t xml:space="preserve"> chain</w:t>
            </w:r>
          </w:p>
        </w:tc>
      </w:tr>
      <w:tr w:rsidR="005A1DD5" w14:paraId="3339126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23CD56B" w14:textId="77777777" w:rsidR="005A1DD5" w:rsidRDefault="00000000">
            <w:r>
              <w:rPr>
                <w:sz w:val="18"/>
                <w:szCs w:val="18"/>
              </w:rPr>
              <w:t>5–6</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2D4480E" w14:textId="77777777" w:rsidR="005A1DD5" w:rsidRDefault="00000000">
            <w:r>
              <w:rPr>
                <w:sz w:val="18"/>
                <w:szCs w:val="18"/>
              </w:rPr>
              <w:t>Android App</w:t>
            </w:r>
          </w:p>
        </w:tc>
        <w:tc>
          <w:tcPr>
            <w:tcW w:w="2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4DD274B" w14:textId="77777777" w:rsidR="005A1DD5" w:rsidRDefault="00000000">
            <w:r>
              <w:rPr>
                <w:sz w:val="18"/>
                <w:szCs w:val="18"/>
              </w:rPr>
              <w:t xml:space="preserve">ONNX </w:t>
            </w:r>
            <w:proofErr w:type="spellStart"/>
            <w:r>
              <w:rPr>
                <w:sz w:val="18"/>
                <w:szCs w:val="18"/>
              </w:rPr>
              <w:t>DeiT</w:t>
            </w:r>
            <w:proofErr w:type="spellEnd"/>
            <w:r>
              <w:rPr>
                <w:sz w:val="18"/>
                <w:szCs w:val="18"/>
              </w:rPr>
              <w:t xml:space="preserve">-Tiny + live </w:t>
            </w:r>
            <w:proofErr w:type="spellStart"/>
            <w:r>
              <w:rPr>
                <w:sz w:val="18"/>
                <w:szCs w:val="18"/>
              </w:rPr>
              <w:t>GradCAM</w:t>
            </w:r>
            <w:proofErr w:type="spellEnd"/>
            <w:r>
              <w:rPr>
                <w:sz w:val="18"/>
                <w:szCs w:val="18"/>
              </w:rPr>
              <w:t xml:space="preserve"> overlay on camera; GPS tagging + SQLite + offline map tiles; connect llama.cpp VLM backend</w:t>
            </w:r>
          </w:p>
        </w:tc>
      </w:tr>
      <w:tr w:rsidR="005A1DD5" w14:paraId="61D30DF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80" w:type="dxa"/>
              <w:bottom w:w="60" w:type="dxa"/>
              <w:right w:w="80" w:type="dxa"/>
            </w:tcMar>
          </w:tcPr>
          <w:p w14:paraId="2F84E9EB" w14:textId="77777777" w:rsidR="005A1DD5" w:rsidRDefault="00000000">
            <w:r>
              <w:rPr>
                <w:sz w:val="18"/>
                <w:szCs w:val="18"/>
              </w:rPr>
              <w:t>7–8</w:t>
            </w:r>
          </w:p>
        </w:tc>
        <w:tc>
          <w:tcPr>
            <w:tcW w:w="13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80" w:type="dxa"/>
              <w:bottom w:w="60" w:type="dxa"/>
              <w:right w:w="80" w:type="dxa"/>
            </w:tcMar>
          </w:tcPr>
          <w:p w14:paraId="190E9BB0" w14:textId="77777777" w:rsidR="005A1DD5" w:rsidRDefault="00000000">
            <w:r>
              <w:rPr>
                <w:sz w:val="18"/>
                <w:szCs w:val="18"/>
              </w:rPr>
              <w:t>Integration</w:t>
            </w:r>
          </w:p>
        </w:tc>
        <w:tc>
          <w:tcPr>
            <w:tcW w:w="27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80" w:type="dxa"/>
              <w:bottom w:w="60" w:type="dxa"/>
              <w:right w:w="80" w:type="dxa"/>
            </w:tcMar>
          </w:tcPr>
          <w:p w14:paraId="60777512" w14:textId="77777777" w:rsidR="005A1DD5" w:rsidRDefault="00000000">
            <w:r>
              <w:rPr>
                <w:sz w:val="18"/>
                <w:szCs w:val="18"/>
              </w:rPr>
              <w:t xml:space="preserve">Unified app: </w:t>
            </w:r>
            <w:proofErr w:type="spellStart"/>
            <w:r>
              <w:rPr>
                <w:sz w:val="18"/>
                <w:szCs w:val="18"/>
              </w:rPr>
              <w:t>camera→classify→map→advise</w:t>
            </w:r>
            <w:proofErr w:type="spellEnd"/>
            <w:r>
              <w:rPr>
                <w:sz w:val="18"/>
                <w:szCs w:val="18"/>
              </w:rPr>
              <w:t xml:space="preserve"> flow; confidence-gated VLM invocation; Bangla/English language support</w:t>
            </w:r>
          </w:p>
        </w:tc>
      </w:tr>
      <w:tr w:rsidR="005A1DD5" w14:paraId="11ADDCB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8CC12DF" w14:textId="77777777" w:rsidR="005A1DD5" w:rsidRDefault="00000000">
            <w:r>
              <w:rPr>
                <w:sz w:val="18"/>
                <w:szCs w:val="18"/>
              </w:rPr>
              <w:t>9–10</w:t>
            </w:r>
          </w:p>
        </w:tc>
        <w:tc>
          <w:tcPr>
            <w:tcW w:w="13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7FCFA29" w14:textId="77777777" w:rsidR="005A1DD5" w:rsidRDefault="00000000">
            <w:r>
              <w:rPr>
                <w:sz w:val="18"/>
                <w:szCs w:val="18"/>
              </w:rPr>
              <w:t>Evaluation</w:t>
            </w:r>
          </w:p>
        </w:tc>
        <w:tc>
          <w:tcPr>
            <w:tcW w:w="27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F15C831" w14:textId="77777777" w:rsidR="005A1DD5" w:rsidRDefault="00000000">
            <w:r>
              <w:rPr>
                <w:sz w:val="18"/>
                <w:szCs w:val="18"/>
              </w:rPr>
              <w:t>End-to-end benchmarks (latency, accuracy, retrieval quality); comparison vs cloud baselines; paper writing and submission</w:t>
            </w:r>
          </w:p>
        </w:tc>
      </w:tr>
    </w:tbl>
    <w:p w14:paraId="55F914F2" w14:textId="77777777" w:rsidR="005A1DD5" w:rsidRDefault="00000000">
      <w:pPr>
        <w:spacing w:after="80" w:line="276" w:lineRule="auto"/>
        <w:jc w:val="center"/>
      </w:pPr>
      <w:r>
        <w:rPr>
          <w:i/>
          <w:iCs/>
          <w:sz w:val="18"/>
          <w:szCs w:val="18"/>
        </w:rPr>
        <w:t>Table II: 10-Week Implementation Roadmap</w:t>
      </w:r>
    </w:p>
    <w:p w14:paraId="4FA57828" w14:textId="77777777" w:rsidR="005A1DD5" w:rsidRDefault="005A1DD5">
      <w:pPr>
        <w:spacing w:after="80"/>
      </w:pPr>
    </w:p>
    <w:p w14:paraId="19FF741F" w14:textId="77777777" w:rsidR="005A1DD5" w:rsidRDefault="00000000">
      <w:pPr>
        <w:pStyle w:val="Heading1"/>
      </w:pPr>
      <w:r>
        <w:t>VII. Evaluation Methodology</w:t>
      </w:r>
    </w:p>
    <w:p w14:paraId="781677B7" w14:textId="77777777" w:rsidR="005A1DD5" w:rsidRDefault="00000000">
      <w:pPr>
        <w:spacing w:after="80" w:line="276" w:lineRule="auto"/>
        <w:jc w:val="both"/>
      </w:pPr>
      <w:r>
        <w:t>The system will be evaluated across four dimensions:</w:t>
      </w:r>
    </w:p>
    <w:p w14:paraId="10FB9900" w14:textId="77777777" w:rsidR="005A1DD5" w:rsidRDefault="00000000">
      <w:pPr>
        <w:spacing w:after="80" w:line="276" w:lineRule="auto"/>
        <w:jc w:val="both"/>
      </w:pPr>
      <w:r>
        <w:rPr>
          <w:b/>
          <w:bCs/>
        </w:rPr>
        <w:t xml:space="preserve">Classification Accuracy: </w:t>
      </w:r>
      <w:r>
        <w:t xml:space="preserve">Top-1 accuracy on </w:t>
      </w:r>
      <w:proofErr w:type="spellStart"/>
      <w:r>
        <w:t>PlantVillage</w:t>
      </w:r>
      <w:proofErr w:type="spellEnd"/>
      <w:r>
        <w:t xml:space="preserve"> test set under all quantization configurations, with Expected Calibration Error (ECE) to assess confidence reliability under FP4.</w:t>
      </w:r>
    </w:p>
    <w:p w14:paraId="1F294FAC" w14:textId="77777777" w:rsidR="005A1DD5" w:rsidRDefault="00000000">
      <w:pPr>
        <w:spacing w:after="80" w:line="276" w:lineRule="auto"/>
        <w:jc w:val="both"/>
      </w:pPr>
      <w:r>
        <w:rPr>
          <w:b/>
          <w:bCs/>
        </w:rPr>
        <w:t xml:space="preserve">Explainability Fidelity: </w:t>
      </w:r>
      <w:r>
        <w:t>Average Drop and Insertion/Deletion metrics [10] comparing attention maps between FP32 and quantized models, measuring whether FP4 preserves the model’s spatial reasoning.</w:t>
      </w:r>
    </w:p>
    <w:p w14:paraId="0EE23595" w14:textId="77777777" w:rsidR="005A1DD5" w:rsidRDefault="00000000">
      <w:pPr>
        <w:spacing w:after="80" w:line="276" w:lineRule="auto"/>
        <w:jc w:val="both"/>
      </w:pPr>
      <w:r>
        <w:rPr>
          <w:b/>
          <w:bCs/>
        </w:rPr>
        <w:t xml:space="preserve">RAG Quality: </w:t>
      </w:r>
      <w:r>
        <w:t xml:space="preserve">Retrieval </w:t>
      </w:r>
      <w:proofErr w:type="spellStart"/>
      <w:r>
        <w:t>precision@k</w:t>
      </w:r>
      <w:proofErr w:type="spellEnd"/>
      <w:r>
        <w:t>, generation faithfulness (grounding score), and treatment recommendation accuracy evaluated by agricultural domain experts against published extension guidelines.</w:t>
      </w:r>
    </w:p>
    <w:p w14:paraId="172E3C2B" w14:textId="77777777" w:rsidR="005A1DD5" w:rsidRDefault="00000000">
      <w:pPr>
        <w:spacing w:after="80" w:line="276" w:lineRule="auto"/>
        <w:jc w:val="both"/>
      </w:pPr>
      <w:r>
        <w:rPr>
          <w:b/>
          <w:bCs/>
        </w:rPr>
        <w:t xml:space="preserve">System Performance: </w:t>
      </w:r>
      <w:r>
        <w:t>End-to-end latency (classification, attention overlay, VLM generation), memory footprint, battery impact, and offline reliability on target Android devices (Snapdragon 6/7-series).</w:t>
      </w:r>
    </w:p>
    <w:p w14:paraId="63C70972" w14:textId="77777777" w:rsidR="005A1DD5" w:rsidRDefault="00000000">
      <w:pPr>
        <w:pStyle w:val="Heading1"/>
      </w:pPr>
      <w:r>
        <w:t>VIII. Conclusion</w:t>
      </w:r>
    </w:p>
    <w:p w14:paraId="65C253B9" w14:textId="77777777" w:rsidR="005A1DD5" w:rsidRDefault="00000000">
      <w:pPr>
        <w:spacing w:after="80" w:line="276" w:lineRule="auto"/>
        <w:jc w:val="both"/>
      </w:pPr>
      <w:r>
        <w:t>MicroAgri-FP4 bridges two active research frontiers—</w:t>
      </w:r>
      <w:proofErr w:type="spellStart"/>
      <w:r>
        <w:t>microscaling</w:t>
      </w:r>
      <w:proofErr w:type="spellEnd"/>
      <w:r>
        <w:t xml:space="preserve"> FP4 quantization and on-device agricultural intelligence—into a unified system with both research novelty and practical impact. Our distribution analysis has already </w:t>
      </w:r>
      <w:r>
        <w:t>revealed that the assumptions underlying LLM quantization algorithms do not transfer unchanged to vision transformers, identifying GELU-induced MLP FC2 outliers and layer-type-dependent Hadamard effectiveness as novel findings. The proposed three-layer architecture (real-time attention overlay + GPS disease mapping + multimodal RAG) transforms these technical contributions into a deployable tool that can serve smallholder farmers in connectivity-limited regions, addressing a real need in agricultural communities across South Asia and beyond.</w:t>
      </w:r>
    </w:p>
    <w:p w14:paraId="6B12BCF7" w14:textId="77777777" w:rsidR="005A1DD5" w:rsidRDefault="00000000">
      <w:pPr>
        <w:pStyle w:val="Heading1"/>
      </w:pPr>
      <w:r>
        <w:t>References</w:t>
      </w:r>
    </w:p>
    <w:p w14:paraId="48E84AFD" w14:textId="77777777" w:rsidR="005A1DD5" w:rsidRPr="000A50EE" w:rsidRDefault="00000000">
      <w:pPr>
        <w:spacing w:after="40"/>
        <w:ind w:left="360" w:hanging="360"/>
        <w:rPr>
          <w:sz w:val="16"/>
          <w:szCs w:val="16"/>
        </w:rPr>
      </w:pPr>
      <w:r w:rsidRPr="000A50EE">
        <w:rPr>
          <w:sz w:val="16"/>
          <w:szCs w:val="16"/>
        </w:rPr>
        <w:t>[1] FAO, "The State of Food and Agriculture 2023: Revealing the True Cost of Food," Food and Agriculture Organization of the United Nations, Rome, 2023.</w:t>
      </w:r>
    </w:p>
    <w:p w14:paraId="12919E1C" w14:textId="77777777" w:rsidR="005A1DD5" w:rsidRPr="000A50EE" w:rsidRDefault="00000000">
      <w:pPr>
        <w:spacing w:after="40"/>
        <w:ind w:left="360" w:hanging="360"/>
        <w:rPr>
          <w:sz w:val="16"/>
          <w:szCs w:val="16"/>
        </w:rPr>
      </w:pPr>
      <w:r w:rsidRPr="000A50EE">
        <w:rPr>
          <w:sz w:val="16"/>
          <w:szCs w:val="16"/>
        </w:rPr>
        <w:t xml:space="preserve">[2] M. A. Khan et al., "Recent advances in plant disease detection: challenges and opportunities," Plant Methods, vol. 21, 2025, </w:t>
      </w:r>
      <w:proofErr w:type="spellStart"/>
      <w:r w:rsidRPr="000A50EE">
        <w:rPr>
          <w:sz w:val="16"/>
          <w:szCs w:val="16"/>
        </w:rPr>
        <w:t>doi</w:t>
      </w:r>
      <w:proofErr w:type="spellEnd"/>
      <w:r w:rsidRPr="000A50EE">
        <w:rPr>
          <w:sz w:val="16"/>
          <w:szCs w:val="16"/>
        </w:rPr>
        <w:t>: 10.1186/s13007-025-01450-0.</w:t>
      </w:r>
    </w:p>
    <w:p w14:paraId="776B559C" w14:textId="77777777" w:rsidR="005A1DD5" w:rsidRPr="000A50EE" w:rsidRDefault="00000000">
      <w:pPr>
        <w:spacing w:after="40"/>
        <w:ind w:left="360" w:hanging="360"/>
        <w:rPr>
          <w:sz w:val="16"/>
          <w:szCs w:val="16"/>
        </w:rPr>
      </w:pPr>
      <w:r w:rsidRPr="000A50EE">
        <w:rPr>
          <w:sz w:val="16"/>
          <w:szCs w:val="16"/>
        </w:rPr>
        <w:t xml:space="preserve">[3] J. Chen et al., "Deep learning and computer vision in plant disease detection: a comprehensive review," </w:t>
      </w:r>
      <w:proofErr w:type="spellStart"/>
      <w:r w:rsidRPr="000A50EE">
        <w:rPr>
          <w:sz w:val="16"/>
          <w:szCs w:val="16"/>
        </w:rPr>
        <w:t>Artif</w:t>
      </w:r>
      <w:proofErr w:type="spellEnd"/>
      <w:r w:rsidRPr="000A50EE">
        <w:rPr>
          <w:sz w:val="16"/>
          <w:szCs w:val="16"/>
        </w:rPr>
        <w:t xml:space="preserve">. </w:t>
      </w:r>
      <w:proofErr w:type="spellStart"/>
      <w:r w:rsidRPr="000A50EE">
        <w:rPr>
          <w:sz w:val="16"/>
          <w:szCs w:val="16"/>
        </w:rPr>
        <w:t>Intell</w:t>
      </w:r>
      <w:proofErr w:type="spellEnd"/>
      <w:r w:rsidRPr="000A50EE">
        <w:rPr>
          <w:sz w:val="16"/>
          <w:szCs w:val="16"/>
        </w:rPr>
        <w:t xml:space="preserve">. Rev., vol. 58, 2025, </w:t>
      </w:r>
      <w:proofErr w:type="spellStart"/>
      <w:r w:rsidRPr="000A50EE">
        <w:rPr>
          <w:sz w:val="16"/>
          <w:szCs w:val="16"/>
        </w:rPr>
        <w:t>doi</w:t>
      </w:r>
      <w:proofErr w:type="spellEnd"/>
      <w:r w:rsidRPr="000A50EE">
        <w:rPr>
          <w:sz w:val="16"/>
          <w:szCs w:val="16"/>
        </w:rPr>
        <w:t>: 10.1007/s10462-024-11100-x.</w:t>
      </w:r>
    </w:p>
    <w:p w14:paraId="6BC03FC6" w14:textId="77777777" w:rsidR="005A1DD5" w:rsidRPr="000A50EE" w:rsidRDefault="00000000">
      <w:pPr>
        <w:spacing w:after="40"/>
        <w:ind w:left="360" w:hanging="360"/>
        <w:rPr>
          <w:sz w:val="16"/>
          <w:szCs w:val="16"/>
        </w:rPr>
      </w:pPr>
      <w:r w:rsidRPr="000A50EE">
        <w:rPr>
          <w:sz w:val="16"/>
          <w:szCs w:val="16"/>
        </w:rPr>
        <w:t xml:space="preserve">[4] J. Castro, A. </w:t>
      </w:r>
      <w:proofErr w:type="spellStart"/>
      <w:r w:rsidRPr="000A50EE">
        <w:rPr>
          <w:sz w:val="16"/>
          <w:szCs w:val="16"/>
        </w:rPr>
        <w:t>Egiazarian</w:t>
      </w:r>
      <w:proofErr w:type="spellEnd"/>
      <w:r w:rsidRPr="000A50EE">
        <w:rPr>
          <w:sz w:val="16"/>
          <w:szCs w:val="16"/>
        </w:rPr>
        <w:t xml:space="preserve"> et al., "Bridging the Gap Between Promise and Performance for </w:t>
      </w:r>
      <w:proofErr w:type="spellStart"/>
      <w:r w:rsidRPr="000A50EE">
        <w:rPr>
          <w:sz w:val="16"/>
          <w:szCs w:val="16"/>
        </w:rPr>
        <w:t>Microscaling</w:t>
      </w:r>
      <w:proofErr w:type="spellEnd"/>
      <w:r w:rsidRPr="000A50EE">
        <w:rPr>
          <w:sz w:val="16"/>
          <w:szCs w:val="16"/>
        </w:rPr>
        <w:t xml:space="preserve"> FP4 Quantization," arXiv:2509.23202v2, Oct. 2025.</w:t>
      </w:r>
    </w:p>
    <w:p w14:paraId="495B83BE" w14:textId="77777777" w:rsidR="005A1DD5" w:rsidRPr="000A50EE" w:rsidRDefault="00000000">
      <w:pPr>
        <w:spacing w:after="40"/>
        <w:ind w:left="360" w:hanging="360"/>
        <w:rPr>
          <w:sz w:val="16"/>
          <w:szCs w:val="16"/>
        </w:rPr>
      </w:pPr>
      <w:r w:rsidRPr="000A50EE">
        <w:rPr>
          <w:sz w:val="16"/>
          <w:szCs w:val="16"/>
        </w:rPr>
        <w:t>[5] W. Liu et al., "Cross-Modal Data Fusion via Vision-Language Model for Crop Disease Recognition," Sensors, vol. 25, no. 13, p. 4096, Jun. 2025.</w:t>
      </w:r>
    </w:p>
    <w:p w14:paraId="56D9F0C1" w14:textId="77777777" w:rsidR="005A1DD5" w:rsidRPr="000A50EE" w:rsidRDefault="00000000">
      <w:pPr>
        <w:spacing w:after="40"/>
        <w:ind w:left="360" w:hanging="360"/>
        <w:rPr>
          <w:sz w:val="16"/>
          <w:szCs w:val="16"/>
        </w:rPr>
      </w:pPr>
      <w:r w:rsidRPr="000A50EE">
        <w:rPr>
          <w:sz w:val="16"/>
          <w:szCs w:val="16"/>
        </w:rPr>
        <w:t xml:space="preserve">[6] </w:t>
      </w:r>
      <w:proofErr w:type="spellStart"/>
      <w:r w:rsidRPr="000A50EE">
        <w:rPr>
          <w:sz w:val="16"/>
          <w:szCs w:val="16"/>
        </w:rPr>
        <w:t>AgriM</w:t>
      </w:r>
      <w:proofErr w:type="spellEnd"/>
      <w:r w:rsidRPr="000A50EE">
        <w:rPr>
          <w:sz w:val="16"/>
          <w:szCs w:val="16"/>
        </w:rPr>
        <w:t>-LLM, "An Agriculture-Specific Multimodal Large Language Model for Intelligent Crop Disease and Pest Management," Preprints.org, Jan. 2026.</w:t>
      </w:r>
    </w:p>
    <w:p w14:paraId="01F60910" w14:textId="77777777" w:rsidR="005A1DD5" w:rsidRPr="000A50EE" w:rsidRDefault="00000000">
      <w:pPr>
        <w:spacing w:after="40"/>
        <w:ind w:left="360" w:hanging="360"/>
        <w:rPr>
          <w:sz w:val="16"/>
          <w:szCs w:val="16"/>
        </w:rPr>
      </w:pPr>
      <w:r w:rsidRPr="000A50EE">
        <w:rPr>
          <w:sz w:val="16"/>
          <w:szCs w:val="16"/>
        </w:rPr>
        <w:t xml:space="preserve">[7] </w:t>
      </w:r>
      <w:proofErr w:type="spellStart"/>
      <w:r w:rsidRPr="000A50EE">
        <w:rPr>
          <w:sz w:val="16"/>
          <w:szCs w:val="16"/>
        </w:rPr>
        <w:t>Qwen</w:t>
      </w:r>
      <w:proofErr w:type="spellEnd"/>
      <w:r w:rsidRPr="000A50EE">
        <w:rPr>
          <w:sz w:val="16"/>
          <w:szCs w:val="16"/>
        </w:rPr>
        <w:t xml:space="preserve"> Team, "Qwen2.5-VL: A Frontier Multimodal Model," Alibaba Cloud, Jan. 2025.</w:t>
      </w:r>
    </w:p>
    <w:p w14:paraId="56C66255" w14:textId="77777777" w:rsidR="005A1DD5" w:rsidRPr="000A50EE" w:rsidRDefault="00000000">
      <w:pPr>
        <w:spacing w:after="40"/>
        <w:ind w:left="360" w:hanging="360"/>
        <w:rPr>
          <w:sz w:val="16"/>
          <w:szCs w:val="16"/>
        </w:rPr>
      </w:pPr>
      <w:r w:rsidRPr="000A50EE">
        <w:rPr>
          <w:sz w:val="16"/>
          <w:szCs w:val="16"/>
        </w:rPr>
        <w:t>[8] R. Yi et al., "</w:t>
      </w:r>
      <w:proofErr w:type="spellStart"/>
      <w:r w:rsidRPr="000A50EE">
        <w:rPr>
          <w:sz w:val="16"/>
          <w:szCs w:val="16"/>
        </w:rPr>
        <w:t>mllm</w:t>
      </w:r>
      <w:proofErr w:type="spellEnd"/>
      <w:r w:rsidRPr="000A50EE">
        <w:rPr>
          <w:sz w:val="16"/>
          <w:szCs w:val="16"/>
        </w:rPr>
        <w:t>: fast and lightweight multimodal LLM inference engine for mobile and edge devices," GitHub, 2023–2026.</w:t>
      </w:r>
    </w:p>
    <w:p w14:paraId="13B74794" w14:textId="77777777" w:rsidR="005A1DD5" w:rsidRPr="000A50EE" w:rsidRDefault="00000000">
      <w:pPr>
        <w:spacing w:after="40"/>
        <w:ind w:left="360" w:hanging="360"/>
        <w:rPr>
          <w:sz w:val="16"/>
          <w:szCs w:val="16"/>
        </w:rPr>
      </w:pPr>
      <w:r w:rsidRPr="000A50EE">
        <w:rPr>
          <w:sz w:val="16"/>
          <w:szCs w:val="16"/>
        </w:rPr>
        <w:t xml:space="preserve">[9] Y. Gao et al., "Harnessing large vision and language models in agriculture: a review," Front. Plant Sci., vol. 16, Jul. 2025, </w:t>
      </w:r>
      <w:proofErr w:type="spellStart"/>
      <w:r w:rsidRPr="000A50EE">
        <w:rPr>
          <w:sz w:val="16"/>
          <w:szCs w:val="16"/>
        </w:rPr>
        <w:t>doi</w:t>
      </w:r>
      <w:proofErr w:type="spellEnd"/>
      <w:r w:rsidRPr="000A50EE">
        <w:rPr>
          <w:sz w:val="16"/>
          <w:szCs w:val="16"/>
        </w:rPr>
        <w:t>: 10.3389/fpls.2025.1579355.</w:t>
      </w:r>
    </w:p>
    <w:p w14:paraId="7941A412" w14:textId="77777777" w:rsidR="005A1DD5" w:rsidRPr="000A50EE" w:rsidRDefault="00000000">
      <w:pPr>
        <w:spacing w:after="40"/>
        <w:ind w:left="360" w:hanging="360"/>
        <w:rPr>
          <w:sz w:val="16"/>
          <w:szCs w:val="16"/>
        </w:rPr>
      </w:pPr>
      <w:r w:rsidRPr="000A50EE">
        <w:rPr>
          <w:sz w:val="16"/>
          <w:szCs w:val="16"/>
        </w:rPr>
        <w:t>[10] S. Jo et al., "GMAR: Gradient-Driven Multi-Head Attention Rollout for Vision Transformer Interpretability," arXiv:2504.19414, Apr. 2025.</w:t>
      </w:r>
    </w:p>
    <w:p w14:paraId="6640464A" w14:textId="77777777" w:rsidR="005A1DD5" w:rsidRPr="000A50EE" w:rsidRDefault="00000000">
      <w:pPr>
        <w:spacing w:after="40"/>
        <w:ind w:left="360" w:hanging="360"/>
        <w:rPr>
          <w:sz w:val="16"/>
          <w:szCs w:val="16"/>
        </w:rPr>
      </w:pPr>
      <w:r w:rsidRPr="000A50EE">
        <w:rPr>
          <w:sz w:val="16"/>
          <w:szCs w:val="16"/>
        </w:rPr>
        <w:t xml:space="preserve">[11] J. </w:t>
      </w:r>
      <w:proofErr w:type="spellStart"/>
      <w:r w:rsidRPr="000A50EE">
        <w:rPr>
          <w:sz w:val="16"/>
          <w:szCs w:val="16"/>
        </w:rPr>
        <w:t>Gildenblat</w:t>
      </w:r>
      <w:proofErr w:type="spellEnd"/>
      <w:r w:rsidRPr="000A50EE">
        <w:rPr>
          <w:sz w:val="16"/>
          <w:szCs w:val="16"/>
        </w:rPr>
        <w:t>, "</w:t>
      </w:r>
      <w:proofErr w:type="spellStart"/>
      <w:r w:rsidRPr="000A50EE">
        <w:rPr>
          <w:sz w:val="16"/>
          <w:szCs w:val="16"/>
        </w:rPr>
        <w:t>pytorch</w:t>
      </w:r>
      <w:proofErr w:type="spellEnd"/>
      <w:r w:rsidRPr="000A50EE">
        <w:rPr>
          <w:sz w:val="16"/>
          <w:szCs w:val="16"/>
        </w:rPr>
        <w:t>-grad-cam: Advanced AI Explainability for computer vision," GitHub, 2020–2026.</w:t>
      </w:r>
    </w:p>
    <w:p w14:paraId="4AD5798C" w14:textId="77777777" w:rsidR="005A1DD5" w:rsidRPr="000A50EE" w:rsidRDefault="00000000">
      <w:pPr>
        <w:spacing w:after="40"/>
        <w:ind w:left="360" w:hanging="360"/>
        <w:rPr>
          <w:sz w:val="16"/>
          <w:szCs w:val="16"/>
        </w:rPr>
      </w:pPr>
      <w:r w:rsidRPr="000A50EE">
        <w:rPr>
          <w:sz w:val="16"/>
          <w:szCs w:val="16"/>
        </w:rPr>
        <w:t xml:space="preserve">[12] A. Comprehensive Review of Explainable Artificial Intelligence (XAI) in Computer Vision, PMC, Jul. 2025, </w:t>
      </w:r>
      <w:proofErr w:type="spellStart"/>
      <w:r w:rsidRPr="000A50EE">
        <w:rPr>
          <w:sz w:val="16"/>
          <w:szCs w:val="16"/>
        </w:rPr>
        <w:t>doi</w:t>
      </w:r>
      <w:proofErr w:type="spellEnd"/>
      <w:r w:rsidRPr="000A50EE">
        <w:rPr>
          <w:sz w:val="16"/>
          <w:szCs w:val="16"/>
        </w:rPr>
        <w:t>: 10.3390/info16070xxx.</w:t>
      </w:r>
    </w:p>
    <w:p w14:paraId="7AA4C294" w14:textId="77777777" w:rsidR="005A1DD5" w:rsidRPr="000A50EE" w:rsidRDefault="00000000">
      <w:pPr>
        <w:spacing w:after="40"/>
        <w:ind w:left="360" w:hanging="360"/>
        <w:rPr>
          <w:sz w:val="16"/>
          <w:szCs w:val="16"/>
        </w:rPr>
      </w:pPr>
      <w:r w:rsidRPr="000A50EE">
        <w:rPr>
          <w:sz w:val="16"/>
          <w:szCs w:val="16"/>
        </w:rPr>
        <w:t>[13] GPS.gov, "Precision Agriculture with GPS," U.S. Government, accessed Mar. 2026. [Online]. Available: https://www.gps.gov/precision-agriculture-gps.</w:t>
      </w:r>
    </w:p>
    <w:p w14:paraId="1DC995FD" w14:textId="77777777" w:rsidR="005A1DD5" w:rsidRPr="000A50EE" w:rsidRDefault="00000000">
      <w:pPr>
        <w:spacing w:after="40"/>
        <w:ind w:left="360" w:hanging="360"/>
        <w:rPr>
          <w:sz w:val="16"/>
          <w:szCs w:val="16"/>
        </w:rPr>
      </w:pPr>
      <w:r w:rsidRPr="000A50EE">
        <w:rPr>
          <w:sz w:val="16"/>
          <w:szCs w:val="16"/>
        </w:rPr>
        <w:t xml:space="preserve">[14] S. Mansoor et al., "Integration of smart sensors and IoT in precision agriculture," Front. Plant Sci., vol. 16, May 2025, </w:t>
      </w:r>
      <w:proofErr w:type="spellStart"/>
      <w:r w:rsidRPr="000A50EE">
        <w:rPr>
          <w:sz w:val="16"/>
          <w:szCs w:val="16"/>
        </w:rPr>
        <w:t>doi</w:t>
      </w:r>
      <w:proofErr w:type="spellEnd"/>
      <w:r w:rsidRPr="000A50EE">
        <w:rPr>
          <w:sz w:val="16"/>
          <w:szCs w:val="16"/>
        </w:rPr>
        <w:t>: 10.3389/fpls.2025.1587869.</w:t>
      </w:r>
    </w:p>
    <w:p w14:paraId="598BC5E1" w14:textId="77777777" w:rsidR="005A1DD5" w:rsidRPr="000A50EE" w:rsidRDefault="00000000">
      <w:pPr>
        <w:spacing w:after="40"/>
        <w:ind w:left="360" w:hanging="360"/>
        <w:rPr>
          <w:sz w:val="16"/>
          <w:szCs w:val="16"/>
        </w:rPr>
      </w:pPr>
      <w:r w:rsidRPr="000A50EE">
        <w:rPr>
          <w:sz w:val="16"/>
          <w:szCs w:val="16"/>
        </w:rPr>
        <w:t>[15] Liquid AI, "Introducing LFM2.5: The Next Generation of On-Device AI," Jan. 2026. [Online]. Available: https://www.liquid.ai/blog/introducing-lfm2-5.</w:t>
      </w:r>
    </w:p>
    <w:p w14:paraId="623320B4" w14:textId="77777777" w:rsidR="005A1DD5" w:rsidRPr="000A50EE" w:rsidRDefault="00000000">
      <w:pPr>
        <w:spacing w:after="40"/>
        <w:ind w:left="360" w:hanging="360"/>
        <w:rPr>
          <w:sz w:val="16"/>
          <w:szCs w:val="16"/>
        </w:rPr>
      </w:pPr>
      <w:r w:rsidRPr="000A50EE">
        <w:rPr>
          <w:sz w:val="16"/>
          <w:szCs w:val="16"/>
        </w:rPr>
        <w:t xml:space="preserve">[16] G. </w:t>
      </w:r>
      <w:proofErr w:type="spellStart"/>
      <w:r w:rsidRPr="000A50EE">
        <w:rPr>
          <w:sz w:val="16"/>
          <w:szCs w:val="16"/>
        </w:rPr>
        <w:t>Gerganov</w:t>
      </w:r>
      <w:proofErr w:type="spellEnd"/>
      <w:r w:rsidRPr="000A50EE">
        <w:rPr>
          <w:sz w:val="16"/>
          <w:szCs w:val="16"/>
        </w:rPr>
        <w:t>, "llama.cpp: LLM inference in C/C++," GitHub, 2023–2026.</w:t>
      </w:r>
    </w:p>
    <w:p w14:paraId="5E7A7CAB" w14:textId="77777777" w:rsidR="005A1DD5" w:rsidRPr="000A50EE" w:rsidRDefault="00000000">
      <w:pPr>
        <w:spacing w:after="40"/>
        <w:ind w:left="360" w:hanging="360"/>
        <w:rPr>
          <w:sz w:val="16"/>
          <w:szCs w:val="16"/>
        </w:rPr>
      </w:pPr>
      <w:r w:rsidRPr="000A50EE">
        <w:rPr>
          <w:sz w:val="16"/>
          <w:szCs w:val="16"/>
        </w:rPr>
        <w:t>[17] J. Morgan, "</w:t>
      </w:r>
      <w:proofErr w:type="spellStart"/>
      <w:r w:rsidRPr="000A50EE">
        <w:rPr>
          <w:sz w:val="16"/>
          <w:szCs w:val="16"/>
        </w:rPr>
        <w:t>Ollama</w:t>
      </w:r>
      <w:proofErr w:type="spellEnd"/>
      <w:r w:rsidRPr="000A50EE">
        <w:rPr>
          <w:sz w:val="16"/>
          <w:szCs w:val="16"/>
        </w:rPr>
        <w:t>: Get up and running with large language models locally," GitHub, 2023–2026.</w:t>
      </w:r>
    </w:p>
    <w:p w14:paraId="1C0D9FD0" w14:textId="77777777" w:rsidR="005A1DD5" w:rsidRPr="000A50EE" w:rsidRDefault="00000000">
      <w:pPr>
        <w:spacing w:after="40"/>
        <w:ind w:left="360" w:hanging="360"/>
        <w:rPr>
          <w:sz w:val="16"/>
          <w:szCs w:val="16"/>
        </w:rPr>
      </w:pPr>
      <w:r w:rsidRPr="000A50EE">
        <w:rPr>
          <w:sz w:val="16"/>
          <w:szCs w:val="16"/>
        </w:rPr>
        <w:t xml:space="preserve">[18] Y. Wang et al., "A large language model for multimodal identification of crop diseases and pests," Sci. Rep., vol. 15, p. 21959, Jul. 2025, </w:t>
      </w:r>
      <w:proofErr w:type="spellStart"/>
      <w:r w:rsidRPr="000A50EE">
        <w:rPr>
          <w:sz w:val="16"/>
          <w:szCs w:val="16"/>
        </w:rPr>
        <w:t>doi</w:t>
      </w:r>
      <w:proofErr w:type="spellEnd"/>
      <w:r w:rsidRPr="000A50EE">
        <w:rPr>
          <w:sz w:val="16"/>
          <w:szCs w:val="16"/>
        </w:rPr>
        <w:t>: 10.1038/s41598-025-01908-0.</w:t>
      </w:r>
    </w:p>
    <w:p w14:paraId="51B8B36C" w14:textId="77777777" w:rsidR="005A1DD5" w:rsidRPr="000A50EE" w:rsidRDefault="00000000">
      <w:pPr>
        <w:spacing w:after="40"/>
        <w:ind w:left="360" w:hanging="360"/>
        <w:rPr>
          <w:sz w:val="16"/>
          <w:szCs w:val="16"/>
        </w:rPr>
      </w:pPr>
      <w:r w:rsidRPr="000A50EE">
        <w:rPr>
          <w:sz w:val="16"/>
          <w:szCs w:val="16"/>
        </w:rPr>
        <w:t xml:space="preserve">[19] K. I. </w:t>
      </w:r>
      <w:proofErr w:type="spellStart"/>
      <w:r w:rsidRPr="000A50EE">
        <w:rPr>
          <w:sz w:val="16"/>
          <w:szCs w:val="16"/>
        </w:rPr>
        <w:t>Roumeliotis</w:t>
      </w:r>
      <w:proofErr w:type="spellEnd"/>
      <w:r w:rsidRPr="000A50EE">
        <w:rPr>
          <w:sz w:val="16"/>
          <w:szCs w:val="16"/>
        </w:rPr>
        <w:t xml:space="preserve"> et al., "Plant Disease Detection through Multimodal Large Language Models and Convolutional Neural Networks," arXiv:2504.20419, Apr. 2025.</w:t>
      </w:r>
    </w:p>
    <w:p w14:paraId="35C80D4D" w14:textId="77777777" w:rsidR="005A1DD5" w:rsidRPr="000A50EE" w:rsidRDefault="00000000">
      <w:pPr>
        <w:spacing w:after="40"/>
        <w:ind w:left="360" w:hanging="360"/>
        <w:rPr>
          <w:sz w:val="16"/>
          <w:szCs w:val="16"/>
        </w:rPr>
      </w:pPr>
      <w:r w:rsidRPr="000A50EE">
        <w:rPr>
          <w:sz w:val="16"/>
          <w:szCs w:val="16"/>
        </w:rPr>
        <w:t xml:space="preserve">[20] A. </w:t>
      </w:r>
      <w:proofErr w:type="spellStart"/>
      <w:r w:rsidRPr="000A50EE">
        <w:rPr>
          <w:sz w:val="16"/>
          <w:szCs w:val="16"/>
        </w:rPr>
        <w:t>Dosovitskiy</w:t>
      </w:r>
      <w:proofErr w:type="spellEnd"/>
      <w:r w:rsidRPr="000A50EE">
        <w:rPr>
          <w:sz w:val="16"/>
          <w:szCs w:val="16"/>
        </w:rPr>
        <w:t xml:space="preserve"> et al., "An Image is Worth 16x16 Words: Transformers for Image Recognition at Scale," in Proc. ICLR, 2021.</w:t>
      </w:r>
    </w:p>
    <w:sectPr w:rsidR="005A1DD5" w:rsidRPr="000A50EE">
      <w:type w:val="continuous"/>
      <w:pgSz w:w="12240" w:h="15840"/>
      <w:pgMar w:top="1080" w:right="720" w:bottom="1080" w:left="72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12C14"/>
    <w:multiLevelType w:val="hybridMultilevel"/>
    <w:tmpl w:val="6D1E714A"/>
    <w:lvl w:ilvl="0" w:tplc="C4B2997E">
      <w:start w:val="1"/>
      <w:numFmt w:val="upperRoman"/>
      <w:lvlText w:val="%1."/>
      <w:lvlJc w:val="left"/>
      <w:pPr>
        <w:ind w:left="540" w:hanging="360"/>
      </w:pPr>
    </w:lvl>
    <w:lvl w:ilvl="1" w:tplc="F3FCC1CC">
      <w:numFmt w:val="decimal"/>
      <w:lvlText w:val=""/>
      <w:lvlJc w:val="left"/>
    </w:lvl>
    <w:lvl w:ilvl="2" w:tplc="378A1F1A">
      <w:numFmt w:val="decimal"/>
      <w:lvlText w:val=""/>
      <w:lvlJc w:val="left"/>
    </w:lvl>
    <w:lvl w:ilvl="3" w:tplc="8F7294E6">
      <w:numFmt w:val="decimal"/>
      <w:lvlText w:val=""/>
      <w:lvlJc w:val="left"/>
    </w:lvl>
    <w:lvl w:ilvl="4" w:tplc="DE32B78C">
      <w:numFmt w:val="decimal"/>
      <w:lvlText w:val=""/>
      <w:lvlJc w:val="left"/>
    </w:lvl>
    <w:lvl w:ilvl="5" w:tplc="E66076C8">
      <w:numFmt w:val="decimal"/>
      <w:lvlText w:val=""/>
      <w:lvlJc w:val="left"/>
    </w:lvl>
    <w:lvl w:ilvl="6" w:tplc="370043F8">
      <w:numFmt w:val="decimal"/>
      <w:lvlText w:val=""/>
      <w:lvlJc w:val="left"/>
    </w:lvl>
    <w:lvl w:ilvl="7" w:tplc="15B050A0">
      <w:numFmt w:val="decimal"/>
      <w:lvlText w:val=""/>
      <w:lvlJc w:val="left"/>
    </w:lvl>
    <w:lvl w:ilvl="8" w:tplc="5CE8C30C">
      <w:numFmt w:val="decimal"/>
      <w:lvlText w:val=""/>
      <w:lvlJc w:val="left"/>
    </w:lvl>
  </w:abstractNum>
  <w:abstractNum w:abstractNumId="1" w15:restartNumberingAfterBreak="0">
    <w:nsid w:val="1E1F3912"/>
    <w:multiLevelType w:val="hybridMultilevel"/>
    <w:tmpl w:val="4C166DBE"/>
    <w:lvl w:ilvl="0" w:tplc="73481D28">
      <w:start w:val="1"/>
      <w:numFmt w:val="decimal"/>
      <w:lvlText w:val="%1)"/>
      <w:lvlJc w:val="left"/>
      <w:pPr>
        <w:ind w:left="540" w:hanging="270"/>
      </w:pPr>
    </w:lvl>
    <w:lvl w:ilvl="1" w:tplc="033EBC52">
      <w:numFmt w:val="decimal"/>
      <w:lvlText w:val=""/>
      <w:lvlJc w:val="left"/>
    </w:lvl>
    <w:lvl w:ilvl="2" w:tplc="42588272">
      <w:numFmt w:val="decimal"/>
      <w:lvlText w:val=""/>
      <w:lvlJc w:val="left"/>
    </w:lvl>
    <w:lvl w:ilvl="3" w:tplc="F626D1E2">
      <w:numFmt w:val="decimal"/>
      <w:lvlText w:val=""/>
      <w:lvlJc w:val="left"/>
    </w:lvl>
    <w:lvl w:ilvl="4" w:tplc="50F2D97A">
      <w:numFmt w:val="decimal"/>
      <w:lvlText w:val=""/>
      <w:lvlJc w:val="left"/>
    </w:lvl>
    <w:lvl w:ilvl="5" w:tplc="CD7A6258">
      <w:numFmt w:val="decimal"/>
      <w:lvlText w:val=""/>
      <w:lvlJc w:val="left"/>
    </w:lvl>
    <w:lvl w:ilvl="6" w:tplc="384E6E74">
      <w:numFmt w:val="decimal"/>
      <w:lvlText w:val=""/>
      <w:lvlJc w:val="left"/>
    </w:lvl>
    <w:lvl w:ilvl="7" w:tplc="C36EF83A">
      <w:numFmt w:val="decimal"/>
      <w:lvlText w:val=""/>
      <w:lvlJc w:val="left"/>
    </w:lvl>
    <w:lvl w:ilvl="8" w:tplc="583C85CE">
      <w:numFmt w:val="decimal"/>
      <w:lvlText w:val=""/>
      <w:lvlJc w:val="left"/>
    </w:lvl>
  </w:abstractNum>
  <w:abstractNum w:abstractNumId="2" w15:restartNumberingAfterBreak="0">
    <w:nsid w:val="406822B1"/>
    <w:multiLevelType w:val="hybridMultilevel"/>
    <w:tmpl w:val="195E9928"/>
    <w:lvl w:ilvl="0" w:tplc="28AEF7D6">
      <w:start w:val="1"/>
      <w:numFmt w:val="bullet"/>
      <w:lvlText w:val="●"/>
      <w:lvlJc w:val="left"/>
      <w:pPr>
        <w:ind w:left="720" w:hanging="360"/>
      </w:pPr>
    </w:lvl>
    <w:lvl w:ilvl="1" w:tplc="5C00D9AA">
      <w:start w:val="1"/>
      <w:numFmt w:val="bullet"/>
      <w:lvlText w:val="○"/>
      <w:lvlJc w:val="left"/>
      <w:pPr>
        <w:ind w:left="1440" w:hanging="360"/>
      </w:pPr>
    </w:lvl>
    <w:lvl w:ilvl="2" w:tplc="CC322E94">
      <w:start w:val="1"/>
      <w:numFmt w:val="bullet"/>
      <w:lvlText w:val="■"/>
      <w:lvlJc w:val="left"/>
      <w:pPr>
        <w:ind w:left="2160" w:hanging="360"/>
      </w:pPr>
    </w:lvl>
    <w:lvl w:ilvl="3" w:tplc="4456EF40">
      <w:start w:val="1"/>
      <w:numFmt w:val="bullet"/>
      <w:lvlText w:val="●"/>
      <w:lvlJc w:val="left"/>
      <w:pPr>
        <w:ind w:left="2880" w:hanging="360"/>
      </w:pPr>
    </w:lvl>
    <w:lvl w:ilvl="4" w:tplc="EA56AB78">
      <w:start w:val="1"/>
      <w:numFmt w:val="bullet"/>
      <w:lvlText w:val="○"/>
      <w:lvlJc w:val="left"/>
      <w:pPr>
        <w:ind w:left="3600" w:hanging="360"/>
      </w:pPr>
    </w:lvl>
    <w:lvl w:ilvl="5" w:tplc="C922B2BE">
      <w:start w:val="1"/>
      <w:numFmt w:val="bullet"/>
      <w:lvlText w:val="■"/>
      <w:lvlJc w:val="left"/>
      <w:pPr>
        <w:ind w:left="4320" w:hanging="360"/>
      </w:pPr>
    </w:lvl>
    <w:lvl w:ilvl="6" w:tplc="CE24EF08">
      <w:start w:val="1"/>
      <w:numFmt w:val="bullet"/>
      <w:lvlText w:val="●"/>
      <w:lvlJc w:val="left"/>
      <w:pPr>
        <w:ind w:left="5040" w:hanging="360"/>
      </w:pPr>
    </w:lvl>
    <w:lvl w:ilvl="7" w:tplc="B4BE7034">
      <w:start w:val="1"/>
      <w:numFmt w:val="bullet"/>
      <w:lvlText w:val="●"/>
      <w:lvlJc w:val="left"/>
      <w:pPr>
        <w:ind w:left="5760" w:hanging="360"/>
      </w:pPr>
    </w:lvl>
    <w:lvl w:ilvl="8" w:tplc="D6669E0E">
      <w:start w:val="1"/>
      <w:numFmt w:val="bullet"/>
      <w:lvlText w:val="●"/>
      <w:lvlJc w:val="left"/>
      <w:pPr>
        <w:ind w:left="6480" w:hanging="360"/>
      </w:pPr>
    </w:lvl>
  </w:abstractNum>
  <w:abstractNum w:abstractNumId="3" w15:restartNumberingAfterBreak="0">
    <w:nsid w:val="5EF651B5"/>
    <w:multiLevelType w:val="hybridMultilevel"/>
    <w:tmpl w:val="A988593E"/>
    <w:lvl w:ilvl="0" w:tplc="0AFE0310">
      <w:start w:val="1"/>
      <w:numFmt w:val="bullet"/>
      <w:lvlText w:val="•"/>
      <w:lvlJc w:val="left"/>
      <w:pPr>
        <w:ind w:left="540" w:hanging="270"/>
      </w:pPr>
    </w:lvl>
    <w:lvl w:ilvl="1" w:tplc="F5265238">
      <w:numFmt w:val="decimal"/>
      <w:lvlText w:val=""/>
      <w:lvlJc w:val="left"/>
    </w:lvl>
    <w:lvl w:ilvl="2" w:tplc="BB2AD35C">
      <w:numFmt w:val="decimal"/>
      <w:lvlText w:val=""/>
      <w:lvlJc w:val="left"/>
    </w:lvl>
    <w:lvl w:ilvl="3" w:tplc="F9F6126A">
      <w:numFmt w:val="decimal"/>
      <w:lvlText w:val=""/>
      <w:lvlJc w:val="left"/>
    </w:lvl>
    <w:lvl w:ilvl="4" w:tplc="E6169BCC">
      <w:numFmt w:val="decimal"/>
      <w:lvlText w:val=""/>
      <w:lvlJc w:val="left"/>
    </w:lvl>
    <w:lvl w:ilvl="5" w:tplc="8E025790">
      <w:numFmt w:val="decimal"/>
      <w:lvlText w:val=""/>
      <w:lvlJc w:val="left"/>
    </w:lvl>
    <w:lvl w:ilvl="6" w:tplc="9C668BB4">
      <w:numFmt w:val="decimal"/>
      <w:lvlText w:val=""/>
      <w:lvlJc w:val="left"/>
    </w:lvl>
    <w:lvl w:ilvl="7" w:tplc="DF460658">
      <w:numFmt w:val="decimal"/>
      <w:lvlText w:val=""/>
      <w:lvlJc w:val="left"/>
    </w:lvl>
    <w:lvl w:ilvl="8" w:tplc="A39C4A1A">
      <w:numFmt w:val="decimal"/>
      <w:lvlText w:val=""/>
      <w:lvlJc w:val="left"/>
    </w:lvl>
  </w:abstractNum>
  <w:num w:numId="1" w16cid:durableId="14537877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DD5"/>
    <w:rsid w:val="000A50EE"/>
    <w:rsid w:val="005A1DD5"/>
    <w:rsid w:val="00830233"/>
    <w:rsid w:val="00C13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5CC78"/>
  <w15:docId w15:val="{969DC091-2189-4153-8436-2AD71A540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sz w:val="24"/>
      <w:szCs w:val="24"/>
    </w:rPr>
  </w:style>
  <w:style w:type="paragraph" w:styleId="Heading2">
    <w:name w:val="heading 2"/>
    <w:uiPriority w:val="9"/>
    <w:unhideWhenUsed/>
    <w:qFormat/>
    <w:pPr>
      <w:spacing w:before="180" w:after="80"/>
      <w:outlineLvl w:val="1"/>
    </w:pPr>
    <w:rPr>
      <w:b/>
      <w:bCs/>
      <w:i/>
      <w:iCs/>
      <w:sz w:val="22"/>
      <w:szCs w:val="22"/>
    </w:rPr>
  </w:style>
  <w:style w:type="paragraph" w:styleId="Heading3">
    <w:name w:val="heading 3"/>
    <w:uiPriority w:val="9"/>
    <w:semiHidden/>
    <w:unhideWhenUsed/>
    <w:qFormat/>
    <w:pPr>
      <w:spacing w:before="12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2905</Words>
  <Characters>16559</Characters>
  <Application>Microsoft Office Word</Application>
  <DocSecurity>0</DocSecurity>
  <Lines>137</Lines>
  <Paragraphs>38</Paragraphs>
  <ScaleCrop>false</ScaleCrop>
  <Company/>
  <LinksUpToDate>false</LinksUpToDate>
  <CharactersWithSpaces>19426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Mueed Arian</cp:lastModifiedBy>
  <cp:revision>3</cp:revision>
  <dcterms:created xsi:type="dcterms:W3CDTF">2026-03-10T17:19:00Z</dcterms:created>
  <dcterms:modified xsi:type="dcterms:W3CDTF">2026-03-10T17:25:00Z</dcterms:modified>
</cp:coreProperties>
</file>