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03B18" w14:textId="77777777" w:rsidR="00FB6E79" w:rsidRDefault="00000000">
      <w:pPr>
        <w:spacing w:after="40" w:line="300" w:lineRule="auto"/>
        <w:jc w:val="center"/>
      </w:pPr>
      <w:r>
        <w:rPr>
          <w:b/>
          <w:bCs/>
          <w:sz w:val="36"/>
          <w:szCs w:val="36"/>
        </w:rPr>
        <w:t>A Literature Review on Neural Network Quantization,</w:t>
      </w:r>
    </w:p>
    <w:p w14:paraId="6177E275" w14:textId="77777777" w:rsidR="00FB6E79" w:rsidRDefault="00000000">
      <w:pPr>
        <w:spacing w:after="120" w:line="300" w:lineRule="auto"/>
        <w:jc w:val="center"/>
      </w:pPr>
      <w:r>
        <w:rPr>
          <w:b/>
          <w:bCs/>
          <w:sz w:val="36"/>
          <w:szCs w:val="36"/>
        </w:rPr>
        <w:t>MR-GPTQ Algorithms, and Edge Device Deployment</w:t>
      </w:r>
    </w:p>
    <w:p w14:paraId="4F377B12" w14:textId="77777777" w:rsidR="00FB6E79" w:rsidRDefault="00000000">
      <w:pPr>
        <w:spacing w:after="20"/>
        <w:jc w:val="center"/>
        <w:rPr>
          <w:sz w:val="20"/>
          <w:szCs w:val="20"/>
        </w:rPr>
      </w:pPr>
      <w:proofErr w:type="spellStart"/>
      <w:r>
        <w:rPr>
          <w:sz w:val="20"/>
          <w:szCs w:val="20"/>
        </w:rPr>
        <w:t>Mueid</w:t>
      </w:r>
      <w:proofErr w:type="spellEnd"/>
      <w:r>
        <w:rPr>
          <w:sz w:val="20"/>
          <w:szCs w:val="20"/>
        </w:rPr>
        <w:t xml:space="preserve"> Islam Arian, </w:t>
      </w:r>
      <w:proofErr w:type="spellStart"/>
      <w:r>
        <w:rPr>
          <w:sz w:val="20"/>
          <w:szCs w:val="20"/>
        </w:rPr>
        <w:t>Mahamudul</w:t>
      </w:r>
      <w:proofErr w:type="spellEnd"/>
      <w:r>
        <w:rPr>
          <w:sz w:val="20"/>
          <w:szCs w:val="20"/>
        </w:rPr>
        <w:t xml:space="preserve"> Hasan, </w:t>
      </w:r>
      <w:proofErr w:type="spellStart"/>
      <w:r>
        <w:rPr>
          <w:sz w:val="20"/>
          <w:szCs w:val="20"/>
        </w:rPr>
        <w:t>Nafiz</w:t>
      </w:r>
      <w:proofErr w:type="spellEnd"/>
      <w:r>
        <w:rPr>
          <w:sz w:val="20"/>
          <w:szCs w:val="20"/>
        </w:rPr>
        <w:t xml:space="preserve"> Un Nabi Ishan</w:t>
      </w:r>
    </w:p>
    <w:p w14:paraId="30D2EF27" w14:textId="3C830FA5" w:rsidR="003F4DF2" w:rsidRDefault="003F4DF2">
      <w:pPr>
        <w:spacing w:after="20"/>
        <w:jc w:val="center"/>
      </w:pPr>
      <w:r>
        <w:rPr>
          <w:sz w:val="20"/>
          <w:szCs w:val="20"/>
        </w:rPr>
        <w:t>Mueid.arian,mahamudul.hasan,nafizishan@northsouth.edu</w:t>
      </w:r>
    </w:p>
    <w:p w14:paraId="1E792FD7" w14:textId="77777777" w:rsidR="00FB6E79" w:rsidRDefault="00000000">
      <w:pPr>
        <w:spacing w:after="100" w:line="220" w:lineRule="auto"/>
        <w:jc w:val="center"/>
        <w:rPr>
          <w:i/>
          <w:iCs/>
          <w:sz w:val="17"/>
          <w:szCs w:val="17"/>
        </w:rPr>
      </w:pPr>
      <w:r>
        <w:rPr>
          <w:i/>
          <w:iCs/>
          <w:sz w:val="17"/>
          <w:szCs w:val="17"/>
        </w:rPr>
        <w:t>Department of Computer Science and Engineering</w:t>
      </w:r>
    </w:p>
    <w:p w14:paraId="01637AEB" w14:textId="2A8389CA" w:rsidR="003F4DF2" w:rsidRDefault="003F4DF2">
      <w:pPr>
        <w:spacing w:after="100" w:line="220" w:lineRule="auto"/>
        <w:jc w:val="center"/>
      </w:pPr>
      <w:r>
        <w:rPr>
          <w:i/>
          <w:iCs/>
          <w:sz w:val="17"/>
          <w:szCs w:val="17"/>
        </w:rPr>
        <w:t>North South University, Dhaka, Bangladesh</w:t>
      </w:r>
    </w:p>
    <w:p w14:paraId="2A2D1DD4" w14:textId="77777777" w:rsidR="00FB6E79" w:rsidRDefault="00000000">
      <w:pPr>
        <w:spacing w:after="40" w:line="220" w:lineRule="auto"/>
        <w:jc w:val="center"/>
      </w:pPr>
      <w:r>
        <w:rPr>
          <w:b/>
          <w:bCs/>
          <w:i/>
          <w:iCs/>
          <w:sz w:val="17"/>
          <w:szCs w:val="17"/>
        </w:rPr>
        <w:t>Abstract</w:t>
      </w:r>
    </w:p>
    <w:p w14:paraId="1FDE15E0" w14:textId="77777777" w:rsidR="00FB6E79" w:rsidRDefault="00000000">
      <w:pPr>
        <w:spacing w:after="40" w:line="216" w:lineRule="auto"/>
        <w:ind w:left="260" w:right="260"/>
        <w:jc w:val="both"/>
      </w:pPr>
      <w:r>
        <w:rPr>
          <w:b/>
          <w:bCs/>
          <w:i/>
          <w:iCs/>
          <w:sz w:val="17"/>
          <w:szCs w:val="17"/>
        </w:rPr>
        <w:t xml:space="preserve">The deployment of deep neural networks on resource-constrained edge devices has become a critical research frontier, with model quantization emerging as the predominant compression technique. This paper presents a comprehensive literature review covering three interconnected domains: (1) foundational and advanced quantization methods for neural networks, ranging from post-training quantization to quantization-aware training; (2) the recently proposed Micro-Rotated GPTQ (MR-GPTQ) algorithm and its associated </w:t>
      </w:r>
      <w:proofErr w:type="spellStart"/>
      <w:r>
        <w:rPr>
          <w:b/>
          <w:bCs/>
          <w:i/>
          <w:iCs/>
          <w:sz w:val="17"/>
          <w:szCs w:val="17"/>
        </w:rPr>
        <w:t>microscaling</w:t>
      </w:r>
      <w:proofErr w:type="spellEnd"/>
      <w:r>
        <w:rPr>
          <w:b/>
          <w:bCs/>
          <w:i/>
          <w:iCs/>
          <w:sz w:val="17"/>
          <w:szCs w:val="17"/>
        </w:rPr>
        <w:t xml:space="preserve"> FP4 formats (MXFP4 and NVFP4) that achieve state-of-the-art accuracy-performance tradeoffs for large language models; and (3) practical strategies for deploying quantized models on edge hardware including microcontrollers, smartphones, and embedded GPUs. We analyze the evolution from uniform integer quantization to format-specialized floating-point approaches, examine the key algorithmic innovations in MR-GPTQ such as block-wise Hadamard transforms and MSE-optimized grids, and survey the hardware-software co-design landscape for edge AI. We identify open research gaps, particularly the extension of FP4 quantization to vision transformers and vision-language models for agricultural and IoT applications.</w:t>
      </w:r>
    </w:p>
    <w:p w14:paraId="25F9ED45" w14:textId="77777777" w:rsidR="00FB6E79" w:rsidRDefault="00000000">
      <w:pPr>
        <w:spacing w:after="20" w:line="216" w:lineRule="auto"/>
        <w:ind w:left="260" w:right="260"/>
        <w:jc w:val="both"/>
      </w:pPr>
      <w:r>
        <w:rPr>
          <w:b/>
          <w:bCs/>
          <w:i/>
          <w:iCs/>
          <w:sz w:val="17"/>
          <w:szCs w:val="17"/>
        </w:rPr>
        <w:t>Keywords</w:t>
      </w:r>
      <w:r>
        <w:rPr>
          <w:i/>
          <w:iCs/>
          <w:sz w:val="17"/>
          <w:szCs w:val="17"/>
        </w:rPr>
        <w:t xml:space="preserve">—quantization, MR-GPTQ, </w:t>
      </w:r>
      <w:proofErr w:type="spellStart"/>
      <w:r>
        <w:rPr>
          <w:i/>
          <w:iCs/>
          <w:sz w:val="17"/>
          <w:szCs w:val="17"/>
        </w:rPr>
        <w:t>microscaling</w:t>
      </w:r>
      <w:proofErr w:type="spellEnd"/>
      <w:r>
        <w:rPr>
          <w:i/>
          <w:iCs/>
          <w:sz w:val="17"/>
          <w:szCs w:val="17"/>
        </w:rPr>
        <w:t xml:space="preserve"> FP4, edge AI, post-training quantization, vision transformers, </w:t>
      </w:r>
      <w:proofErr w:type="spellStart"/>
      <w:r>
        <w:rPr>
          <w:i/>
          <w:iCs/>
          <w:sz w:val="17"/>
          <w:szCs w:val="17"/>
        </w:rPr>
        <w:t>TinyML</w:t>
      </w:r>
      <w:proofErr w:type="spellEnd"/>
    </w:p>
    <w:p w14:paraId="00104111" w14:textId="77777777" w:rsidR="00FB6E79" w:rsidRDefault="00FB6E79">
      <w:pPr>
        <w:sectPr w:rsidR="00FB6E79">
          <w:type w:val="continuous"/>
          <w:pgSz w:w="12240" w:h="15840"/>
          <w:pgMar w:top="1080" w:right="900" w:bottom="1080" w:left="900" w:header="708" w:footer="708" w:gutter="0"/>
          <w:cols w:space="720"/>
          <w:docGrid w:linePitch="360"/>
        </w:sectPr>
      </w:pPr>
    </w:p>
    <w:p w14:paraId="0A9CEA38" w14:textId="77777777" w:rsidR="00FB6E79" w:rsidRDefault="00000000">
      <w:pPr>
        <w:spacing w:before="160" w:after="80"/>
        <w:jc w:val="center"/>
      </w:pPr>
      <w:r>
        <w:rPr>
          <w:b/>
          <w:bCs/>
          <w:sz w:val="20"/>
          <w:szCs w:val="20"/>
        </w:rPr>
        <w:t>I. INTRODUCTION</w:t>
      </w:r>
    </w:p>
    <w:p w14:paraId="40D20CEF" w14:textId="1930CA7D" w:rsidR="00FB6E79" w:rsidRDefault="00000000">
      <w:pPr>
        <w:spacing w:after="40" w:line="228" w:lineRule="auto"/>
        <w:jc w:val="both"/>
      </w:pPr>
      <w:r>
        <w:t>The rapid scaling of deep neural networks (DNNs) has yielded remarkable advances across natural language processing, computer vision, and multimodal reasoning. However, the computational and memory demands of modern architectures—often exceeding billions of parameters</w:t>
      </w:r>
      <w:r w:rsidR="003F4DF2">
        <w:t xml:space="preserve">, </w:t>
      </w:r>
      <w:r>
        <w:t>present fundamental deployment challenges, particularly for edge devices with strict power, memory, and latency constraints [1], [2].</w:t>
      </w:r>
    </w:p>
    <w:p w14:paraId="554702DC" w14:textId="77777777" w:rsidR="00FB6E79" w:rsidRDefault="00000000">
      <w:pPr>
        <w:spacing w:after="40" w:line="228" w:lineRule="auto"/>
        <w:ind w:firstLine="180"/>
        <w:jc w:val="both"/>
      </w:pPr>
      <w:r>
        <w:t>Model quantization has emerged as one of the most effective compression strategies, reducing the numerical precision of weights and activations from 32-bit or 16-bit floating-point to lower bit-widths such as 8-bit or 4-bit representations [3]. Unlike pruning or knowledge distillation, quantization directly reduces both memory footprint and computational cost while preserving the original network topology, making it particularly suitable for hardware-accelerated inference.</w:t>
      </w:r>
    </w:p>
    <w:p w14:paraId="204597FA" w14:textId="68BA9EED" w:rsidR="00FB6E79" w:rsidRDefault="00000000">
      <w:pPr>
        <w:spacing w:after="40" w:line="228" w:lineRule="auto"/>
        <w:ind w:firstLine="180"/>
        <w:jc w:val="both"/>
      </w:pPr>
      <w:r>
        <w:t xml:space="preserve">Recent developments have introduced hardware-accelerated </w:t>
      </w:r>
      <w:proofErr w:type="spellStart"/>
      <w:r>
        <w:t>microscaling</w:t>
      </w:r>
      <w:proofErr w:type="spellEnd"/>
      <w:r>
        <w:t xml:space="preserve"> 4-bit floating-point (FP4) formats</w:t>
      </w:r>
      <w:r w:rsidR="003F4DF2">
        <w:t xml:space="preserve"> </w:t>
      </w:r>
      <w:r>
        <w:t>specifically MXFP4 and NVFP4</w:t>
      </w:r>
      <w:r w:rsidR="003F4DF2">
        <w:t xml:space="preserve"> </w:t>
      </w:r>
      <w:r>
        <w:t xml:space="preserve">supported on NVIDIA Blackwell and AMD CDNA 4 GPUs [4]. The Micro-Rotated GPTQ (MR-GPTQ) algorithm, proposed by </w:t>
      </w:r>
      <w:proofErr w:type="spellStart"/>
      <w:r>
        <w:t>Egiazarian</w:t>
      </w:r>
      <w:proofErr w:type="spellEnd"/>
      <w:r>
        <w:t xml:space="preserve"> et al. [4], tailors the quantization process to these FP4 formats using block-wise Hadamard transforms and format-specific optimizations, achieving speedups of up to 6x layer-wise on RTX 5090 GPUs.</w:t>
      </w:r>
    </w:p>
    <w:p w14:paraId="28E4146F" w14:textId="77777777" w:rsidR="00FB6E79" w:rsidRDefault="00000000">
      <w:pPr>
        <w:spacing w:after="40" w:line="228" w:lineRule="auto"/>
        <w:ind w:firstLine="180"/>
        <w:jc w:val="both"/>
      </w:pPr>
      <w:r>
        <w:t xml:space="preserve">Simultaneously, the edge AI ecosystem has matured significantly, with </w:t>
      </w:r>
      <w:proofErr w:type="spellStart"/>
      <w:r>
        <w:t>TinyML</w:t>
      </w:r>
      <w:proofErr w:type="spellEnd"/>
      <w:r>
        <w:t xml:space="preserve"> frameworks enabling neural network deployment on microcontrollers with as little as 256 KB of SRAM [5], [6]. The convergence of aggressive quantization techniques with increasingly capable edge hardware creates new opportunities for deploying sophisticated AI models in resource-constrained environments.</w:t>
      </w:r>
    </w:p>
    <w:p w14:paraId="50F0AC28" w14:textId="77777777" w:rsidR="00FB6E79" w:rsidRDefault="00000000">
      <w:pPr>
        <w:spacing w:after="40" w:line="228" w:lineRule="auto"/>
        <w:ind w:firstLine="180"/>
        <w:jc w:val="both"/>
      </w:pPr>
      <w:r>
        <w:t xml:space="preserve">This review examines these three interconnected research areas: Section II surveys foundational and advanced quantization methods; Section III provides an in-depth analysis of the MR-GPTQ algorithm and </w:t>
      </w:r>
      <w:proofErr w:type="spellStart"/>
      <w:r>
        <w:t>microscaling</w:t>
      </w:r>
      <w:proofErr w:type="spellEnd"/>
      <w:r>
        <w:t xml:space="preserve"> FP4 formats; Section IV discusses edge deployment strategies and hardware platforms; Section V identifies open research directions; and Section VI concludes the review.</w:t>
      </w:r>
    </w:p>
    <w:p w14:paraId="3C095F76" w14:textId="77777777" w:rsidR="00FB6E79" w:rsidRDefault="00000000">
      <w:pPr>
        <w:spacing w:before="160" w:after="80"/>
        <w:jc w:val="center"/>
      </w:pPr>
      <w:r>
        <w:rPr>
          <w:b/>
          <w:bCs/>
          <w:sz w:val="20"/>
          <w:szCs w:val="20"/>
        </w:rPr>
        <w:t>II. NEURAL NETWORK QUANTIZATION</w:t>
      </w:r>
    </w:p>
    <w:p w14:paraId="4E9FFF0B" w14:textId="77777777" w:rsidR="00FB6E79" w:rsidRDefault="00000000">
      <w:pPr>
        <w:spacing w:before="120" w:after="40" w:line="228" w:lineRule="auto"/>
      </w:pPr>
      <w:r>
        <w:rPr>
          <w:i/>
          <w:iCs/>
        </w:rPr>
        <w:t>A. Fundamentals of Quantization</w:t>
      </w:r>
    </w:p>
    <w:p w14:paraId="6B082648" w14:textId="77777777" w:rsidR="00FB6E79" w:rsidRDefault="00000000">
      <w:pPr>
        <w:spacing w:after="40" w:line="228" w:lineRule="auto"/>
        <w:jc w:val="both"/>
      </w:pPr>
      <w:r>
        <w:t xml:space="preserve">Quantization maps continuous or high-precision values to a discrete set of lower-precision representations. For a weight tensor W, the uniform affine quantization function is defined as Q(w) = s · clamp(round(w/s + z), 0, 2^b − 1) − z), where s is the scale factor, z is the zero-point, and b is the target bit-width [3]. Symmetric quantization </w:t>
      </w:r>
      <w:r>
        <w:t>sets z = 0, simplifying hardware implementation at the cost of reduced representational flexibility.</w:t>
      </w:r>
    </w:p>
    <w:p w14:paraId="32B17777" w14:textId="77777777" w:rsidR="00FB6E79" w:rsidRDefault="00000000">
      <w:pPr>
        <w:spacing w:after="40" w:line="228" w:lineRule="auto"/>
        <w:ind w:firstLine="180"/>
        <w:jc w:val="both"/>
      </w:pPr>
      <w:r>
        <w:t xml:space="preserve">The granularity of quantization parameters significantly impacts accuracy. Per-tensor quantization uses a single scale for the entire tensor, while per-channel and per-group schemes provide finer adaptation to weight distributions. </w:t>
      </w:r>
      <w:proofErr w:type="spellStart"/>
      <w:r>
        <w:t>Gholami</w:t>
      </w:r>
      <w:proofErr w:type="spellEnd"/>
      <w:r>
        <w:t xml:space="preserve"> et al. [3] provide a comprehensive survey showing that per-channel quantization consistently outperforms per-tensor approaches, particularly at 4-bit precision and below.</w:t>
      </w:r>
    </w:p>
    <w:p w14:paraId="5D40EBDE" w14:textId="77777777" w:rsidR="00FB6E79" w:rsidRDefault="00000000">
      <w:pPr>
        <w:spacing w:before="120" w:after="40" w:line="228" w:lineRule="auto"/>
      </w:pPr>
      <w:r>
        <w:rPr>
          <w:i/>
          <w:iCs/>
        </w:rPr>
        <w:t>B. Post-Training Quantization (PTQ)</w:t>
      </w:r>
    </w:p>
    <w:p w14:paraId="1EA5831C" w14:textId="77777777" w:rsidR="00FB6E79" w:rsidRDefault="00000000">
      <w:pPr>
        <w:spacing w:after="40" w:line="228" w:lineRule="auto"/>
        <w:jc w:val="both"/>
      </w:pPr>
      <w:r>
        <w:t xml:space="preserve">PTQ methods quantize pre-trained models using a small calibration dataset without retraining. The GPTQ algorithm, introduced by </w:t>
      </w:r>
      <w:proofErr w:type="spellStart"/>
      <w:r>
        <w:t>Frantar</w:t>
      </w:r>
      <w:proofErr w:type="spellEnd"/>
      <w:r>
        <w:t xml:space="preserve"> et al. [7], formulates weight quantization as a layer-wise reconstruction problem, iteratively quantizing weight columns and compensating for accumulated error using approximate second-order (Hessian) information. GPTQ demonstrated that 175-billion-parameter models could be compressed to 3–4 bits per weight with negligible accuracy loss in approximately four GPU hours, establishing it as the de facto standard for LLM post-training quantization.</w:t>
      </w:r>
    </w:p>
    <w:p w14:paraId="4EA38C62" w14:textId="77777777" w:rsidR="00FB6E79" w:rsidRDefault="00000000">
      <w:pPr>
        <w:spacing w:after="40" w:line="228" w:lineRule="auto"/>
        <w:ind w:firstLine="180"/>
        <w:jc w:val="both"/>
      </w:pPr>
      <w:r>
        <w:t xml:space="preserve">Activation-aware Weight Quantization (AWQ), proposed by Lin et al. [8], takes a complementary approach by identifying salient weight channels through activation distribution analysis. AWQ observes that protecting only 1% of critical weights via per-channel scaling can substantially reduce quantization error without requiring backpropagation. AWQ received the </w:t>
      </w:r>
      <w:proofErr w:type="spellStart"/>
      <w:r>
        <w:t>MLSys</w:t>
      </w:r>
      <w:proofErr w:type="spellEnd"/>
      <w:r>
        <w:t xml:space="preserve"> 2024 Best Paper Award and demonstrated strong generalization across instruction-tuned and multimodal language models.</w:t>
      </w:r>
    </w:p>
    <w:p w14:paraId="734D62D1" w14:textId="77777777" w:rsidR="00FB6E79" w:rsidRDefault="00000000">
      <w:pPr>
        <w:spacing w:after="40" w:line="228" w:lineRule="auto"/>
        <w:ind w:firstLine="180"/>
        <w:jc w:val="both"/>
      </w:pPr>
      <w:proofErr w:type="spellStart"/>
      <w:r>
        <w:t>SmoothQuant</w:t>
      </w:r>
      <w:proofErr w:type="spellEnd"/>
      <w:r>
        <w:t xml:space="preserve">, proposed by Xiao et al. [9], addresses the challenge of activation outliers by mathematically migrating quantization difficulty from activations to weights through a per-channel scaling transformation. This enables efficient W8A8 quantization for both weights and activations, achieving hardware-friendly integer-only inference. Additional methods such as </w:t>
      </w:r>
      <w:proofErr w:type="spellStart"/>
      <w:r>
        <w:t>SpinQuant</w:t>
      </w:r>
      <w:proofErr w:type="spellEnd"/>
      <w:r>
        <w:t xml:space="preserve"> [10] and </w:t>
      </w:r>
      <w:proofErr w:type="spellStart"/>
      <w:r>
        <w:t>QuaRot</w:t>
      </w:r>
      <w:proofErr w:type="spellEnd"/>
      <w:r>
        <w:t xml:space="preserve"> [11] employ learned or analytical rotation matrices to normalize weight and activation distributions prior to quantization.</w:t>
      </w:r>
    </w:p>
    <w:p w14:paraId="7AD4D63F" w14:textId="77777777" w:rsidR="00FB6E79" w:rsidRDefault="00000000">
      <w:pPr>
        <w:spacing w:before="120" w:after="40" w:line="228" w:lineRule="auto"/>
      </w:pPr>
      <w:r>
        <w:rPr>
          <w:i/>
          <w:iCs/>
        </w:rPr>
        <w:t>C. Quantization-Aware Training (QAT)</w:t>
      </w:r>
    </w:p>
    <w:p w14:paraId="522C257F" w14:textId="77777777" w:rsidR="00FB6E79" w:rsidRDefault="00000000">
      <w:pPr>
        <w:spacing w:after="40" w:line="228" w:lineRule="auto"/>
        <w:jc w:val="both"/>
      </w:pPr>
      <w:r>
        <w:t>QAT integrates quantization into the training process, allowing model parameters to adapt to reduced precision. The straight-through estimator (STE) is commonly used to approximate gradients through non-differentiable quantization operations [3]. While QAT generally achieves higher accuracy than PTQ at aggressive bit-widths, its computational cost scales with model size, making it impractical for the largest contemporary models.</w:t>
      </w:r>
    </w:p>
    <w:p w14:paraId="02A767A9" w14:textId="77777777" w:rsidR="00FB6E79" w:rsidRDefault="00000000">
      <w:pPr>
        <w:spacing w:after="40" w:line="228" w:lineRule="auto"/>
        <w:ind w:firstLine="180"/>
        <w:jc w:val="both"/>
      </w:pPr>
      <w:r>
        <w:lastRenderedPageBreak/>
        <w:t>Recent work on FP4-aware training has shown promise. Tseng et al. [12] demonstrated near-lossless training with MXFP4 formats using techniques such as EMA-based weight quantization and adaptive learning rate ramping to control weight oscillation. Stochastic rounding has been shown to be essential for gradient quantization stability during FP4 training [13].</w:t>
      </w:r>
    </w:p>
    <w:p w14:paraId="6B406ECC" w14:textId="77777777" w:rsidR="00FB6E79" w:rsidRDefault="00000000">
      <w:pPr>
        <w:spacing w:before="160" w:after="80"/>
        <w:jc w:val="center"/>
      </w:pPr>
      <w:r>
        <w:rPr>
          <w:b/>
          <w:bCs/>
          <w:sz w:val="20"/>
          <w:szCs w:val="20"/>
        </w:rPr>
        <w:t>III. MR-GPTQ AND MICROSCALING FP4 FORMATS</w:t>
      </w:r>
    </w:p>
    <w:p w14:paraId="21E76EFE" w14:textId="77777777" w:rsidR="00FB6E79" w:rsidRDefault="00000000">
      <w:pPr>
        <w:spacing w:before="120" w:after="40" w:line="228" w:lineRule="auto"/>
      </w:pPr>
      <w:r>
        <w:rPr>
          <w:i/>
          <w:iCs/>
        </w:rPr>
        <w:t xml:space="preserve">A. </w:t>
      </w:r>
      <w:proofErr w:type="spellStart"/>
      <w:r>
        <w:rPr>
          <w:i/>
          <w:iCs/>
        </w:rPr>
        <w:t>Microscaling</w:t>
      </w:r>
      <w:proofErr w:type="spellEnd"/>
      <w:r>
        <w:rPr>
          <w:i/>
          <w:iCs/>
        </w:rPr>
        <w:t xml:space="preserve"> FP4 Format Architecture</w:t>
      </w:r>
    </w:p>
    <w:p w14:paraId="4699B973" w14:textId="77777777" w:rsidR="00FB6E79" w:rsidRDefault="00000000">
      <w:pPr>
        <w:spacing w:after="40" w:line="228" w:lineRule="auto"/>
        <w:jc w:val="both"/>
      </w:pPr>
      <w:r>
        <w:t xml:space="preserve">The MXFP4 and NVFP4 formats share the FP4 E2M1 element representation, encoding values with 1 sign bit, 2 exponent bits, and 1 mantissa bit. This yields seven distinct positive values: {0.5, 1.0, 1.5, 2.0, 3.0, 4.0, 6.0} plus zero [4]. The formats diverge in their </w:t>
      </w:r>
      <w:proofErr w:type="spellStart"/>
      <w:r>
        <w:t>microscaling</w:t>
      </w:r>
      <w:proofErr w:type="spellEnd"/>
      <w:r>
        <w:t xml:space="preserve"> parameters: MXFP4 uses groups of 32 elements with E8M0 (power-of-two) scales at 4.25 bits per element, while NVFP4 uses groups of 16 with E4M3 (full FP8) scales at 4.5 bits per element.</w:t>
      </w:r>
    </w:p>
    <w:p w14:paraId="126C4CF1" w14:textId="77777777" w:rsidR="00FB6E79" w:rsidRDefault="00000000">
      <w:pPr>
        <w:spacing w:after="40" w:line="228" w:lineRule="auto"/>
        <w:ind w:firstLine="180"/>
        <w:jc w:val="both"/>
      </w:pPr>
      <w:proofErr w:type="spellStart"/>
      <w:r>
        <w:t>Egiazarian</w:t>
      </w:r>
      <w:proofErr w:type="spellEnd"/>
      <w:r>
        <w:t xml:space="preserve"> et al. [4] analytically demonstrated (Lemma 2) that the quantization mean squared error (MSE) scales differently for Laplace-distributed and Normal-distributed tensors. This theoretical result predicts a crossover point where Hadamard rotations—which transform Laplace distributions toward Normal—become beneficial at larger group sizes, a prediction confirmed empirically across multiple model families.</w:t>
      </w:r>
    </w:p>
    <w:p w14:paraId="5FD07D0F" w14:textId="77777777" w:rsidR="00FB6E79" w:rsidRDefault="00000000">
      <w:pPr>
        <w:spacing w:before="120" w:after="40" w:line="228" w:lineRule="auto"/>
      </w:pPr>
      <w:r>
        <w:rPr>
          <w:i/>
          <w:iCs/>
        </w:rPr>
        <w:t>B. The MR-GPTQ Algorithm</w:t>
      </w:r>
    </w:p>
    <w:p w14:paraId="5C5A9B8A" w14:textId="77777777" w:rsidR="00FB6E79" w:rsidRDefault="00000000">
      <w:pPr>
        <w:spacing w:after="40" w:line="228" w:lineRule="auto"/>
        <w:jc w:val="both"/>
      </w:pPr>
      <w:r>
        <w:t>MR-GPTQ extends the classic GPTQ framework with three key innovations specifically designed for FP4 formats [4]. First, block-wise Hadamard transforms are applied to normalize weight and activation distributions, reducing the impact of outliers that are poorly captured by the FP4 non-uniform grid. The Hadamard transform requires only additions and subtractions (no multiplications), making it computationally efficient—a 16-point transform needs only 32 additions versus 256 multiplications for a general matrix multiply.</w:t>
      </w:r>
    </w:p>
    <w:p w14:paraId="1B0DD6F9" w14:textId="77777777" w:rsidR="00FB6E79" w:rsidRDefault="00000000">
      <w:pPr>
        <w:spacing w:after="40" w:line="228" w:lineRule="auto"/>
        <w:ind w:firstLine="180"/>
        <w:jc w:val="both"/>
      </w:pPr>
      <w:r>
        <w:t>Second, MR-GPTQ employs MSE-optimized quantization grids that are tuned to the specific error characteristics of each FP4 format. For NVFP4, the scale parameters are optimized jointly with the GPTQ weight updates, while for MXFP4, the algorithm compensates for the additional error introduced by power-of-two scale constraints. Third, static activation reordering sorts columns by activation magnitude to improve the GPTQ error compensation path.</w:t>
      </w:r>
    </w:p>
    <w:p w14:paraId="7CFCE020" w14:textId="77777777" w:rsidR="00FB6E79" w:rsidRDefault="00000000">
      <w:pPr>
        <w:spacing w:after="40" w:line="228" w:lineRule="auto"/>
        <w:ind w:firstLine="180"/>
        <w:jc w:val="both"/>
      </w:pPr>
      <w:r>
        <w:t xml:space="preserve">The algorithm is supported by </w:t>
      </w:r>
      <w:proofErr w:type="spellStart"/>
      <w:r>
        <w:t>QuTLASS</w:t>
      </w:r>
      <w:proofErr w:type="spellEnd"/>
      <w:r>
        <w:t xml:space="preserve">, a suite of high-performance GPU kernels that fuse the Hadamard rotation with weight dequantization and matrix multiplication. On NVIDIA B200 GPUs, </w:t>
      </w:r>
      <w:proofErr w:type="spellStart"/>
      <w:r>
        <w:t>QuTLASS</w:t>
      </w:r>
      <w:proofErr w:type="spellEnd"/>
      <w:r>
        <w:t xml:space="preserve"> achieves layer-wise speedups of up to 3.6x over FP16, with end-to-end inference speedups of 2.2x. On RTX 5090, layer-wise speedups reach 6x with 4x end-to-end acceleration [4].</w:t>
      </w:r>
    </w:p>
    <w:p w14:paraId="0C2F2B62" w14:textId="77777777" w:rsidR="00FB6E79" w:rsidRDefault="00000000">
      <w:pPr>
        <w:spacing w:before="120" w:after="40" w:line="228" w:lineRule="auto"/>
      </w:pPr>
      <w:r>
        <w:rPr>
          <w:i/>
          <w:iCs/>
        </w:rPr>
        <w:t>C. Key Findings and Limitations</w:t>
      </w:r>
    </w:p>
    <w:p w14:paraId="089FF68B" w14:textId="77777777" w:rsidR="00FB6E79" w:rsidRDefault="00000000">
      <w:pPr>
        <w:spacing w:after="40" w:line="228" w:lineRule="auto"/>
        <w:jc w:val="both"/>
      </w:pPr>
      <w:r>
        <w:t>The empirical evaluation across Llama-3 and Qwen-3 model families (1B–70B parameters) revealed several important findings. NVFP4 consistently outperforms MXFP4 in baseline accuracy due to its finer-grained scaling. However, MR-GPTQ substantially narrows this gap, bringing MXFP4 accuracy within 1–2% of NVFP4 [4]. For large models (8B+ parameters), both formats recover 98–99% of FP16 baseline accuracy.</w:t>
      </w:r>
    </w:p>
    <w:p w14:paraId="7BC1DEDA" w14:textId="77777777" w:rsidR="00FB6E79" w:rsidRDefault="00000000">
      <w:pPr>
        <w:spacing w:after="40" w:line="228" w:lineRule="auto"/>
        <w:ind w:firstLine="180"/>
        <w:jc w:val="both"/>
      </w:pPr>
      <w:r>
        <w:t xml:space="preserve">Two fundamental limitations were identified: (1) NVFP4's small group size of 16 provably neutralizes traditional outlier mitigation techniques such as </w:t>
      </w:r>
      <w:proofErr w:type="spellStart"/>
      <w:r>
        <w:t>SmoothQuant</w:t>
      </w:r>
      <w:proofErr w:type="spellEnd"/>
      <w:r>
        <w:t>, as the small group naturally adapts to local variance; (2) MXFP4's E8M0 power-of-two scale quantization induces up to 40% additional MSE, representing the primary accuracy bottleneck. A proposed scale-fitting modification recovered 2–6.5% accuracy by optimizing the scale exponent range to match actual model distributions [4].</w:t>
      </w:r>
    </w:p>
    <w:p w14:paraId="578F3F6A" w14:textId="77777777" w:rsidR="00FB6E79" w:rsidRDefault="00000000">
      <w:pPr>
        <w:spacing w:before="160" w:after="80"/>
        <w:jc w:val="center"/>
      </w:pPr>
      <w:r>
        <w:rPr>
          <w:b/>
          <w:bCs/>
          <w:sz w:val="20"/>
          <w:szCs w:val="20"/>
        </w:rPr>
        <w:t>IV. EDGE DEVICE DEPLOYMENT</w:t>
      </w:r>
    </w:p>
    <w:p w14:paraId="2D80A6D7" w14:textId="77777777" w:rsidR="00FB6E79" w:rsidRDefault="00000000">
      <w:pPr>
        <w:spacing w:before="120" w:after="40" w:line="228" w:lineRule="auto"/>
      </w:pPr>
      <w:r>
        <w:rPr>
          <w:i/>
          <w:iCs/>
        </w:rPr>
        <w:t>A. Hardware Platforms and Constraints</w:t>
      </w:r>
    </w:p>
    <w:p w14:paraId="3B8D5E12" w14:textId="77777777" w:rsidR="00FB6E79" w:rsidRDefault="00000000">
      <w:pPr>
        <w:spacing w:after="40" w:line="228" w:lineRule="auto"/>
        <w:jc w:val="both"/>
      </w:pPr>
      <w:r>
        <w:t xml:space="preserve">Edge AI deployment spans a wide spectrum of hardware platforms with vastly different capabilities [5], [6], [14]. At the most constrained end, microcontrollers such as the ESP32-S3 and STM32H7 offer 512 KB–1 MB SRAM with no floating-point tensor acceleration, operating under strict power budgets (typically &lt;500 </w:t>
      </w:r>
      <w:proofErr w:type="spellStart"/>
      <w:r>
        <w:t>mW</w:t>
      </w:r>
      <w:proofErr w:type="spellEnd"/>
      <w:r>
        <w:t>). Smartphones provide 6–12 GB RAM with dedicated NPUs supporting INT8/INT4 operations. Embedded GPUs like the NVIDIA Jetson Orin series bridge the gap, offering up to 275 TOPS of INT8 performance.</w:t>
      </w:r>
    </w:p>
    <w:p w14:paraId="395EBBD2" w14:textId="77777777" w:rsidR="00FB6E79" w:rsidRDefault="00000000">
      <w:pPr>
        <w:spacing w:before="80" w:after="40" w:line="228" w:lineRule="auto"/>
        <w:jc w:val="center"/>
      </w:pPr>
      <w:r>
        <w:rPr>
          <w:b/>
          <w:bCs/>
          <w:sz w:val="16"/>
          <w:szCs w:val="16"/>
        </w:rPr>
        <w:t>TABLE I</w:t>
      </w:r>
      <w:r>
        <w:rPr>
          <w:sz w:val="16"/>
          <w:szCs w:val="16"/>
        </w:rPr>
        <w:t xml:space="preserve">  Edge Hardware Platform Comparison</w:t>
      </w: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391"/>
        <w:gridCol w:w="1193"/>
        <w:gridCol w:w="1006"/>
      </w:tblGrid>
      <w:tr w:rsidR="00FB6E79" w14:paraId="09BB5F58"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9D9D9"/>
            <w:tcMar>
              <w:top w:w="30" w:type="dxa"/>
              <w:left w:w="60" w:type="dxa"/>
              <w:bottom w:w="30" w:type="dxa"/>
              <w:right w:w="60" w:type="dxa"/>
            </w:tcMar>
            <w:vAlign w:val="center"/>
          </w:tcPr>
          <w:p w14:paraId="0258349F" w14:textId="77777777" w:rsidR="00FB6E79" w:rsidRDefault="00000000">
            <w:pPr>
              <w:spacing w:line="200" w:lineRule="auto"/>
              <w:jc w:val="center"/>
            </w:pPr>
            <w:r>
              <w:rPr>
                <w:b/>
                <w:bCs/>
                <w:sz w:val="15"/>
                <w:szCs w:val="15"/>
              </w:rPr>
              <w:t>Platform</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30" w:type="dxa"/>
              <w:left w:w="60" w:type="dxa"/>
              <w:bottom w:w="30" w:type="dxa"/>
              <w:right w:w="60" w:type="dxa"/>
            </w:tcMar>
            <w:vAlign w:val="center"/>
          </w:tcPr>
          <w:p w14:paraId="0CE75643" w14:textId="77777777" w:rsidR="00FB6E79" w:rsidRDefault="00000000">
            <w:pPr>
              <w:spacing w:line="200" w:lineRule="auto"/>
              <w:jc w:val="center"/>
            </w:pPr>
            <w:r>
              <w:rPr>
                <w:b/>
                <w:bCs/>
                <w:sz w:val="15"/>
                <w:szCs w:val="15"/>
              </w:rPr>
              <w:t>Memory</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30" w:type="dxa"/>
              <w:left w:w="60" w:type="dxa"/>
              <w:bottom w:w="30" w:type="dxa"/>
              <w:right w:w="60" w:type="dxa"/>
            </w:tcMar>
            <w:vAlign w:val="center"/>
          </w:tcPr>
          <w:p w14:paraId="21E4F90C" w14:textId="77777777" w:rsidR="00FB6E79" w:rsidRDefault="00000000">
            <w:pPr>
              <w:spacing w:line="200" w:lineRule="auto"/>
              <w:jc w:val="center"/>
            </w:pPr>
            <w:r>
              <w:rPr>
                <w:b/>
                <w:bCs/>
                <w:sz w:val="15"/>
                <w:szCs w:val="15"/>
              </w:rPr>
              <w:t>Precision</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30" w:type="dxa"/>
              <w:left w:w="60" w:type="dxa"/>
              <w:bottom w:w="30" w:type="dxa"/>
              <w:right w:w="60" w:type="dxa"/>
            </w:tcMar>
            <w:vAlign w:val="center"/>
          </w:tcPr>
          <w:p w14:paraId="68330E60" w14:textId="77777777" w:rsidR="00FB6E79" w:rsidRDefault="00000000">
            <w:pPr>
              <w:spacing w:line="200" w:lineRule="auto"/>
              <w:jc w:val="center"/>
            </w:pPr>
            <w:r>
              <w:rPr>
                <w:b/>
                <w:bCs/>
                <w:sz w:val="15"/>
                <w:szCs w:val="15"/>
              </w:rPr>
              <w:t>Power</w:t>
            </w:r>
          </w:p>
        </w:tc>
      </w:tr>
      <w:tr w:rsidR="00FB6E79" w14:paraId="322CF45D"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456252" w14:textId="77777777" w:rsidR="00FB6E79" w:rsidRDefault="00000000">
            <w:pPr>
              <w:spacing w:line="200" w:lineRule="auto"/>
              <w:jc w:val="center"/>
            </w:pPr>
            <w:r>
              <w:rPr>
                <w:sz w:val="15"/>
                <w:szCs w:val="15"/>
              </w:rPr>
              <w:t>ESP32-S3</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4D9DC33" w14:textId="77777777" w:rsidR="00FB6E79" w:rsidRDefault="00000000">
            <w:pPr>
              <w:spacing w:line="200" w:lineRule="auto"/>
              <w:jc w:val="center"/>
            </w:pPr>
            <w:r>
              <w:rPr>
                <w:sz w:val="15"/>
                <w:szCs w:val="15"/>
              </w:rPr>
              <w:t>512KB+8MB</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E16678" w14:textId="77777777" w:rsidR="00FB6E79" w:rsidRDefault="00000000">
            <w:pPr>
              <w:spacing w:line="200" w:lineRule="auto"/>
              <w:jc w:val="center"/>
            </w:pPr>
            <w:r>
              <w:rPr>
                <w:sz w:val="15"/>
                <w:szCs w:val="15"/>
              </w:rPr>
              <w:t>INT8</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624F08B" w14:textId="77777777" w:rsidR="00FB6E79" w:rsidRDefault="00000000">
            <w:pPr>
              <w:spacing w:line="200" w:lineRule="auto"/>
              <w:jc w:val="center"/>
            </w:pPr>
            <w:r>
              <w:rPr>
                <w:sz w:val="15"/>
                <w:szCs w:val="15"/>
              </w:rPr>
              <w:t>~240mW</w:t>
            </w:r>
          </w:p>
        </w:tc>
      </w:tr>
      <w:tr w:rsidR="00FB6E79" w14:paraId="5FCB0560"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1A774E5" w14:textId="77777777" w:rsidR="00FB6E79" w:rsidRDefault="00000000">
            <w:pPr>
              <w:spacing w:line="200" w:lineRule="auto"/>
              <w:jc w:val="center"/>
            </w:pPr>
            <w:r>
              <w:rPr>
                <w:sz w:val="15"/>
                <w:szCs w:val="15"/>
              </w:rPr>
              <w:t>STM32H7</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3C3841" w14:textId="77777777" w:rsidR="00FB6E79" w:rsidRDefault="00000000">
            <w:pPr>
              <w:spacing w:line="200" w:lineRule="auto"/>
              <w:jc w:val="center"/>
            </w:pPr>
            <w:r>
              <w:rPr>
                <w:sz w:val="15"/>
                <w:szCs w:val="15"/>
              </w:rPr>
              <w:t>1MB SRAM</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146DEE4" w14:textId="77777777" w:rsidR="00FB6E79" w:rsidRDefault="00000000">
            <w:pPr>
              <w:spacing w:line="200" w:lineRule="auto"/>
              <w:jc w:val="center"/>
            </w:pPr>
            <w:r>
              <w:rPr>
                <w:sz w:val="15"/>
                <w:szCs w:val="15"/>
              </w:rPr>
              <w:t>INT8/FP</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E1CEE5" w14:textId="77777777" w:rsidR="00FB6E79" w:rsidRDefault="00000000">
            <w:pPr>
              <w:spacing w:line="200" w:lineRule="auto"/>
              <w:jc w:val="center"/>
            </w:pPr>
            <w:r>
              <w:rPr>
                <w:sz w:val="15"/>
                <w:szCs w:val="15"/>
              </w:rPr>
              <w:t>~300mW</w:t>
            </w:r>
          </w:p>
        </w:tc>
      </w:tr>
      <w:tr w:rsidR="00FB6E79" w14:paraId="43A8F1F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A9A1A15" w14:textId="77777777" w:rsidR="00FB6E79" w:rsidRDefault="00000000">
            <w:pPr>
              <w:spacing w:line="200" w:lineRule="auto"/>
              <w:jc w:val="center"/>
            </w:pPr>
            <w:r>
              <w:rPr>
                <w:sz w:val="15"/>
                <w:szCs w:val="15"/>
              </w:rPr>
              <w:t>Mobile NPU</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E741D0" w14:textId="77777777" w:rsidR="00FB6E79" w:rsidRDefault="00000000">
            <w:pPr>
              <w:spacing w:line="200" w:lineRule="auto"/>
              <w:jc w:val="center"/>
            </w:pPr>
            <w:r>
              <w:rPr>
                <w:sz w:val="15"/>
                <w:szCs w:val="15"/>
              </w:rPr>
              <w:t>6-12GB</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D4AC84" w14:textId="77777777" w:rsidR="00FB6E79" w:rsidRDefault="00000000">
            <w:pPr>
              <w:spacing w:line="200" w:lineRule="auto"/>
              <w:jc w:val="center"/>
            </w:pPr>
            <w:r>
              <w:rPr>
                <w:sz w:val="15"/>
                <w:szCs w:val="15"/>
              </w:rPr>
              <w:t>INT8/INT4</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7EB29A1" w14:textId="77777777" w:rsidR="00FB6E79" w:rsidRDefault="00000000">
            <w:pPr>
              <w:spacing w:line="200" w:lineRule="auto"/>
              <w:jc w:val="center"/>
            </w:pPr>
            <w:r>
              <w:rPr>
                <w:sz w:val="15"/>
                <w:szCs w:val="15"/>
              </w:rPr>
              <w:t>1-3W</w:t>
            </w:r>
          </w:p>
        </w:tc>
      </w:tr>
      <w:tr w:rsidR="00FB6E79" w14:paraId="0F43797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3582AFC" w14:textId="77777777" w:rsidR="00FB6E79" w:rsidRDefault="00000000">
            <w:pPr>
              <w:spacing w:line="200" w:lineRule="auto"/>
              <w:jc w:val="center"/>
            </w:pPr>
            <w:r>
              <w:rPr>
                <w:sz w:val="15"/>
                <w:szCs w:val="15"/>
              </w:rPr>
              <w:t>Jetson Orin</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875E89B" w14:textId="77777777" w:rsidR="00FB6E79" w:rsidRDefault="00000000">
            <w:pPr>
              <w:spacing w:line="200" w:lineRule="auto"/>
              <w:jc w:val="center"/>
            </w:pPr>
            <w:r>
              <w:rPr>
                <w:sz w:val="15"/>
                <w:szCs w:val="15"/>
              </w:rPr>
              <w:t>8-64GB</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E693ABB" w14:textId="77777777" w:rsidR="00FB6E79" w:rsidRDefault="00000000">
            <w:pPr>
              <w:spacing w:line="200" w:lineRule="auto"/>
              <w:jc w:val="center"/>
            </w:pPr>
            <w:r>
              <w:rPr>
                <w:sz w:val="15"/>
                <w:szCs w:val="15"/>
              </w:rPr>
              <w:t>INT8/FP16</w:t>
            </w:r>
          </w:p>
        </w:tc>
        <w:tc>
          <w:tcPr>
            <w:tcW w:w="0" w:type="auto"/>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5FEE928" w14:textId="77777777" w:rsidR="00FB6E79" w:rsidRDefault="00000000">
            <w:pPr>
              <w:spacing w:line="200" w:lineRule="auto"/>
              <w:jc w:val="center"/>
            </w:pPr>
            <w:r>
              <w:rPr>
                <w:sz w:val="15"/>
                <w:szCs w:val="15"/>
              </w:rPr>
              <w:t>15-60W</w:t>
            </w:r>
          </w:p>
        </w:tc>
      </w:tr>
    </w:tbl>
    <w:p w14:paraId="2A97FDE9" w14:textId="77777777" w:rsidR="00FB6E79" w:rsidRDefault="00FB6E79">
      <w:pPr>
        <w:spacing w:after="40" w:line="228" w:lineRule="auto"/>
        <w:jc w:val="both"/>
      </w:pPr>
    </w:p>
    <w:p w14:paraId="23F49D27" w14:textId="77777777" w:rsidR="00FB6E79" w:rsidRDefault="00000000">
      <w:pPr>
        <w:spacing w:before="120" w:after="40" w:line="228" w:lineRule="auto"/>
      </w:pPr>
      <w:r>
        <w:rPr>
          <w:i/>
          <w:iCs/>
        </w:rPr>
        <w:t>B. Quantization for Edge Deployment</w:t>
      </w:r>
    </w:p>
    <w:p w14:paraId="7A3D9BE9" w14:textId="77777777" w:rsidR="00FB6E79" w:rsidRDefault="00000000">
      <w:pPr>
        <w:spacing w:after="40" w:line="228" w:lineRule="auto"/>
        <w:jc w:val="both"/>
      </w:pPr>
      <w:r>
        <w:t>For platforms lacking native FP4 support, three software emulation strategies enable FP4-quantized model deployment [4], [15]. The dequantize-and-compute approach stores weights in FP4 format (achieving 4x memory reduction) but dequantizes to INT8 or FP16 before matrix multiplication. Since single-batch edge inference is predominantly memory-bandwidth-bound, the dequantization overhead is effectively free.</w:t>
      </w:r>
    </w:p>
    <w:p w14:paraId="28932312" w14:textId="77777777" w:rsidR="00FB6E79" w:rsidRDefault="00000000">
      <w:pPr>
        <w:spacing w:after="40" w:line="228" w:lineRule="auto"/>
        <w:ind w:firstLine="180"/>
        <w:jc w:val="both"/>
      </w:pPr>
      <w:r>
        <w:t>INT4 emulation maps the FP4 representable values to INT4 containers with appropriate scaling, leveraging existing INT4 hardware accelerators on mobile NPUs. Lookup-table (LUT) acceleration exploits the fact that FP4 has only 16 possible values, enabling precomputation of all 256 pairwise products in a compact 16×16 table [4]. This approach is particularly efficient on microcontrollers where the LUT fits entirely in L1 cache.</w:t>
      </w:r>
    </w:p>
    <w:p w14:paraId="2FB532E5" w14:textId="77777777" w:rsidR="00FB6E79" w:rsidRDefault="00000000">
      <w:pPr>
        <w:spacing w:before="120" w:after="40" w:line="228" w:lineRule="auto"/>
      </w:pPr>
      <w:r>
        <w:rPr>
          <w:i/>
          <w:iCs/>
        </w:rPr>
        <w:t>C. Software Frameworks and Toolchains</w:t>
      </w:r>
    </w:p>
    <w:p w14:paraId="556E4E5C" w14:textId="77777777" w:rsidR="00FB6E79" w:rsidRDefault="00000000">
      <w:pPr>
        <w:spacing w:after="40" w:line="228" w:lineRule="auto"/>
        <w:jc w:val="both"/>
      </w:pPr>
      <w:r>
        <w:t xml:space="preserve">The </w:t>
      </w:r>
      <w:proofErr w:type="spellStart"/>
      <w:r>
        <w:t>TinyML</w:t>
      </w:r>
      <w:proofErr w:type="spellEnd"/>
      <w:r>
        <w:t xml:space="preserve"> ecosystem provides several mature frameworks for edge deployment. TensorFlow Lite Micro supports INT8 quantized models on Cortex-M microcontrollers with automatic operator fusion and memory planning [5]. The ONNX Runtime Mobile provides cross-platform inference with INT4 support, while frameworks such as llama.cpp and </w:t>
      </w:r>
      <w:proofErr w:type="spellStart"/>
      <w:r>
        <w:t>Ollama</w:t>
      </w:r>
      <w:proofErr w:type="spellEnd"/>
      <w:r>
        <w:t xml:space="preserve"> have democratized on-device LLM deployment on consumer hardware [15].</w:t>
      </w:r>
    </w:p>
    <w:p w14:paraId="03C11118" w14:textId="77777777" w:rsidR="00FB6E79" w:rsidRDefault="00000000">
      <w:pPr>
        <w:spacing w:after="40" w:line="228" w:lineRule="auto"/>
        <w:ind w:firstLine="180"/>
        <w:jc w:val="both"/>
      </w:pPr>
      <w:r>
        <w:t xml:space="preserve">For vision-specific deployment, </w:t>
      </w:r>
      <w:proofErr w:type="spellStart"/>
      <w:r>
        <w:t>EfficientViT</w:t>
      </w:r>
      <w:proofErr w:type="spellEnd"/>
      <w:r>
        <w:t xml:space="preserve"> and </w:t>
      </w:r>
      <w:proofErr w:type="spellStart"/>
      <w:r>
        <w:t>MobileViT</w:t>
      </w:r>
      <w:proofErr w:type="spellEnd"/>
      <w:r>
        <w:t xml:space="preserve"> architectures have demonstrated that vision transformers can achieve competitive accuracy on edge devices when combined with appropriate quantization [16]. </w:t>
      </w:r>
      <w:proofErr w:type="spellStart"/>
      <w:r>
        <w:t>MCUNet</w:t>
      </w:r>
      <w:proofErr w:type="spellEnd"/>
      <w:r>
        <w:t xml:space="preserve"> and </w:t>
      </w:r>
      <w:proofErr w:type="spellStart"/>
      <w:r>
        <w:t>TinyNAS</w:t>
      </w:r>
      <w:proofErr w:type="spellEnd"/>
      <w:r>
        <w:t xml:space="preserve"> employ neural architecture search co-optimized with deployment constraints to automatically discover architectures suited to specific microcontroller targets [17].</w:t>
      </w:r>
    </w:p>
    <w:p w14:paraId="20B967E3" w14:textId="77777777" w:rsidR="00FB6E79" w:rsidRDefault="00000000">
      <w:pPr>
        <w:spacing w:before="120" w:after="40" w:line="228" w:lineRule="auto"/>
      </w:pPr>
      <w:r>
        <w:rPr>
          <w:i/>
          <w:iCs/>
        </w:rPr>
        <w:t>D. Hierarchical Edge Inference</w:t>
      </w:r>
    </w:p>
    <w:p w14:paraId="03D342B7" w14:textId="77777777" w:rsidR="00FB6E79" w:rsidRDefault="00000000">
      <w:pPr>
        <w:spacing w:after="40" w:line="228" w:lineRule="auto"/>
        <w:jc w:val="both"/>
      </w:pPr>
      <w:r>
        <w:t>An emerging paradigm in edge deployment is hierarchical inference, where lightweight triage models on low-power devices filter inputs before invoking more capable models on higher-tier hardware [18]. For instance, a sub-1M parameter vision transformer quantized to FP4 on a microcontroller can perform binary classification (healthy/unhealthy), only invoking a 3B-parameter vision-language model on a smartphone when anomalies are detected. This approach reduces average power consumption by orders of magnitude while maintaining diagnostic accuracy.</w:t>
      </w:r>
    </w:p>
    <w:p w14:paraId="5AB31263" w14:textId="77777777" w:rsidR="00FB6E79" w:rsidRDefault="00000000">
      <w:pPr>
        <w:spacing w:before="160" w:after="80"/>
        <w:jc w:val="center"/>
      </w:pPr>
      <w:r>
        <w:rPr>
          <w:b/>
          <w:bCs/>
          <w:sz w:val="20"/>
          <w:szCs w:val="20"/>
        </w:rPr>
        <w:t>V. OPEN RESEARCH DIRECTIONS</w:t>
      </w:r>
    </w:p>
    <w:p w14:paraId="22D54ABD" w14:textId="77777777" w:rsidR="00FB6E79" w:rsidRDefault="00000000">
      <w:pPr>
        <w:spacing w:after="40" w:line="228" w:lineRule="auto"/>
        <w:jc w:val="both"/>
      </w:pPr>
      <w:r>
        <w:t xml:space="preserve">Several critical gaps remain at the intersection of quantization research and edge deployment. First, MR-GPTQ and </w:t>
      </w:r>
      <w:proofErr w:type="spellStart"/>
      <w:r>
        <w:t>microscaling</w:t>
      </w:r>
      <w:proofErr w:type="spellEnd"/>
      <w:r>
        <w:t xml:space="preserve"> FP4 formats have been evaluated exclusively on decoder-only language models. Vision transformers exhibit fundamentally different weight and activation distributions due to spatial correlations, multi-head attention variance across spatial positions, and cross-modal bridges in vision-language models [4]. Extending MR-GPTQ to these architectures </w:t>
      </w:r>
      <w:r>
        <w:lastRenderedPageBreak/>
        <w:t>requires spatially-aware activation reordering and per-stage scale optimization strategies that do not yet exist.</w:t>
      </w:r>
    </w:p>
    <w:p w14:paraId="6BA10847" w14:textId="77777777" w:rsidR="00FB6E79" w:rsidRDefault="00000000">
      <w:pPr>
        <w:spacing w:after="40" w:line="228" w:lineRule="auto"/>
        <w:ind w:firstLine="180"/>
        <w:jc w:val="both"/>
      </w:pPr>
      <w:r>
        <w:t>Second, hybrid INT/FP quantization schemes that exploit the complementary error characteristics of uniform integer and non-uniform floating-point grids remain largely unexplored. Per-layer format selection—using FP4 for layers with heavy-tailed distributions and INT4 for layers with more uniform distributions—could yield superior accuracy-efficiency tradeoffs compared to single-format approaches [4], [3].</w:t>
      </w:r>
    </w:p>
    <w:p w14:paraId="1BC780E9" w14:textId="77777777" w:rsidR="00FB6E79" w:rsidRDefault="00000000">
      <w:pPr>
        <w:spacing w:after="40" w:line="228" w:lineRule="auto"/>
        <w:ind w:firstLine="180"/>
        <w:jc w:val="both"/>
      </w:pPr>
      <w:r>
        <w:t xml:space="preserve">Third, the agricultural monitoring domain presents a compelling application case where edge-quantized vision transformers could provide significant real-world impact. Existing </w:t>
      </w:r>
      <w:proofErr w:type="spellStart"/>
      <w:r>
        <w:t>TinyML</w:t>
      </w:r>
      <w:proofErr w:type="spellEnd"/>
      <w:r>
        <w:t xml:space="preserve"> agricultural systems rely primarily on INT8-quantized CNNs [19]. Combining FP4 quantization with vision transformers for multi-crop health monitoring—particularly in developing regions where agronomists are scarce but smartphones are widely available—represents an underexplored opportunity [20].</w:t>
      </w:r>
    </w:p>
    <w:p w14:paraId="4FA91A86" w14:textId="77777777" w:rsidR="00FB6E79" w:rsidRDefault="00000000">
      <w:pPr>
        <w:spacing w:after="40" w:line="228" w:lineRule="auto"/>
        <w:ind w:firstLine="180"/>
        <w:jc w:val="both"/>
      </w:pPr>
      <w:r>
        <w:t>Finally, the lack of standardized benchmarks for evaluating quantized model performance across the full spectrum of edge hardware—from microcontrollers to embedded GPUs—hinders reproducible comparison of quantization techniques in deployment contexts [6], [14].</w:t>
      </w:r>
    </w:p>
    <w:p w14:paraId="256B6325" w14:textId="77777777" w:rsidR="00FB6E79" w:rsidRDefault="00000000">
      <w:pPr>
        <w:spacing w:before="160" w:after="80"/>
        <w:jc w:val="center"/>
      </w:pPr>
      <w:r>
        <w:rPr>
          <w:b/>
          <w:bCs/>
          <w:sz w:val="20"/>
          <w:szCs w:val="20"/>
        </w:rPr>
        <w:t>VI. CONCLUSION</w:t>
      </w:r>
    </w:p>
    <w:p w14:paraId="23C73B77" w14:textId="77777777" w:rsidR="00FB6E79" w:rsidRDefault="00000000">
      <w:pPr>
        <w:spacing w:after="40" w:line="228" w:lineRule="auto"/>
        <w:jc w:val="both"/>
      </w:pPr>
      <w:r>
        <w:t xml:space="preserve">This review has surveyed the landscape of neural network quantization from foundational integer methods through the state-of-the-art MR-GPTQ algorithm for </w:t>
      </w:r>
      <w:proofErr w:type="spellStart"/>
      <w:r>
        <w:t>microscaling</w:t>
      </w:r>
      <w:proofErr w:type="spellEnd"/>
      <w:r>
        <w:t xml:space="preserve"> FP4 formats, to practical edge deployment strategies. The field has progressed from simple round-to-nearest quantization to sophisticated format-specialized algorithms that exploit second-order error compensation, distribution-aware rotations, and MSE-optimized quantization grids.</w:t>
      </w:r>
    </w:p>
    <w:p w14:paraId="2D410079" w14:textId="77777777" w:rsidR="00FB6E79" w:rsidRDefault="00000000">
      <w:pPr>
        <w:spacing w:after="40" w:line="228" w:lineRule="auto"/>
        <w:ind w:firstLine="180"/>
        <w:jc w:val="both"/>
      </w:pPr>
      <w:r>
        <w:t>MR-GPTQ represents a paradigm shift from generic quantization toward format-aware algorithm design, demonstrating that the transition from integer to floating-point quantization formats requires fundamentally rethinking the quantization pipeline. The key insight that FP4 is not a drop-in replacement for INT4 but rather a new design primitive has implications that extend beyond language models to vision, multimodal, and edge-deployed architectures.</w:t>
      </w:r>
    </w:p>
    <w:p w14:paraId="31BBFD4C" w14:textId="77777777" w:rsidR="00FB6E79" w:rsidRDefault="00000000">
      <w:pPr>
        <w:spacing w:after="40" w:line="228" w:lineRule="auto"/>
        <w:ind w:firstLine="180"/>
        <w:jc w:val="both"/>
      </w:pPr>
      <w:r>
        <w:t>The convergence of aggressive sub-4-bit quantization with increasingly capable edge hardware creates unprecedented opportunities for deploying sophisticated AI systems in resource-constrained environments. Future work extending FP4 quantization to vision transformers and vision-language models for practical applications such as agricultural monitoring and robotics will be essential to realize this potential.</w:t>
      </w:r>
    </w:p>
    <w:p w14:paraId="13F11033" w14:textId="77777777" w:rsidR="00FB6E79" w:rsidRDefault="00000000">
      <w:pPr>
        <w:spacing w:before="160" w:after="80"/>
        <w:jc w:val="center"/>
      </w:pPr>
      <w:r>
        <w:rPr>
          <w:b/>
          <w:bCs/>
          <w:sz w:val="20"/>
          <w:szCs w:val="20"/>
        </w:rPr>
        <w:t>REFERENCES</w:t>
      </w:r>
    </w:p>
    <w:p w14:paraId="220721DC" w14:textId="77777777" w:rsidR="00FB6E79" w:rsidRDefault="00000000">
      <w:pPr>
        <w:spacing w:after="20" w:line="200" w:lineRule="auto"/>
        <w:ind w:left="200" w:hanging="200"/>
        <w:jc w:val="both"/>
      </w:pPr>
      <w:r>
        <w:rPr>
          <w:sz w:val="15"/>
          <w:szCs w:val="15"/>
        </w:rPr>
        <w:t xml:space="preserve">[1] A. </w:t>
      </w:r>
      <w:proofErr w:type="spellStart"/>
      <w:r>
        <w:rPr>
          <w:sz w:val="15"/>
          <w:szCs w:val="15"/>
        </w:rPr>
        <w:t>Gholami</w:t>
      </w:r>
      <w:proofErr w:type="spellEnd"/>
      <w:r>
        <w:rPr>
          <w:sz w:val="15"/>
          <w:szCs w:val="15"/>
        </w:rPr>
        <w:t xml:space="preserve">, S. Kim, Z. Dong, Z. Yao, M. W. Mahoney, and K. </w:t>
      </w:r>
      <w:proofErr w:type="spellStart"/>
      <w:r>
        <w:rPr>
          <w:sz w:val="15"/>
          <w:szCs w:val="15"/>
        </w:rPr>
        <w:t>Keutzer</w:t>
      </w:r>
      <w:proofErr w:type="spellEnd"/>
      <w:r>
        <w:rPr>
          <w:sz w:val="15"/>
          <w:szCs w:val="15"/>
        </w:rPr>
        <w:t xml:space="preserve">, “A survey of quantization methods for efficient neural network inference,” in </w:t>
      </w:r>
      <w:r>
        <w:rPr>
          <w:i/>
          <w:iCs/>
          <w:sz w:val="15"/>
          <w:szCs w:val="15"/>
        </w:rPr>
        <w:t>Low-Power Computer Vision</w:t>
      </w:r>
      <w:r>
        <w:rPr>
          <w:sz w:val="15"/>
          <w:szCs w:val="15"/>
        </w:rPr>
        <w:t>. Chapman and Hall/CRC, 2022, pp. 291–326.</w:t>
      </w:r>
    </w:p>
    <w:p w14:paraId="06AACAA5" w14:textId="77777777" w:rsidR="00FB6E79" w:rsidRDefault="00000000">
      <w:pPr>
        <w:spacing w:after="20" w:line="200" w:lineRule="auto"/>
        <w:ind w:left="200" w:hanging="200"/>
        <w:jc w:val="both"/>
      </w:pPr>
      <w:r>
        <w:rPr>
          <w:sz w:val="15"/>
          <w:szCs w:val="15"/>
        </w:rPr>
        <w:t xml:space="preserve">[2] P. P. Ray, “A review on </w:t>
      </w:r>
      <w:proofErr w:type="spellStart"/>
      <w:r>
        <w:rPr>
          <w:sz w:val="15"/>
          <w:szCs w:val="15"/>
        </w:rPr>
        <w:t>TinyML</w:t>
      </w:r>
      <w:proofErr w:type="spellEnd"/>
      <w:r>
        <w:rPr>
          <w:sz w:val="15"/>
          <w:szCs w:val="15"/>
        </w:rPr>
        <w:t xml:space="preserve">: State-of-the-art and prospects,” </w:t>
      </w:r>
      <w:r>
        <w:rPr>
          <w:i/>
          <w:iCs/>
          <w:sz w:val="15"/>
          <w:szCs w:val="15"/>
        </w:rPr>
        <w:t xml:space="preserve">J. King Saud Univ. </w:t>
      </w:r>
      <w:proofErr w:type="spellStart"/>
      <w:r>
        <w:rPr>
          <w:i/>
          <w:iCs/>
          <w:sz w:val="15"/>
          <w:szCs w:val="15"/>
        </w:rPr>
        <w:t>Comput</w:t>
      </w:r>
      <w:proofErr w:type="spellEnd"/>
      <w:r>
        <w:rPr>
          <w:i/>
          <w:iCs/>
          <w:sz w:val="15"/>
          <w:szCs w:val="15"/>
        </w:rPr>
        <w:t>. Inf. Sci.</w:t>
      </w:r>
      <w:r>
        <w:rPr>
          <w:sz w:val="15"/>
          <w:szCs w:val="15"/>
        </w:rPr>
        <w:t>, vol. 34, no. 4, pp. 1595–1623, 2022.</w:t>
      </w:r>
    </w:p>
    <w:p w14:paraId="612CC79F" w14:textId="77777777" w:rsidR="00FB6E79" w:rsidRDefault="00000000">
      <w:pPr>
        <w:spacing w:after="20" w:line="200" w:lineRule="auto"/>
        <w:ind w:left="200" w:hanging="200"/>
        <w:jc w:val="both"/>
      </w:pPr>
      <w:r>
        <w:rPr>
          <w:sz w:val="15"/>
          <w:szCs w:val="15"/>
        </w:rPr>
        <w:t xml:space="preserve">[3] A. </w:t>
      </w:r>
      <w:proofErr w:type="spellStart"/>
      <w:r>
        <w:rPr>
          <w:sz w:val="15"/>
          <w:szCs w:val="15"/>
        </w:rPr>
        <w:t>Gholami</w:t>
      </w:r>
      <w:proofErr w:type="spellEnd"/>
      <w:r>
        <w:rPr>
          <w:sz w:val="15"/>
          <w:szCs w:val="15"/>
        </w:rPr>
        <w:t xml:space="preserve">, S. Kim, Z. Dong, Z. Yao, M. W. Mahoney, and K. </w:t>
      </w:r>
      <w:proofErr w:type="spellStart"/>
      <w:r>
        <w:rPr>
          <w:sz w:val="15"/>
          <w:szCs w:val="15"/>
        </w:rPr>
        <w:t>Keutzer</w:t>
      </w:r>
      <w:proofErr w:type="spellEnd"/>
      <w:r>
        <w:rPr>
          <w:sz w:val="15"/>
          <w:szCs w:val="15"/>
        </w:rPr>
        <w:t xml:space="preserve">, “A survey of quantization methods for efficient neural network inference,” </w:t>
      </w:r>
      <w:proofErr w:type="spellStart"/>
      <w:r>
        <w:rPr>
          <w:i/>
          <w:iCs/>
          <w:sz w:val="15"/>
          <w:szCs w:val="15"/>
        </w:rPr>
        <w:t>arXiv</w:t>
      </w:r>
      <w:proofErr w:type="spellEnd"/>
      <w:r>
        <w:rPr>
          <w:i/>
          <w:iCs/>
          <w:sz w:val="15"/>
          <w:szCs w:val="15"/>
        </w:rPr>
        <w:t xml:space="preserve"> preprint arXiv:2103.13630</w:t>
      </w:r>
      <w:r>
        <w:rPr>
          <w:sz w:val="15"/>
          <w:szCs w:val="15"/>
        </w:rPr>
        <w:t>, 2021.</w:t>
      </w:r>
    </w:p>
    <w:p w14:paraId="0DF31AFF" w14:textId="77777777" w:rsidR="00FB6E79" w:rsidRDefault="00000000">
      <w:pPr>
        <w:spacing w:after="20" w:line="200" w:lineRule="auto"/>
        <w:ind w:left="200" w:hanging="200"/>
        <w:jc w:val="both"/>
      </w:pPr>
      <w:r>
        <w:rPr>
          <w:sz w:val="15"/>
          <w:szCs w:val="15"/>
        </w:rPr>
        <w:t xml:space="preserve">[4] V. </w:t>
      </w:r>
      <w:proofErr w:type="spellStart"/>
      <w:r>
        <w:rPr>
          <w:sz w:val="15"/>
          <w:szCs w:val="15"/>
        </w:rPr>
        <w:t>Egiazarian</w:t>
      </w:r>
      <w:proofErr w:type="spellEnd"/>
      <w:r>
        <w:rPr>
          <w:sz w:val="15"/>
          <w:szCs w:val="15"/>
        </w:rPr>
        <w:t xml:space="preserve">, R. L. Castro, D. </w:t>
      </w:r>
      <w:proofErr w:type="spellStart"/>
      <w:r>
        <w:rPr>
          <w:sz w:val="15"/>
          <w:szCs w:val="15"/>
        </w:rPr>
        <w:t>Kuznedelev</w:t>
      </w:r>
      <w:proofErr w:type="spellEnd"/>
      <w:r>
        <w:rPr>
          <w:sz w:val="15"/>
          <w:szCs w:val="15"/>
        </w:rPr>
        <w:t xml:space="preserve"> et al., “Bridging the gap between promise and performance for </w:t>
      </w:r>
      <w:proofErr w:type="spellStart"/>
      <w:r>
        <w:rPr>
          <w:sz w:val="15"/>
          <w:szCs w:val="15"/>
        </w:rPr>
        <w:t>microscaling</w:t>
      </w:r>
      <w:proofErr w:type="spellEnd"/>
      <w:r>
        <w:rPr>
          <w:sz w:val="15"/>
          <w:szCs w:val="15"/>
        </w:rPr>
        <w:t xml:space="preserve"> FP4 quantization,” </w:t>
      </w:r>
      <w:proofErr w:type="spellStart"/>
      <w:r>
        <w:rPr>
          <w:i/>
          <w:iCs/>
          <w:sz w:val="15"/>
          <w:szCs w:val="15"/>
        </w:rPr>
        <w:t>arXiv</w:t>
      </w:r>
      <w:proofErr w:type="spellEnd"/>
      <w:r>
        <w:rPr>
          <w:i/>
          <w:iCs/>
          <w:sz w:val="15"/>
          <w:szCs w:val="15"/>
        </w:rPr>
        <w:t xml:space="preserve"> preprint arXiv:2509.23202</w:t>
      </w:r>
      <w:r>
        <w:rPr>
          <w:sz w:val="15"/>
          <w:szCs w:val="15"/>
        </w:rPr>
        <w:t>, 2025.</w:t>
      </w:r>
    </w:p>
    <w:p w14:paraId="425F6242" w14:textId="77777777" w:rsidR="00FB6E79" w:rsidRDefault="00000000">
      <w:pPr>
        <w:spacing w:after="20" w:line="200" w:lineRule="auto"/>
        <w:ind w:left="200" w:hanging="200"/>
        <w:jc w:val="both"/>
      </w:pPr>
      <w:r>
        <w:rPr>
          <w:sz w:val="15"/>
          <w:szCs w:val="15"/>
        </w:rPr>
        <w:t xml:space="preserve">[5] P. Warden and D. </w:t>
      </w:r>
      <w:proofErr w:type="spellStart"/>
      <w:r>
        <w:rPr>
          <w:sz w:val="15"/>
          <w:szCs w:val="15"/>
        </w:rPr>
        <w:t>Situnayake</w:t>
      </w:r>
      <w:proofErr w:type="spellEnd"/>
      <w:r>
        <w:rPr>
          <w:sz w:val="15"/>
          <w:szCs w:val="15"/>
        </w:rPr>
        <w:t xml:space="preserve">, </w:t>
      </w:r>
      <w:proofErr w:type="spellStart"/>
      <w:r>
        <w:rPr>
          <w:i/>
          <w:iCs/>
          <w:sz w:val="15"/>
          <w:szCs w:val="15"/>
        </w:rPr>
        <w:t>TinyML</w:t>
      </w:r>
      <w:proofErr w:type="spellEnd"/>
      <w:r>
        <w:rPr>
          <w:i/>
          <w:iCs/>
          <w:sz w:val="15"/>
          <w:szCs w:val="15"/>
        </w:rPr>
        <w:t>: Machine Learning with TensorFlow Lite on Arduino and Ultra-Low-Power Microcontrollers</w:t>
      </w:r>
      <w:r>
        <w:rPr>
          <w:sz w:val="15"/>
          <w:szCs w:val="15"/>
        </w:rPr>
        <w:t>. O’Reilly Media, 2019.</w:t>
      </w:r>
    </w:p>
    <w:p w14:paraId="60494B9A" w14:textId="77777777" w:rsidR="00FB6E79" w:rsidRDefault="00000000">
      <w:pPr>
        <w:spacing w:after="20" w:line="200" w:lineRule="auto"/>
        <w:ind w:left="200" w:hanging="200"/>
        <w:jc w:val="both"/>
      </w:pPr>
      <w:r>
        <w:rPr>
          <w:sz w:val="15"/>
          <w:szCs w:val="15"/>
        </w:rPr>
        <w:t xml:space="preserve">[6] Y. </w:t>
      </w:r>
      <w:proofErr w:type="spellStart"/>
      <w:r>
        <w:rPr>
          <w:sz w:val="15"/>
          <w:szCs w:val="15"/>
        </w:rPr>
        <w:t>Abadade</w:t>
      </w:r>
      <w:proofErr w:type="spellEnd"/>
      <w:r>
        <w:rPr>
          <w:sz w:val="15"/>
          <w:szCs w:val="15"/>
        </w:rPr>
        <w:t xml:space="preserve"> et al., “A comprehensive survey on </w:t>
      </w:r>
      <w:proofErr w:type="spellStart"/>
      <w:r>
        <w:rPr>
          <w:sz w:val="15"/>
          <w:szCs w:val="15"/>
        </w:rPr>
        <w:t>TinyML</w:t>
      </w:r>
      <w:proofErr w:type="spellEnd"/>
      <w:r>
        <w:rPr>
          <w:sz w:val="15"/>
          <w:szCs w:val="15"/>
        </w:rPr>
        <w:t xml:space="preserve">,” </w:t>
      </w:r>
      <w:r>
        <w:rPr>
          <w:i/>
          <w:iCs/>
          <w:sz w:val="15"/>
          <w:szCs w:val="15"/>
        </w:rPr>
        <w:t>IEEE Access</w:t>
      </w:r>
      <w:r>
        <w:rPr>
          <w:sz w:val="15"/>
          <w:szCs w:val="15"/>
        </w:rPr>
        <w:t>, 2023.</w:t>
      </w:r>
    </w:p>
    <w:p w14:paraId="76E633AD" w14:textId="77777777" w:rsidR="00FB6E79" w:rsidRDefault="00000000">
      <w:pPr>
        <w:spacing w:after="20" w:line="200" w:lineRule="auto"/>
        <w:ind w:left="200" w:hanging="200"/>
        <w:jc w:val="both"/>
      </w:pPr>
      <w:r>
        <w:rPr>
          <w:sz w:val="15"/>
          <w:szCs w:val="15"/>
        </w:rPr>
        <w:t xml:space="preserve">[7] E. </w:t>
      </w:r>
      <w:proofErr w:type="spellStart"/>
      <w:r>
        <w:rPr>
          <w:sz w:val="15"/>
          <w:szCs w:val="15"/>
        </w:rPr>
        <w:t>Frantar</w:t>
      </w:r>
      <w:proofErr w:type="spellEnd"/>
      <w:r>
        <w:rPr>
          <w:sz w:val="15"/>
          <w:szCs w:val="15"/>
        </w:rPr>
        <w:t xml:space="preserve">, S. </w:t>
      </w:r>
      <w:proofErr w:type="spellStart"/>
      <w:r>
        <w:rPr>
          <w:sz w:val="15"/>
          <w:szCs w:val="15"/>
        </w:rPr>
        <w:t>Ashkboos</w:t>
      </w:r>
      <w:proofErr w:type="spellEnd"/>
      <w:r>
        <w:rPr>
          <w:sz w:val="15"/>
          <w:szCs w:val="15"/>
        </w:rPr>
        <w:t xml:space="preserve">, T. </w:t>
      </w:r>
      <w:proofErr w:type="spellStart"/>
      <w:r>
        <w:rPr>
          <w:sz w:val="15"/>
          <w:szCs w:val="15"/>
        </w:rPr>
        <w:t>Hoefler</w:t>
      </w:r>
      <w:proofErr w:type="spellEnd"/>
      <w:r>
        <w:rPr>
          <w:sz w:val="15"/>
          <w:szCs w:val="15"/>
        </w:rPr>
        <w:t xml:space="preserve">, and D. </w:t>
      </w:r>
      <w:proofErr w:type="spellStart"/>
      <w:r>
        <w:rPr>
          <w:sz w:val="15"/>
          <w:szCs w:val="15"/>
        </w:rPr>
        <w:t>Alistarh</w:t>
      </w:r>
      <w:proofErr w:type="spellEnd"/>
      <w:r>
        <w:rPr>
          <w:sz w:val="15"/>
          <w:szCs w:val="15"/>
        </w:rPr>
        <w:t xml:space="preserve">, “GPTQ: Accurate post-training quantization for generative pre-trained transformers,” in </w:t>
      </w:r>
      <w:r>
        <w:rPr>
          <w:i/>
          <w:iCs/>
          <w:sz w:val="15"/>
          <w:szCs w:val="15"/>
        </w:rPr>
        <w:t>Proc. Int. Conf. Learn. Represent. (ICLR)</w:t>
      </w:r>
      <w:r>
        <w:rPr>
          <w:sz w:val="15"/>
          <w:szCs w:val="15"/>
        </w:rPr>
        <w:t>, 2023.</w:t>
      </w:r>
    </w:p>
    <w:p w14:paraId="785960CA" w14:textId="77777777" w:rsidR="00FB6E79" w:rsidRDefault="00000000">
      <w:pPr>
        <w:spacing w:after="20" w:line="200" w:lineRule="auto"/>
        <w:ind w:left="200" w:hanging="200"/>
        <w:jc w:val="both"/>
      </w:pPr>
      <w:r>
        <w:rPr>
          <w:sz w:val="15"/>
          <w:szCs w:val="15"/>
        </w:rPr>
        <w:t xml:space="preserve">[8] J. Lin, J. Tang, H. Tang et al., “AWQ: Activation-aware weight quantization for LLM compression and acceleration,” in </w:t>
      </w:r>
      <w:r>
        <w:rPr>
          <w:i/>
          <w:iCs/>
          <w:sz w:val="15"/>
          <w:szCs w:val="15"/>
        </w:rPr>
        <w:t>Proc. Mach. Learn. Syst. (</w:t>
      </w:r>
      <w:proofErr w:type="spellStart"/>
      <w:r>
        <w:rPr>
          <w:i/>
          <w:iCs/>
          <w:sz w:val="15"/>
          <w:szCs w:val="15"/>
        </w:rPr>
        <w:t>MLSys</w:t>
      </w:r>
      <w:proofErr w:type="spellEnd"/>
      <w:r>
        <w:rPr>
          <w:i/>
          <w:iCs/>
          <w:sz w:val="15"/>
          <w:szCs w:val="15"/>
        </w:rPr>
        <w:t>)</w:t>
      </w:r>
      <w:r>
        <w:rPr>
          <w:sz w:val="15"/>
          <w:szCs w:val="15"/>
        </w:rPr>
        <w:t>, 2024.</w:t>
      </w:r>
    </w:p>
    <w:p w14:paraId="17E329C9" w14:textId="77777777" w:rsidR="00FB6E79" w:rsidRDefault="00000000">
      <w:pPr>
        <w:spacing w:after="20" w:line="200" w:lineRule="auto"/>
        <w:ind w:left="200" w:hanging="200"/>
        <w:jc w:val="both"/>
      </w:pPr>
      <w:r>
        <w:rPr>
          <w:sz w:val="15"/>
          <w:szCs w:val="15"/>
        </w:rPr>
        <w:t xml:space="preserve">[9] G. Xiao, J. Lin, M. </w:t>
      </w:r>
      <w:proofErr w:type="spellStart"/>
      <w:r>
        <w:rPr>
          <w:sz w:val="15"/>
          <w:szCs w:val="15"/>
        </w:rPr>
        <w:t>Seznec</w:t>
      </w:r>
      <w:proofErr w:type="spellEnd"/>
      <w:r>
        <w:rPr>
          <w:sz w:val="15"/>
          <w:szCs w:val="15"/>
        </w:rPr>
        <w:t xml:space="preserve">, H. Wu, J. </w:t>
      </w:r>
      <w:proofErr w:type="spellStart"/>
      <w:r>
        <w:rPr>
          <w:sz w:val="15"/>
          <w:szCs w:val="15"/>
        </w:rPr>
        <w:t>Demouth</w:t>
      </w:r>
      <w:proofErr w:type="spellEnd"/>
      <w:r>
        <w:rPr>
          <w:sz w:val="15"/>
          <w:szCs w:val="15"/>
        </w:rPr>
        <w:t>, and S. Han, “</w:t>
      </w:r>
      <w:proofErr w:type="spellStart"/>
      <w:r>
        <w:rPr>
          <w:sz w:val="15"/>
          <w:szCs w:val="15"/>
        </w:rPr>
        <w:t>SmoothQuant</w:t>
      </w:r>
      <w:proofErr w:type="spellEnd"/>
      <w:r>
        <w:rPr>
          <w:sz w:val="15"/>
          <w:szCs w:val="15"/>
        </w:rPr>
        <w:t xml:space="preserve">: Accurate and efficient post-training quantization for large language models,” in </w:t>
      </w:r>
      <w:r>
        <w:rPr>
          <w:i/>
          <w:iCs/>
          <w:sz w:val="15"/>
          <w:szCs w:val="15"/>
        </w:rPr>
        <w:t>Proc. Int. Conf. Mach. Learn. (ICML)</w:t>
      </w:r>
      <w:r>
        <w:rPr>
          <w:sz w:val="15"/>
          <w:szCs w:val="15"/>
        </w:rPr>
        <w:t>, 2023, pp. 38087–38099.</w:t>
      </w:r>
    </w:p>
    <w:p w14:paraId="00C6B600" w14:textId="77777777" w:rsidR="00FB6E79" w:rsidRDefault="00000000">
      <w:pPr>
        <w:spacing w:after="20" w:line="200" w:lineRule="auto"/>
        <w:ind w:left="200" w:hanging="200"/>
        <w:jc w:val="both"/>
      </w:pPr>
      <w:r>
        <w:rPr>
          <w:sz w:val="15"/>
          <w:szCs w:val="15"/>
        </w:rPr>
        <w:t>[10] Z. Liu et al., “</w:t>
      </w:r>
      <w:proofErr w:type="spellStart"/>
      <w:r>
        <w:rPr>
          <w:sz w:val="15"/>
          <w:szCs w:val="15"/>
        </w:rPr>
        <w:t>SpinQuant</w:t>
      </w:r>
      <w:proofErr w:type="spellEnd"/>
      <w:r>
        <w:rPr>
          <w:sz w:val="15"/>
          <w:szCs w:val="15"/>
        </w:rPr>
        <w:t xml:space="preserve">: LLM quantization with learned rotations,” </w:t>
      </w:r>
      <w:proofErr w:type="spellStart"/>
      <w:r>
        <w:rPr>
          <w:i/>
          <w:iCs/>
          <w:sz w:val="15"/>
          <w:szCs w:val="15"/>
        </w:rPr>
        <w:t>arXiv</w:t>
      </w:r>
      <w:proofErr w:type="spellEnd"/>
      <w:r>
        <w:rPr>
          <w:i/>
          <w:iCs/>
          <w:sz w:val="15"/>
          <w:szCs w:val="15"/>
        </w:rPr>
        <w:t xml:space="preserve"> preprint arXiv:2405.16406</w:t>
      </w:r>
      <w:r>
        <w:rPr>
          <w:sz w:val="15"/>
          <w:szCs w:val="15"/>
        </w:rPr>
        <w:t>, 2024.</w:t>
      </w:r>
    </w:p>
    <w:p w14:paraId="6240D765" w14:textId="77777777" w:rsidR="00FB6E79" w:rsidRDefault="00000000">
      <w:pPr>
        <w:spacing w:after="20" w:line="200" w:lineRule="auto"/>
        <w:ind w:left="200" w:hanging="200"/>
        <w:jc w:val="both"/>
      </w:pPr>
      <w:r>
        <w:rPr>
          <w:sz w:val="15"/>
          <w:szCs w:val="15"/>
        </w:rPr>
        <w:t xml:space="preserve">[11] S. </w:t>
      </w:r>
      <w:proofErr w:type="spellStart"/>
      <w:r>
        <w:rPr>
          <w:sz w:val="15"/>
          <w:szCs w:val="15"/>
        </w:rPr>
        <w:t>Ashkboos</w:t>
      </w:r>
      <w:proofErr w:type="spellEnd"/>
      <w:r>
        <w:rPr>
          <w:sz w:val="15"/>
          <w:szCs w:val="15"/>
        </w:rPr>
        <w:t xml:space="preserve"> et al., “</w:t>
      </w:r>
      <w:proofErr w:type="spellStart"/>
      <w:r>
        <w:rPr>
          <w:sz w:val="15"/>
          <w:szCs w:val="15"/>
        </w:rPr>
        <w:t>QuaRot</w:t>
      </w:r>
      <w:proofErr w:type="spellEnd"/>
      <w:r>
        <w:rPr>
          <w:sz w:val="15"/>
          <w:szCs w:val="15"/>
        </w:rPr>
        <w:t xml:space="preserve">: Outlier-free 4-bit inference in rotated LLMs,” in </w:t>
      </w:r>
      <w:r>
        <w:rPr>
          <w:i/>
          <w:iCs/>
          <w:sz w:val="15"/>
          <w:szCs w:val="15"/>
        </w:rPr>
        <w:t>Proc. Int. Conf. Learn. Represent. (ICLR)</w:t>
      </w:r>
      <w:r>
        <w:rPr>
          <w:sz w:val="15"/>
          <w:szCs w:val="15"/>
        </w:rPr>
        <w:t>, 2024.</w:t>
      </w:r>
    </w:p>
    <w:p w14:paraId="6C941CC6" w14:textId="77777777" w:rsidR="00FB6E79" w:rsidRDefault="00000000">
      <w:pPr>
        <w:spacing w:after="20" w:line="200" w:lineRule="auto"/>
        <w:ind w:left="200" w:hanging="200"/>
        <w:jc w:val="both"/>
      </w:pPr>
      <w:r>
        <w:rPr>
          <w:sz w:val="15"/>
          <w:szCs w:val="15"/>
        </w:rPr>
        <w:t xml:space="preserve">[12] A. Tseng, T. Yu, and Y. Park, “Training LLMs with MXFP4,” </w:t>
      </w:r>
      <w:proofErr w:type="spellStart"/>
      <w:r>
        <w:rPr>
          <w:i/>
          <w:iCs/>
          <w:sz w:val="15"/>
          <w:szCs w:val="15"/>
        </w:rPr>
        <w:t>arXiv</w:t>
      </w:r>
      <w:proofErr w:type="spellEnd"/>
      <w:r>
        <w:rPr>
          <w:i/>
          <w:iCs/>
          <w:sz w:val="15"/>
          <w:szCs w:val="15"/>
        </w:rPr>
        <w:t xml:space="preserve"> preprint arXiv:2502.20586</w:t>
      </w:r>
      <w:r>
        <w:rPr>
          <w:sz w:val="15"/>
          <w:szCs w:val="15"/>
        </w:rPr>
        <w:t>, 2025.</w:t>
      </w:r>
    </w:p>
    <w:p w14:paraId="0920D07E" w14:textId="77777777" w:rsidR="00FB6E79" w:rsidRDefault="00000000">
      <w:pPr>
        <w:spacing w:after="20" w:line="200" w:lineRule="auto"/>
        <w:ind w:left="200" w:hanging="200"/>
        <w:jc w:val="both"/>
      </w:pPr>
      <w:r>
        <w:rPr>
          <w:sz w:val="15"/>
          <w:szCs w:val="15"/>
        </w:rPr>
        <w:t xml:space="preserve">[13] B. </w:t>
      </w:r>
      <w:proofErr w:type="spellStart"/>
      <w:r>
        <w:rPr>
          <w:sz w:val="15"/>
          <w:szCs w:val="15"/>
        </w:rPr>
        <w:t>Chmiel</w:t>
      </w:r>
      <w:proofErr w:type="spellEnd"/>
      <w:r>
        <w:rPr>
          <w:sz w:val="15"/>
          <w:szCs w:val="15"/>
        </w:rPr>
        <w:t xml:space="preserve"> et al., “Neural gradients are near-lognormal: Improved quantized and sparse training,” </w:t>
      </w:r>
      <w:proofErr w:type="spellStart"/>
      <w:r>
        <w:rPr>
          <w:i/>
          <w:iCs/>
          <w:sz w:val="15"/>
          <w:szCs w:val="15"/>
        </w:rPr>
        <w:t>arXiv</w:t>
      </w:r>
      <w:proofErr w:type="spellEnd"/>
      <w:r>
        <w:rPr>
          <w:i/>
          <w:iCs/>
          <w:sz w:val="15"/>
          <w:szCs w:val="15"/>
        </w:rPr>
        <w:t xml:space="preserve"> preprint arXiv:2006.08173</w:t>
      </w:r>
      <w:r>
        <w:rPr>
          <w:sz w:val="15"/>
          <w:szCs w:val="15"/>
        </w:rPr>
        <w:t>, 2020.</w:t>
      </w:r>
    </w:p>
    <w:p w14:paraId="4AEB2F4A" w14:textId="77777777" w:rsidR="00FB6E79" w:rsidRDefault="00000000">
      <w:pPr>
        <w:spacing w:after="20" w:line="200" w:lineRule="auto"/>
        <w:ind w:left="200" w:hanging="200"/>
        <w:jc w:val="both"/>
      </w:pPr>
      <w:r>
        <w:rPr>
          <w:sz w:val="15"/>
          <w:szCs w:val="15"/>
        </w:rPr>
        <w:t xml:space="preserve">[14] M. Y. Shabir, G. Torta, and F. Damiani, “Edge AI on constrained IoT devices: Quantization strategies for model optimization,” in </w:t>
      </w:r>
      <w:r>
        <w:rPr>
          <w:i/>
          <w:iCs/>
          <w:sz w:val="15"/>
          <w:szCs w:val="15"/>
        </w:rPr>
        <w:t xml:space="preserve">Proc. </w:t>
      </w:r>
      <w:proofErr w:type="spellStart"/>
      <w:r>
        <w:rPr>
          <w:i/>
          <w:iCs/>
          <w:sz w:val="15"/>
          <w:szCs w:val="15"/>
        </w:rPr>
        <w:t>IntelliSys</w:t>
      </w:r>
      <w:proofErr w:type="spellEnd"/>
      <w:r>
        <w:rPr>
          <w:sz w:val="15"/>
          <w:szCs w:val="15"/>
        </w:rPr>
        <w:t>, Springer, 2024, pp. 555–570.</w:t>
      </w:r>
    </w:p>
    <w:p w14:paraId="3B820898" w14:textId="77777777" w:rsidR="00FB6E79" w:rsidRDefault="00000000">
      <w:pPr>
        <w:spacing w:after="20" w:line="200" w:lineRule="auto"/>
        <w:ind w:left="200" w:hanging="200"/>
        <w:jc w:val="both"/>
      </w:pPr>
      <w:r>
        <w:rPr>
          <w:sz w:val="15"/>
          <w:szCs w:val="15"/>
        </w:rPr>
        <w:t>[15] R. Paul, “Edge deployment of LLMs and ML models: A review,” 2025. [Online].</w:t>
      </w:r>
    </w:p>
    <w:p w14:paraId="0690797A" w14:textId="77777777" w:rsidR="00FB6E79" w:rsidRDefault="00000000">
      <w:pPr>
        <w:spacing w:after="20" w:line="200" w:lineRule="auto"/>
        <w:ind w:left="200" w:hanging="200"/>
        <w:jc w:val="both"/>
      </w:pPr>
      <w:r>
        <w:rPr>
          <w:sz w:val="15"/>
          <w:szCs w:val="15"/>
        </w:rPr>
        <w:t>[16] X. Liu, H. Peng, N. Zheng et al., “</w:t>
      </w:r>
      <w:proofErr w:type="spellStart"/>
      <w:r>
        <w:rPr>
          <w:sz w:val="15"/>
          <w:szCs w:val="15"/>
        </w:rPr>
        <w:t>EfficientViT</w:t>
      </w:r>
      <w:proofErr w:type="spellEnd"/>
      <w:r>
        <w:rPr>
          <w:sz w:val="15"/>
          <w:szCs w:val="15"/>
        </w:rPr>
        <w:t xml:space="preserve">: Lightweight multi-scale attention for high-resolution dense prediction,” in </w:t>
      </w:r>
      <w:r>
        <w:rPr>
          <w:i/>
          <w:iCs/>
          <w:sz w:val="15"/>
          <w:szCs w:val="15"/>
        </w:rPr>
        <w:t xml:space="preserve">Proc. IEEE/CVF Int. Conf. </w:t>
      </w:r>
      <w:proofErr w:type="spellStart"/>
      <w:r>
        <w:rPr>
          <w:i/>
          <w:iCs/>
          <w:sz w:val="15"/>
          <w:szCs w:val="15"/>
        </w:rPr>
        <w:t>Comput</w:t>
      </w:r>
      <w:proofErr w:type="spellEnd"/>
      <w:r>
        <w:rPr>
          <w:i/>
          <w:iCs/>
          <w:sz w:val="15"/>
          <w:szCs w:val="15"/>
        </w:rPr>
        <w:t>. Vis. (ICCV)</w:t>
      </w:r>
      <w:r>
        <w:rPr>
          <w:sz w:val="15"/>
          <w:szCs w:val="15"/>
        </w:rPr>
        <w:t>, 2023.</w:t>
      </w:r>
    </w:p>
    <w:p w14:paraId="6F90F105" w14:textId="77777777" w:rsidR="00FB6E79" w:rsidRDefault="00000000">
      <w:pPr>
        <w:spacing w:after="20" w:line="200" w:lineRule="auto"/>
        <w:ind w:left="200" w:hanging="200"/>
        <w:jc w:val="both"/>
      </w:pPr>
      <w:r>
        <w:rPr>
          <w:sz w:val="15"/>
          <w:szCs w:val="15"/>
        </w:rPr>
        <w:t>[17] J. Lin, W.-M. Chen, Y. Lin, J. Cohn, C. Gan, and S. Han, “</w:t>
      </w:r>
      <w:proofErr w:type="spellStart"/>
      <w:r>
        <w:rPr>
          <w:sz w:val="15"/>
          <w:szCs w:val="15"/>
        </w:rPr>
        <w:t>MCUNet</w:t>
      </w:r>
      <w:proofErr w:type="spellEnd"/>
      <w:r>
        <w:rPr>
          <w:sz w:val="15"/>
          <w:szCs w:val="15"/>
        </w:rPr>
        <w:t xml:space="preserve">: Tiny deep learning on IoT devices,” in </w:t>
      </w:r>
      <w:r>
        <w:rPr>
          <w:i/>
          <w:iCs/>
          <w:sz w:val="15"/>
          <w:szCs w:val="15"/>
        </w:rPr>
        <w:t>Proc. Adv. Neural Inf. Process. Syst. (</w:t>
      </w:r>
      <w:proofErr w:type="spellStart"/>
      <w:r>
        <w:rPr>
          <w:i/>
          <w:iCs/>
          <w:sz w:val="15"/>
          <w:szCs w:val="15"/>
        </w:rPr>
        <w:t>NeurIPS</w:t>
      </w:r>
      <w:proofErr w:type="spellEnd"/>
      <w:r>
        <w:rPr>
          <w:i/>
          <w:iCs/>
          <w:sz w:val="15"/>
          <w:szCs w:val="15"/>
        </w:rPr>
        <w:t>)</w:t>
      </w:r>
      <w:r>
        <w:rPr>
          <w:sz w:val="15"/>
          <w:szCs w:val="15"/>
        </w:rPr>
        <w:t>, 2020.</w:t>
      </w:r>
    </w:p>
    <w:p w14:paraId="267B3365" w14:textId="77777777" w:rsidR="00FB6E79" w:rsidRDefault="00000000">
      <w:pPr>
        <w:spacing w:after="20" w:line="200" w:lineRule="auto"/>
        <w:ind w:left="200" w:hanging="200"/>
        <w:jc w:val="both"/>
      </w:pPr>
      <w:r>
        <w:rPr>
          <w:sz w:val="15"/>
          <w:szCs w:val="15"/>
        </w:rPr>
        <w:t xml:space="preserve">[18] P.-E. </w:t>
      </w:r>
      <w:proofErr w:type="spellStart"/>
      <w:r>
        <w:rPr>
          <w:sz w:val="15"/>
          <w:szCs w:val="15"/>
        </w:rPr>
        <w:t>Novac</w:t>
      </w:r>
      <w:proofErr w:type="spellEnd"/>
      <w:r>
        <w:rPr>
          <w:sz w:val="15"/>
          <w:szCs w:val="15"/>
        </w:rPr>
        <w:t xml:space="preserve">, G. </w:t>
      </w:r>
      <w:proofErr w:type="spellStart"/>
      <w:r>
        <w:rPr>
          <w:sz w:val="15"/>
          <w:szCs w:val="15"/>
        </w:rPr>
        <w:t>Boukli</w:t>
      </w:r>
      <w:proofErr w:type="spellEnd"/>
      <w:r>
        <w:rPr>
          <w:sz w:val="15"/>
          <w:szCs w:val="15"/>
        </w:rPr>
        <w:t xml:space="preserve"> </w:t>
      </w:r>
      <w:proofErr w:type="spellStart"/>
      <w:r>
        <w:rPr>
          <w:sz w:val="15"/>
          <w:szCs w:val="15"/>
        </w:rPr>
        <w:t>Hacene</w:t>
      </w:r>
      <w:proofErr w:type="spellEnd"/>
      <w:r>
        <w:rPr>
          <w:sz w:val="15"/>
          <w:szCs w:val="15"/>
        </w:rPr>
        <w:t xml:space="preserve">, A. </w:t>
      </w:r>
      <w:proofErr w:type="spellStart"/>
      <w:r>
        <w:rPr>
          <w:sz w:val="15"/>
          <w:szCs w:val="15"/>
        </w:rPr>
        <w:t>Pegatoquet</w:t>
      </w:r>
      <w:proofErr w:type="spellEnd"/>
      <w:r>
        <w:rPr>
          <w:sz w:val="15"/>
          <w:szCs w:val="15"/>
        </w:rPr>
        <w:t xml:space="preserve">, B. </w:t>
      </w:r>
      <w:proofErr w:type="spellStart"/>
      <w:r>
        <w:rPr>
          <w:sz w:val="15"/>
          <w:szCs w:val="15"/>
        </w:rPr>
        <w:t>Miramond</w:t>
      </w:r>
      <w:proofErr w:type="spellEnd"/>
      <w:r>
        <w:rPr>
          <w:sz w:val="15"/>
          <w:szCs w:val="15"/>
        </w:rPr>
        <w:t xml:space="preserve">, and V. </w:t>
      </w:r>
      <w:proofErr w:type="spellStart"/>
      <w:r>
        <w:rPr>
          <w:sz w:val="15"/>
          <w:szCs w:val="15"/>
        </w:rPr>
        <w:t>Gripon</w:t>
      </w:r>
      <w:proofErr w:type="spellEnd"/>
      <w:r>
        <w:rPr>
          <w:sz w:val="15"/>
          <w:szCs w:val="15"/>
        </w:rPr>
        <w:t xml:space="preserve">, “Quantization and deployment of deep neural networks on microcontrollers,” </w:t>
      </w:r>
      <w:r>
        <w:rPr>
          <w:i/>
          <w:iCs/>
          <w:sz w:val="15"/>
          <w:szCs w:val="15"/>
        </w:rPr>
        <w:t>Sensors</w:t>
      </w:r>
      <w:r>
        <w:rPr>
          <w:sz w:val="15"/>
          <w:szCs w:val="15"/>
        </w:rPr>
        <w:t>, vol. 21, no. 8, p. 2984, 2021.</w:t>
      </w:r>
    </w:p>
    <w:p w14:paraId="5F6F76CB" w14:textId="77777777" w:rsidR="00FB6E79" w:rsidRDefault="00000000">
      <w:pPr>
        <w:spacing w:after="20" w:line="200" w:lineRule="auto"/>
        <w:ind w:left="200" w:hanging="200"/>
        <w:jc w:val="both"/>
      </w:pPr>
      <w:r>
        <w:rPr>
          <w:sz w:val="15"/>
          <w:szCs w:val="15"/>
        </w:rPr>
        <w:t xml:space="preserve">[19] S. P. Mohanty, D. P. Hughes, and M. </w:t>
      </w:r>
      <w:proofErr w:type="spellStart"/>
      <w:r>
        <w:rPr>
          <w:sz w:val="15"/>
          <w:szCs w:val="15"/>
        </w:rPr>
        <w:t>Salathe</w:t>
      </w:r>
      <w:proofErr w:type="spellEnd"/>
      <w:r>
        <w:rPr>
          <w:sz w:val="15"/>
          <w:szCs w:val="15"/>
        </w:rPr>
        <w:t xml:space="preserve">, “Using deep learning for image-based plant disease detection,” </w:t>
      </w:r>
      <w:r>
        <w:rPr>
          <w:i/>
          <w:iCs/>
          <w:sz w:val="15"/>
          <w:szCs w:val="15"/>
        </w:rPr>
        <w:t>Front. Plant Sci.</w:t>
      </w:r>
      <w:r>
        <w:rPr>
          <w:sz w:val="15"/>
          <w:szCs w:val="15"/>
        </w:rPr>
        <w:t>, vol. 7, p. 1419, 2016.</w:t>
      </w:r>
    </w:p>
    <w:p w14:paraId="522D2010" w14:textId="77777777" w:rsidR="00FB6E79" w:rsidRDefault="00000000">
      <w:pPr>
        <w:spacing w:after="20" w:line="200" w:lineRule="auto"/>
        <w:ind w:left="200" w:hanging="200"/>
        <w:jc w:val="both"/>
      </w:pPr>
      <w:r>
        <w:rPr>
          <w:sz w:val="15"/>
          <w:szCs w:val="15"/>
        </w:rPr>
        <w:t>[20] F. Jovan et al., “</w:t>
      </w:r>
      <w:proofErr w:type="spellStart"/>
      <w:r>
        <w:rPr>
          <w:sz w:val="15"/>
          <w:szCs w:val="15"/>
        </w:rPr>
        <w:t>Optimising</w:t>
      </w:r>
      <w:proofErr w:type="spellEnd"/>
      <w:r>
        <w:rPr>
          <w:sz w:val="15"/>
          <w:szCs w:val="15"/>
        </w:rPr>
        <w:t xml:space="preserve"> </w:t>
      </w:r>
      <w:proofErr w:type="spellStart"/>
      <w:r>
        <w:rPr>
          <w:sz w:val="15"/>
          <w:szCs w:val="15"/>
        </w:rPr>
        <w:t>TinyML</w:t>
      </w:r>
      <w:proofErr w:type="spellEnd"/>
      <w:r>
        <w:rPr>
          <w:sz w:val="15"/>
          <w:szCs w:val="15"/>
        </w:rPr>
        <w:t xml:space="preserve"> with quantization and distillation of transformer and mamba models for edge devices,” </w:t>
      </w:r>
      <w:r>
        <w:rPr>
          <w:i/>
          <w:iCs/>
          <w:sz w:val="15"/>
          <w:szCs w:val="15"/>
        </w:rPr>
        <w:t>Sci. Rep.</w:t>
      </w:r>
      <w:r>
        <w:rPr>
          <w:sz w:val="15"/>
          <w:szCs w:val="15"/>
        </w:rPr>
        <w:t>, vol. 15, 2025.</w:t>
      </w:r>
    </w:p>
    <w:sectPr w:rsidR="00FB6E79">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76E79"/>
    <w:multiLevelType w:val="hybridMultilevel"/>
    <w:tmpl w:val="E4FC5494"/>
    <w:lvl w:ilvl="0" w:tplc="4DAE9B1E">
      <w:start w:val="1"/>
      <w:numFmt w:val="bullet"/>
      <w:lvlText w:val="●"/>
      <w:lvlJc w:val="left"/>
      <w:pPr>
        <w:ind w:left="720" w:hanging="360"/>
      </w:pPr>
    </w:lvl>
    <w:lvl w:ilvl="1" w:tplc="72C800DC">
      <w:start w:val="1"/>
      <w:numFmt w:val="bullet"/>
      <w:lvlText w:val="○"/>
      <w:lvlJc w:val="left"/>
      <w:pPr>
        <w:ind w:left="1440" w:hanging="360"/>
      </w:pPr>
    </w:lvl>
    <w:lvl w:ilvl="2" w:tplc="4D4817B8">
      <w:start w:val="1"/>
      <w:numFmt w:val="bullet"/>
      <w:lvlText w:val="■"/>
      <w:lvlJc w:val="left"/>
      <w:pPr>
        <w:ind w:left="2160" w:hanging="360"/>
      </w:pPr>
    </w:lvl>
    <w:lvl w:ilvl="3" w:tplc="5B3453CE">
      <w:start w:val="1"/>
      <w:numFmt w:val="bullet"/>
      <w:lvlText w:val="●"/>
      <w:lvlJc w:val="left"/>
      <w:pPr>
        <w:ind w:left="2880" w:hanging="360"/>
      </w:pPr>
    </w:lvl>
    <w:lvl w:ilvl="4" w:tplc="707CB310">
      <w:start w:val="1"/>
      <w:numFmt w:val="bullet"/>
      <w:lvlText w:val="○"/>
      <w:lvlJc w:val="left"/>
      <w:pPr>
        <w:ind w:left="3600" w:hanging="360"/>
      </w:pPr>
    </w:lvl>
    <w:lvl w:ilvl="5" w:tplc="F90E5702">
      <w:start w:val="1"/>
      <w:numFmt w:val="bullet"/>
      <w:lvlText w:val="■"/>
      <w:lvlJc w:val="left"/>
      <w:pPr>
        <w:ind w:left="4320" w:hanging="360"/>
      </w:pPr>
    </w:lvl>
    <w:lvl w:ilvl="6" w:tplc="73086EA4">
      <w:start w:val="1"/>
      <w:numFmt w:val="bullet"/>
      <w:lvlText w:val="●"/>
      <w:lvlJc w:val="left"/>
      <w:pPr>
        <w:ind w:left="5040" w:hanging="360"/>
      </w:pPr>
    </w:lvl>
    <w:lvl w:ilvl="7" w:tplc="F92007CE">
      <w:start w:val="1"/>
      <w:numFmt w:val="bullet"/>
      <w:lvlText w:val="●"/>
      <w:lvlJc w:val="left"/>
      <w:pPr>
        <w:ind w:left="5760" w:hanging="360"/>
      </w:pPr>
    </w:lvl>
    <w:lvl w:ilvl="8" w:tplc="A80A233C">
      <w:start w:val="1"/>
      <w:numFmt w:val="bullet"/>
      <w:lvlText w:val="●"/>
      <w:lvlJc w:val="left"/>
      <w:pPr>
        <w:ind w:left="6480" w:hanging="360"/>
      </w:pPr>
    </w:lvl>
  </w:abstractNum>
  <w:num w:numId="1" w16cid:durableId="2080784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E79"/>
    <w:rsid w:val="003F4DF2"/>
    <w:rsid w:val="00E91AD5"/>
    <w:rsid w:val="00FB6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63FF"/>
  <w15:docId w15:val="{98200CB7-637F-4788-8EB8-C86BDAE6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2946</Words>
  <Characters>16797</Characters>
  <Application>Microsoft Office Word</Application>
  <DocSecurity>0</DocSecurity>
  <Lines>139</Lines>
  <Paragraphs>39</Paragraphs>
  <ScaleCrop>false</ScaleCrop>
  <Company/>
  <LinksUpToDate>false</LinksUpToDate>
  <CharactersWithSpaces>19704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Mueed Arian</cp:lastModifiedBy>
  <cp:revision>2</cp:revision>
  <dcterms:created xsi:type="dcterms:W3CDTF">2026-03-03T15:39:00Z</dcterms:created>
  <dcterms:modified xsi:type="dcterms:W3CDTF">2026-03-03T15:42:00Z</dcterms:modified>
</cp:coreProperties>
</file>