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Wing It! User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Basic Movement: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ab/>
        <w:t xml:space="preserve">To move throughout the level you can use either the arrow keys or the “W, A, S, D” keys to move the character through the stage. The “Space Bar” is also used to jump. Holding the ”Space Bar“ will cause the player to stay in the air longer.</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Attacking:</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When encountering enemies in the game the player can either avoid the enemy or attack the enemy. To attack, the player must hit the “E” key. The attack does substantial damage to the generic enemies as well as bosses. The attack can be activated on the ground or while in the air.</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