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7797"/>
      </w:tblGrid>
      <w:tr>
        <w:trPr>
          <w:trHeight w:val="2052" w:hRule="atLeast"/>
        </w:trPr>
        <w:tc>
          <w:tcPr>
            <w:tcW w:w="1555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6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69391" cy="586740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1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797" w:type="dxa"/>
          </w:tcPr>
          <w:p>
            <w:pPr>
              <w:pStyle w:val="TableParagraph"/>
              <w:spacing w:line="683" w:lineRule="exact"/>
              <w:rPr>
                <w:b w:val="0"/>
                <w:i/>
                <w:sz w:val="56"/>
              </w:rPr>
            </w:pPr>
            <w:r>
              <w:rPr>
                <w:b w:val="0"/>
                <w:i/>
                <w:sz w:val="56"/>
              </w:rPr>
              <w:t>EDU101 Final Term Lecture wise </w:t>
            </w:r>
          </w:p>
          <w:p>
            <w:pPr>
              <w:pStyle w:val="TableParagraph"/>
              <w:spacing w:line="680" w:lineRule="atLeast"/>
              <w:rPr>
                <w:b w:val="0"/>
                <w:i/>
                <w:sz w:val="56"/>
              </w:rPr>
            </w:pPr>
            <w:r>
              <w:rPr>
                <w:b w:val="0"/>
                <w:i/>
                <w:spacing w:val="-12"/>
                <w:sz w:val="56"/>
              </w:rPr>
              <w:t>important by </w:t>
            </w:r>
            <w:r>
              <w:rPr>
                <w:b w:val="0"/>
                <w:i/>
                <w:spacing w:val="-11"/>
                <w:sz w:val="56"/>
              </w:rPr>
              <w:t>Academic Consultant </w:t>
            </w:r>
            <w:r>
              <w:rPr>
                <w:b w:val="0"/>
                <w:i/>
                <w:spacing w:val="-10"/>
                <w:sz w:val="56"/>
              </w:rPr>
              <w:t>03222254114</w:t>
            </w:r>
            <w:r>
              <w:rPr>
                <w:b w:val="0"/>
                <w:i/>
                <w:sz w:val="56"/>
              </w:rPr>
              <w:t> </w:t>
            </w:r>
          </w:p>
        </w:tc>
      </w:tr>
    </w:tbl>
    <w:p>
      <w:pPr>
        <w:pStyle w:val="BodyText"/>
        <w:spacing w:before="0"/>
        <w:ind w:left="0" w:firstLine="0"/>
        <w:rPr>
          <w:rFonts w:ascii="Times New Roman"/>
          <w:sz w:val="20"/>
        </w:rPr>
      </w:pPr>
      <w:r>
        <w:rPr/>
        <w:pict>
          <v:shape style="position:absolute;margin-left:-82.068741pt;margin-top:373.584381pt;width:771.75pt;height:49.15pt;mso-position-horizontal-relative:page;mso-position-vertical-relative:page;z-index:-15788544;rotation:315" type="#_x0000_t136" fillcolor="#000000" stroked="f">
            <o:extrusion v:ext="view" autorotationcenter="t"/>
            <v:textpath style="font-family:&quot;Times New Roman&quot;;font-size:49pt;v-text-kern:t;mso-text-shadow:auto;font-style:italic" string="VU Academic Consultant 03222254114"/>
            <v:fill opacity="17476f"/>
            <w10:wrap type="none"/>
          </v:shape>
        </w:pict>
      </w: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219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Foundations of Education: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Questioning and discussion to encourage analysis and application of reading</w:t>
      </w:r>
      <w:r>
        <w:rPr>
          <w:color w:val="12253E"/>
          <w:spacing w:val="-16"/>
          <w:sz w:val="23"/>
        </w:rPr>
        <w:t> </w:t>
      </w:r>
      <w:r>
        <w:rPr>
          <w:color w:val="12253E"/>
          <w:sz w:val="23"/>
        </w:rPr>
        <w:t>material.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Dialectic approach in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lecturing.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Group and individual research</w:t>
      </w:r>
      <w:r>
        <w:rPr>
          <w:color w:val="12253E"/>
          <w:spacing w:val="-4"/>
          <w:sz w:val="23"/>
        </w:rPr>
        <w:t> </w:t>
      </w:r>
      <w:r>
        <w:rPr>
          <w:color w:val="12253E"/>
          <w:sz w:val="23"/>
        </w:rPr>
        <w:t>projects.</w:t>
      </w:r>
    </w:p>
    <w:p>
      <w:pPr>
        <w:pStyle w:val="BodyText"/>
        <w:spacing w:before="7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Curriculum: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Examining the roots of contemporary problems through great literature and</w:t>
      </w:r>
      <w:r>
        <w:rPr>
          <w:color w:val="12253E"/>
          <w:spacing w:val="-12"/>
          <w:sz w:val="23"/>
        </w:rPr>
        <w:t> </w:t>
      </w:r>
      <w:r>
        <w:rPr>
          <w:color w:val="12253E"/>
          <w:sz w:val="23"/>
        </w:rPr>
        <w:t>classics.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Teaching students to think at any level of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education.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Back-to-basics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approach.</w:t>
      </w:r>
    </w:p>
    <w:p>
      <w:pPr>
        <w:pStyle w:val="BodyText"/>
        <w:spacing w:before="5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Perennialism: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Focus on teaching enduring ideas through literature, art, philosophy, and</w:t>
      </w:r>
      <w:r>
        <w:rPr>
          <w:color w:val="12253E"/>
          <w:spacing w:val="-10"/>
          <w:sz w:val="23"/>
        </w:rPr>
        <w:t> </w:t>
      </w:r>
      <w:r>
        <w:rPr>
          <w:color w:val="12253E"/>
          <w:sz w:val="23"/>
        </w:rPr>
        <w:t>religion.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Key proponents: Robert Hutchins, Jacque Maritain, Mortimer Adler, Allan</w:t>
      </w:r>
      <w:r>
        <w:rPr>
          <w:color w:val="12253E"/>
          <w:spacing w:val="-5"/>
          <w:sz w:val="23"/>
        </w:rPr>
        <w:t> </w:t>
      </w:r>
      <w:r>
        <w:rPr>
          <w:color w:val="12253E"/>
          <w:sz w:val="23"/>
        </w:rPr>
        <w:t>Bloom.</w:t>
      </w: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Realism: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Reality exists independent of the human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mind.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Physical objects are the ultimate</w:t>
      </w:r>
      <w:r>
        <w:rPr>
          <w:color w:val="12253E"/>
          <w:spacing w:val="-5"/>
          <w:sz w:val="23"/>
        </w:rPr>
        <w:t> </w:t>
      </w:r>
      <w:r>
        <w:rPr>
          <w:color w:val="12253E"/>
          <w:sz w:val="23"/>
        </w:rPr>
        <w:t>reality.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Originator: Aristotle.</w:t>
      </w: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Goal of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Education: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Developing intellectual abilities.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Equipping students with information to understand current</w:t>
      </w:r>
      <w:r>
        <w:rPr>
          <w:color w:val="12253E"/>
          <w:spacing w:val="-6"/>
          <w:sz w:val="23"/>
        </w:rPr>
        <w:t> </w:t>
      </w:r>
      <w:r>
        <w:rPr>
          <w:color w:val="12253E"/>
          <w:sz w:val="23"/>
        </w:rPr>
        <w:t>events.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Tabula Rasa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concept.</w:t>
      </w:r>
    </w:p>
    <w:p>
      <w:pPr>
        <w:pStyle w:val="BodyText"/>
        <w:spacing w:before="5"/>
        <w:ind w:left="0" w:firstLine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Role of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Teacher: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Recognizing human potential and innate</w:t>
      </w:r>
      <w:r>
        <w:rPr>
          <w:color w:val="12253E"/>
          <w:spacing w:val="-6"/>
          <w:sz w:val="23"/>
        </w:rPr>
        <w:t> </w:t>
      </w:r>
      <w:r>
        <w:rPr>
          <w:color w:val="12253E"/>
          <w:sz w:val="23"/>
        </w:rPr>
        <w:t>goodness.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Autonomy, dignity, and freedom are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sacred.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Educational aim: Individual potentiality and</w:t>
      </w:r>
      <w:r>
        <w:rPr>
          <w:color w:val="12253E"/>
          <w:spacing w:val="-4"/>
          <w:sz w:val="23"/>
        </w:rPr>
        <w:t> </w:t>
      </w:r>
      <w:r>
        <w:rPr>
          <w:color w:val="12253E"/>
          <w:sz w:val="23"/>
        </w:rPr>
        <w:t>self-actualization.</w:t>
      </w: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Programs/Practices-1: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Individualized instructional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process.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Learning</w:t>
      </w:r>
      <w:r>
        <w:rPr>
          <w:color w:val="12253E"/>
          <w:spacing w:val="-2"/>
          <w:sz w:val="23"/>
        </w:rPr>
        <w:t> </w:t>
      </w:r>
      <w:r>
        <w:rPr>
          <w:color w:val="12253E"/>
          <w:sz w:val="23"/>
        </w:rPr>
        <w:t>projects.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Sensitivity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training.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Teacher effectiveness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training.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Active</w:t>
      </w:r>
      <w:r>
        <w:rPr>
          <w:color w:val="12253E"/>
          <w:spacing w:val="-2"/>
          <w:sz w:val="23"/>
        </w:rPr>
        <w:t> </w:t>
      </w:r>
      <w:r>
        <w:rPr>
          <w:color w:val="12253E"/>
          <w:sz w:val="23"/>
        </w:rPr>
        <w:t>listening.</w:t>
      </w:r>
    </w:p>
    <w:p>
      <w:pPr>
        <w:spacing w:after="0" w:line="240" w:lineRule="auto"/>
        <w:jc w:val="left"/>
        <w:rPr>
          <w:sz w:val="23"/>
        </w:rPr>
        <w:sectPr>
          <w:type w:val="continuous"/>
          <w:pgSz w:w="12240" w:h="15840"/>
          <w:pgMar w:top="1440" w:bottom="28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484" w:val="left" w:leader="none"/>
        </w:tabs>
        <w:spacing w:line="240" w:lineRule="auto" w:before="80" w:after="0"/>
        <w:ind w:left="483" w:right="0" w:hanging="384"/>
        <w:jc w:val="left"/>
        <w:rPr>
          <w:sz w:val="23"/>
        </w:rPr>
      </w:pPr>
      <w:r>
        <w:rPr/>
        <w:pict>
          <v:shape style="position:absolute;margin-left:-82.068741pt;margin-top:373.584381pt;width:771.75pt;height:49.15pt;mso-position-horizontal-relative:page;mso-position-vertical-relative:page;z-index:-15788032;rotation:315" type="#_x0000_t136" fillcolor="#000000" stroked="f">
            <o:extrusion v:ext="view" autorotationcenter="t"/>
            <v:textpath style="font-family:&quot;Times New Roman&quot;;font-size:49pt;v-text-kern:t;mso-text-shadow:auto;font-style:italic" string="VU Academic Consultant 03222254114"/>
            <v:fill opacity="17476f"/>
            <w10:wrap type="none"/>
          </v:shape>
        </w:pict>
      </w:r>
      <w:r>
        <w:rPr>
          <w:color w:val="12253E"/>
          <w:sz w:val="23"/>
        </w:rPr>
        <w:t>Programs/Practices-2: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Conflict resolution.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Invitational</w:t>
      </w:r>
      <w:r>
        <w:rPr>
          <w:color w:val="12253E"/>
          <w:spacing w:val="-2"/>
          <w:sz w:val="23"/>
        </w:rPr>
        <w:t> </w:t>
      </w:r>
      <w:r>
        <w:rPr>
          <w:color w:val="12253E"/>
          <w:sz w:val="23"/>
        </w:rPr>
        <w:t>learning.</w:t>
      </w:r>
    </w:p>
    <w:p>
      <w:pPr>
        <w:pStyle w:val="BodyText"/>
        <w:spacing w:before="7"/>
        <w:ind w:left="0" w:firstLine="0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A Comparison: Education vs. School: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Contrasting characteristics of education and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school.</w:t>
      </w:r>
    </w:p>
    <w:p>
      <w:pPr>
        <w:pStyle w:val="BodyText"/>
        <w:spacing w:before="6"/>
        <w:ind w:left="0" w:firstLine="0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Idealism/Perennialism: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Axiology: Individual values and</w:t>
      </w:r>
      <w:r>
        <w:rPr>
          <w:color w:val="12253E"/>
          <w:spacing w:val="-2"/>
          <w:sz w:val="23"/>
        </w:rPr>
        <w:t> </w:t>
      </w:r>
      <w:r>
        <w:rPr>
          <w:color w:val="12253E"/>
          <w:sz w:val="23"/>
        </w:rPr>
        <w:t>ethics.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Key proponents: Sartre,</w:t>
      </w:r>
      <w:r>
        <w:rPr>
          <w:color w:val="12253E"/>
          <w:spacing w:val="1"/>
          <w:sz w:val="23"/>
        </w:rPr>
        <w:t> </w:t>
      </w:r>
      <w:r>
        <w:rPr>
          <w:color w:val="12253E"/>
          <w:sz w:val="23"/>
        </w:rPr>
        <w:t>Kierkegaard.</w:t>
      </w: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Eclecticism: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Synthesizing and personal interpretation of various</w:t>
      </w:r>
      <w:r>
        <w:rPr>
          <w:color w:val="12253E"/>
          <w:spacing w:val="-5"/>
          <w:sz w:val="23"/>
        </w:rPr>
        <w:t> </w:t>
      </w:r>
      <w:r>
        <w:rPr>
          <w:color w:val="12253E"/>
          <w:sz w:val="23"/>
        </w:rPr>
        <w:t>models.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Building a personal philosophy by selecting the best components from different</w:t>
      </w:r>
      <w:r>
        <w:rPr>
          <w:color w:val="12253E"/>
          <w:spacing w:val="-16"/>
          <w:sz w:val="23"/>
        </w:rPr>
        <w:t> </w:t>
      </w:r>
      <w:r>
        <w:rPr>
          <w:color w:val="12253E"/>
          <w:sz w:val="23"/>
        </w:rPr>
        <w:t>models.</w:t>
      </w:r>
    </w:p>
    <w:p>
      <w:pPr>
        <w:pStyle w:val="BodyText"/>
        <w:spacing w:before="7"/>
        <w:ind w:left="0" w:firstLine="0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Humanistic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School-1: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2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Showing respect to</w:t>
      </w:r>
      <w:r>
        <w:rPr>
          <w:color w:val="12253E"/>
          <w:spacing w:val="-2"/>
          <w:sz w:val="23"/>
        </w:rPr>
        <w:t> </w:t>
      </w:r>
      <w:r>
        <w:rPr>
          <w:color w:val="12253E"/>
          <w:sz w:val="23"/>
        </w:rPr>
        <w:t>students.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Considering students' needs, expectations, feelings, and values.</w:t>
      </w:r>
    </w:p>
    <w:p>
      <w:pPr>
        <w:pStyle w:val="BodyText"/>
        <w:spacing w:before="7"/>
        <w:ind w:left="0" w:firstLine="0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40" w:lineRule="auto" w:before="0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What happens in a humanistic</w:t>
      </w:r>
      <w:r>
        <w:rPr>
          <w:color w:val="12253E"/>
          <w:spacing w:val="1"/>
          <w:sz w:val="23"/>
        </w:rPr>
        <w:t> </w:t>
      </w:r>
      <w:r>
        <w:rPr>
          <w:color w:val="12253E"/>
          <w:sz w:val="23"/>
        </w:rPr>
        <w:t>classroom: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19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Active learning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strategies.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Conflict resolution.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Incorporating the whole</w:t>
      </w:r>
      <w:r>
        <w:rPr>
          <w:color w:val="12253E"/>
          <w:spacing w:val="-4"/>
          <w:sz w:val="23"/>
        </w:rPr>
        <w:t> </w:t>
      </w:r>
      <w:r>
        <w:rPr>
          <w:color w:val="12253E"/>
          <w:sz w:val="23"/>
        </w:rPr>
        <w:t>class.</w:t>
      </w: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40" w:lineRule="auto" w:before="1" w:after="0"/>
        <w:ind w:left="483" w:right="0" w:hanging="384"/>
        <w:jc w:val="left"/>
        <w:rPr>
          <w:sz w:val="23"/>
        </w:rPr>
      </w:pPr>
      <w:r>
        <w:rPr>
          <w:color w:val="12253E"/>
          <w:sz w:val="23"/>
        </w:rPr>
        <w:t>Characteristics and beliefs of the humanistic approach: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Meaning of intellect in distinguishing humans from</w:t>
      </w:r>
      <w:r>
        <w:rPr>
          <w:color w:val="12253E"/>
          <w:spacing w:val="-3"/>
          <w:sz w:val="23"/>
        </w:rPr>
        <w:t> </w:t>
      </w:r>
      <w:r>
        <w:rPr>
          <w:color w:val="12253E"/>
          <w:sz w:val="23"/>
        </w:rPr>
        <w:t>animals.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1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Recognizing human potential and innate</w:t>
      </w:r>
      <w:r>
        <w:rPr>
          <w:color w:val="12253E"/>
          <w:spacing w:val="-6"/>
          <w:sz w:val="23"/>
        </w:rPr>
        <w:t> </w:t>
      </w:r>
      <w:r>
        <w:rPr>
          <w:color w:val="12253E"/>
          <w:sz w:val="23"/>
        </w:rPr>
        <w:t>goodness.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3" w:after="0"/>
        <w:ind w:left="242" w:right="0" w:hanging="143"/>
        <w:jc w:val="left"/>
        <w:rPr>
          <w:sz w:val="23"/>
        </w:rPr>
      </w:pPr>
      <w:r>
        <w:rPr>
          <w:color w:val="12253E"/>
          <w:sz w:val="23"/>
        </w:rPr>
        <w:t>Autonomy, dignity, and freedom are</w:t>
      </w:r>
      <w:r>
        <w:rPr>
          <w:color w:val="12253E"/>
          <w:spacing w:val="-1"/>
          <w:sz w:val="23"/>
        </w:rPr>
        <w:t> </w:t>
      </w:r>
      <w:r>
        <w:rPr>
          <w:color w:val="12253E"/>
          <w:sz w:val="23"/>
        </w:rPr>
        <w:t>sacred.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 Light">
    <w:altName w:val="Calibri Ligh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4"/>
      <w:numFmt w:val="decimal"/>
      <w:lvlText w:val="%1."/>
      <w:lvlJc w:val="left"/>
      <w:pPr>
        <w:ind w:left="483" w:hanging="384"/>
        <w:jc w:val="left"/>
      </w:pPr>
      <w:rPr>
        <w:rFonts w:hint="default" w:ascii="Arial" w:hAnsi="Arial" w:eastAsia="Arial" w:cs="Arial"/>
        <w:color w:val="12253E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8"/>
      <w:numFmt w:val="decimal"/>
      <w:lvlText w:val="%1."/>
      <w:lvlJc w:val="left"/>
      <w:pPr>
        <w:ind w:left="483" w:hanging="384"/>
        <w:jc w:val="left"/>
      </w:pPr>
      <w:rPr>
        <w:rFonts w:hint="default" w:ascii="Arial" w:hAnsi="Arial" w:eastAsia="Arial" w:cs="Arial"/>
        <w:color w:val="12253E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42" w:hanging="142"/>
      </w:pPr>
      <w:rPr>
        <w:rFonts w:hint="default" w:ascii="Arial" w:hAnsi="Arial" w:eastAsia="Arial" w:cs="Arial"/>
        <w:color w:val="12253E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8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2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0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4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8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1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3"/>
      <w:numFmt w:val="decimal"/>
      <w:lvlText w:val="%1."/>
      <w:lvlJc w:val="left"/>
      <w:pPr>
        <w:ind w:left="483" w:hanging="384"/>
        <w:jc w:val="left"/>
      </w:pPr>
      <w:rPr>
        <w:rFonts w:hint="default" w:ascii="Arial" w:hAnsi="Arial" w:eastAsia="Arial" w:cs="Arial"/>
        <w:color w:val="12253E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3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8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242" w:hanging="143"/>
    </w:pPr>
    <w:rPr>
      <w:rFonts w:ascii="Arial" w:hAnsi="Arial" w:eastAsia="Arial" w:cs="Arial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242" w:hanging="14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 Light" w:hAnsi="Calibri Light" w:eastAsia="Calibri Light" w:cs="Calibri Ligh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Rheen Baig</dc:creator>
  <dcterms:created xsi:type="dcterms:W3CDTF">2024-02-12T15:50:51Z</dcterms:created>
  <dcterms:modified xsi:type="dcterms:W3CDTF">2024-02-12T15:50:51Z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2024-02-12T00:00:00Z</vt:filetime>
  </property>
</Properties>
</file>