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13699" w14:textId="5F62B089" w:rsidR="00332908" w:rsidRDefault="00B4260D" w:rsidP="00B4260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CHE301</w:t>
      </w:r>
    </w:p>
    <w:p w14:paraId="681B5727" w14:textId="5B94BB77" w:rsidR="00B4260D" w:rsidRDefault="00B4260D" w:rsidP="00B4260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ASSIGNMENT-3</w:t>
      </w:r>
    </w:p>
    <w:p w14:paraId="73E8BD63" w14:textId="31ACA904" w:rsidR="00B4260D" w:rsidRDefault="00B4260D" w:rsidP="00B4260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SOLUTION IDEA</w:t>
      </w:r>
    </w:p>
    <w:p w14:paraId="47DCD778" w14:textId="7E42E856" w:rsidR="00B4260D" w:rsidRDefault="00B4260D" w:rsidP="00B426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831F6" w14:textId="195C08A4" w:rsidR="00B4260D" w:rsidRDefault="00B4260D" w:rsidP="00B4260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B426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Prepared by: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260D">
        <w:rPr>
          <w:rFonts w:ascii="Times New Roman" w:hAnsi="Times New Roman" w:cs="Times New Roman"/>
          <w:color w:val="FF0000"/>
          <w:sz w:val="28"/>
          <w:szCs w:val="28"/>
          <w:lang w:val="en-US"/>
        </w:rPr>
        <w:t>BS Zoology (3</w:t>
      </w:r>
      <w:r w:rsidRPr="00B4260D">
        <w:rPr>
          <w:rFonts w:ascii="Times New Roman" w:hAnsi="Times New Roman" w:cs="Times New Roman"/>
          <w:color w:val="FF0000"/>
          <w:sz w:val="28"/>
          <w:szCs w:val="28"/>
          <w:vertAlign w:val="superscript"/>
          <w:lang w:val="en-US"/>
        </w:rPr>
        <w:t>rd</w:t>
      </w:r>
      <w:r w:rsidRPr="00B4260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Semester)</w:t>
      </w:r>
    </w:p>
    <w:p w14:paraId="7AC43E7C" w14:textId="77777777" w:rsidR="00B4260D" w:rsidRDefault="00B4260D" w:rsidP="00B4260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2321FACC" w14:textId="559E231E" w:rsidR="00B4260D" w:rsidRDefault="00B4260D" w:rsidP="00B4260D">
      <w:pPr>
        <w:rPr>
          <w:rFonts w:ascii="Times New Roman" w:hAnsi="Times New Roman" w:cs="Times New Roman"/>
          <w:b/>
          <w:bCs/>
          <w:color w:val="7030A0"/>
          <w:sz w:val="24"/>
          <w:szCs w:val="24"/>
          <w:u w:val="single"/>
          <w:lang w:val="en-US"/>
        </w:rPr>
      </w:pPr>
      <w:r w:rsidRPr="00B4260D">
        <w:rPr>
          <w:rFonts w:ascii="Times New Roman" w:hAnsi="Times New Roman" w:cs="Times New Roman"/>
          <w:b/>
          <w:bCs/>
          <w:color w:val="7030A0"/>
          <w:sz w:val="24"/>
          <w:szCs w:val="24"/>
          <w:u w:val="single"/>
          <w:lang w:val="en-US"/>
        </w:rPr>
        <w:t>Question-1:</w:t>
      </w:r>
    </w:p>
    <w:p w14:paraId="49BB8C69" w14:textId="7FA15373" w:rsidR="00B4260D" w:rsidRDefault="00B4260D" w:rsidP="00B4260D">
      <w:pPr>
        <w:rPr>
          <w:rFonts w:ascii="Times New Roman" w:hAnsi="Times New Roman" w:cs="Times New Roman"/>
          <w:b/>
          <w:bCs/>
          <w:color w:val="0070C0"/>
        </w:rPr>
      </w:pPr>
      <w:r w:rsidRPr="00B4260D">
        <w:rPr>
          <w:rFonts w:ascii="Times New Roman" w:hAnsi="Times New Roman" w:cs="Times New Roman"/>
          <w:b/>
          <w:bCs/>
          <w:color w:val="0070C0"/>
        </w:rPr>
        <w:t xml:space="preserve">What is the difference between a Chromophore and an </w:t>
      </w:r>
      <w:proofErr w:type="spellStart"/>
      <w:r w:rsidRPr="00B4260D">
        <w:rPr>
          <w:rFonts w:ascii="Times New Roman" w:hAnsi="Times New Roman" w:cs="Times New Roman"/>
          <w:b/>
          <w:bCs/>
          <w:color w:val="0070C0"/>
        </w:rPr>
        <w:t>Auxochrome</w:t>
      </w:r>
      <w:proofErr w:type="spellEnd"/>
      <w:r w:rsidRPr="00B4260D">
        <w:rPr>
          <w:rFonts w:ascii="Times New Roman" w:hAnsi="Times New Roman" w:cs="Times New Roman"/>
          <w:b/>
          <w:bCs/>
          <w:color w:val="0070C0"/>
        </w:rPr>
        <w:t>? Give one example of each</w:t>
      </w:r>
    </w:p>
    <w:p w14:paraId="3011BB39" w14:textId="77777777" w:rsidR="00B4260D" w:rsidRPr="00B4260D" w:rsidRDefault="00B4260D" w:rsidP="00B4260D">
      <w:pPr>
        <w:rPr>
          <w:rFonts w:ascii="Times New Roman" w:hAnsi="Times New Roman" w:cs="Times New Roman"/>
          <w:b/>
          <w:sz w:val="24"/>
          <w:szCs w:val="24"/>
        </w:rPr>
      </w:pPr>
      <w:r w:rsidRPr="00B4260D">
        <w:rPr>
          <w:rFonts w:ascii="Times New Roman" w:hAnsi="Times New Roman" w:cs="Times New Roman"/>
          <w:b/>
          <w:sz w:val="24"/>
          <w:szCs w:val="24"/>
          <w:highlight w:val="lightGray"/>
        </w:rPr>
        <w:t>Answer:</w:t>
      </w:r>
    </w:p>
    <w:p w14:paraId="6B0B6AEB" w14:textId="33484B4E" w:rsidR="00B4260D" w:rsidRDefault="00B4260D" w:rsidP="00B4260D">
      <w:pPr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  <w:lang w:val="en-US"/>
        </w:rPr>
      </w:pPr>
    </w:p>
    <w:p w14:paraId="777DC1C1" w14:textId="2E7F01D3" w:rsidR="00B4260D" w:rsidRDefault="00B4260D" w:rsidP="00B4260D">
      <w:pPr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  <w:lang w:val="en-US"/>
        </w:rPr>
      </w:pPr>
    </w:p>
    <w:p w14:paraId="5975C71B" w14:textId="16642D47" w:rsidR="00B4260D" w:rsidRDefault="00B4260D" w:rsidP="00B4260D">
      <w:pPr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  <w:lang w:val="en-US"/>
        </w:rPr>
      </w:pPr>
    </w:p>
    <w:tbl>
      <w:tblPr>
        <w:tblW w:w="8368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3030"/>
        <w:gridCol w:w="3961"/>
      </w:tblGrid>
      <w:tr w:rsidR="00B4260D" w:rsidRPr="00B4260D" w14:paraId="685C6660" w14:textId="77777777" w:rsidTr="00B4260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5A73D2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1A202C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An </w:t>
            </w:r>
            <w:proofErr w:type="spellStart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auxochrome</w:t>
            </w:r>
            <w:proofErr w:type="spellEnd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is a gathering of atoms that change the design of a chromophore.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510C94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 chromophore is an atomic moiety that gives the shade of the particle.</w:t>
            </w:r>
          </w:p>
        </w:tc>
      </w:tr>
      <w:tr w:rsidR="00B4260D" w:rsidRPr="00B4260D" w14:paraId="3DF41DE5" w14:textId="77777777" w:rsidTr="00B4260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D05E32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Intensity of </w:t>
            </w:r>
            <w:proofErr w:type="spellStart"/>
            <w:r w:rsidRPr="00B426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colors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BA7E87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Auxochromes</w:t>
            </w:r>
            <w:proofErr w:type="spellEnd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increment the shading force of the chromophore.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94DD21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Chromophores are answerable for </w:t>
            </w:r>
            <w:proofErr w:type="spellStart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colorless</w:t>
            </w:r>
            <w:proofErr w:type="spellEnd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mixtures.</w:t>
            </w:r>
          </w:p>
        </w:tc>
      </w:tr>
      <w:tr w:rsidR="00B4260D" w:rsidRPr="00B4260D" w14:paraId="6F80677F" w14:textId="77777777" w:rsidTr="00B4260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2BAB0A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Chemical bonding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4D7818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Auxochromes</w:t>
            </w:r>
            <w:proofErr w:type="spellEnd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is immersed and unsaturated gathering which comprises of at least one sets of the non-reinforced electron.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052C46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 the chromophore- N=N-, the electron is approximately bound. This approximately bound electron required less energy for electronic change, and the retention band happens close to the UV district.</w:t>
            </w:r>
          </w:p>
        </w:tc>
      </w:tr>
      <w:tr w:rsidR="00B4260D" w:rsidRPr="00B4260D" w14:paraId="4A5C32A9" w14:textId="77777777" w:rsidTr="00B4260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0F6CD2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CE8D87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Auxochrome</w:t>
            </w:r>
            <w:proofErr w:type="spellEnd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is a practical gathering of the molecule.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185AB2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The chromophore is a piece of the atom.</w:t>
            </w:r>
          </w:p>
        </w:tc>
      </w:tr>
      <w:tr w:rsidR="00B4260D" w:rsidRPr="00B4260D" w14:paraId="53F8B83B" w14:textId="77777777" w:rsidTr="00B4260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10489F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BEE3AF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In </w:t>
            </w:r>
            <w:proofErr w:type="spellStart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Auxochrome</w:t>
            </w:r>
            <w:proofErr w:type="spellEnd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Light, yellow-shaded nitrobenzene becomes dull yellow-hued when a hydroxyl bunch is connected to the particle.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31AE4D" w14:textId="77777777" w:rsidR="00B4260D" w:rsidRPr="00B4260D" w:rsidRDefault="00B4260D" w:rsidP="00B426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In chromophore, benzene gets a </w:t>
            </w:r>
            <w:proofErr w:type="gramStart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light yellow</w:t>
            </w:r>
            <w:proofErr w:type="gramEnd"/>
            <w:r w:rsidRPr="00B426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shading when a nitro bunch is added to a benzene molecule.</w:t>
            </w:r>
          </w:p>
        </w:tc>
      </w:tr>
    </w:tbl>
    <w:p w14:paraId="6C83C52C" w14:textId="1C1F0245" w:rsidR="00B4260D" w:rsidRPr="00B4260D" w:rsidRDefault="00B4260D" w:rsidP="00B4260D">
      <w:pPr>
        <w:rPr>
          <w:rFonts w:ascii="Times New Roman" w:hAnsi="Times New Roman" w:cs="Times New Roman"/>
          <w:b/>
          <w:bCs/>
          <w:color w:val="0070C0"/>
          <w:sz w:val="24"/>
          <w:szCs w:val="24"/>
          <w:u w:val="single"/>
          <w:lang w:val="en-US"/>
        </w:rPr>
      </w:pPr>
      <w:r w:rsidRPr="00B4260D">
        <w:rPr>
          <w:rFonts w:ascii="Arial" w:eastAsia="Times New Roman" w:hAnsi="Arial" w:cs="Arial"/>
          <w:color w:val="000000"/>
          <w:sz w:val="30"/>
          <w:szCs w:val="30"/>
          <w:bdr w:val="none" w:sz="0" w:space="0" w:color="auto" w:frame="1"/>
          <w:lang w:eastAsia="en-GB"/>
        </w:rPr>
        <w:br/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7030A0"/>
          <w:sz w:val="24"/>
          <w:szCs w:val="24"/>
          <w:u w:val="single"/>
          <w:lang w:val="en-US"/>
        </w:rPr>
        <w:t>Question-2:</w:t>
      </w:r>
    </w:p>
    <w:p w14:paraId="437C2CC0" w14:textId="14D58367" w:rsidR="00B4260D" w:rsidRDefault="00B4260D" w:rsidP="00B4260D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3947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Briefly discuss the Woodward-Fieser rule for Conjugated Dienes</w:t>
      </w:r>
      <w:r w:rsidRPr="00394783">
        <w:rPr>
          <w:rFonts w:ascii="Times New Roman" w:hAnsi="Times New Roman" w:cs="Times New Roman"/>
          <w:b/>
          <w:color w:val="0070C0"/>
          <w:sz w:val="24"/>
          <w:szCs w:val="24"/>
        </w:rPr>
        <w:t>.</w:t>
      </w:r>
    </w:p>
    <w:p w14:paraId="5E1ED0D2" w14:textId="5F3DF04A" w:rsidR="00B4260D" w:rsidRDefault="00B4260D" w:rsidP="00B4260D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66382537" w14:textId="23D091F9" w:rsidR="00B4260D" w:rsidRPr="00B4260D" w:rsidRDefault="00B4260D" w:rsidP="00B4260D">
      <w:pPr>
        <w:rPr>
          <w:rFonts w:ascii="Times New Roman" w:hAnsi="Times New Roman" w:cs="Times New Roman"/>
          <w:b/>
          <w:sz w:val="24"/>
          <w:szCs w:val="24"/>
        </w:rPr>
      </w:pPr>
      <w:r w:rsidRPr="00B4260D">
        <w:rPr>
          <w:rFonts w:ascii="Times New Roman" w:hAnsi="Times New Roman" w:cs="Times New Roman"/>
          <w:b/>
          <w:sz w:val="24"/>
          <w:szCs w:val="24"/>
          <w:highlight w:val="lightGray"/>
        </w:rPr>
        <w:t>Answer:</w:t>
      </w:r>
    </w:p>
    <w:p w14:paraId="041CCA81" w14:textId="2C174C43" w:rsidR="00B4260D" w:rsidRPr="00394783" w:rsidRDefault="00B4260D" w:rsidP="00B4260D">
      <w:pPr>
        <w:rPr>
          <w:rFonts w:ascii="Times New Roman" w:hAnsi="Times New Roman" w:cs="Times New Roman"/>
          <w:sz w:val="24"/>
          <w:szCs w:val="24"/>
        </w:rPr>
      </w:pPr>
      <w:r w:rsidRPr="00394783">
        <w:rPr>
          <w:rFonts w:ascii="Times New Roman" w:hAnsi="Times New Roman" w:cs="Times New Roman"/>
          <w:color w:val="0070C0"/>
          <w:sz w:val="24"/>
          <w:szCs w:val="24"/>
        </w:rPr>
        <w:tab/>
        <w:t xml:space="preserve">       </w:t>
      </w:r>
      <w:r w:rsidRPr="0039478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Each type of diene or triene system is having a certain fixed value of </w:t>
      </w:r>
      <w:proofErr w:type="spellStart"/>
      <w:r w:rsidRPr="00394783">
        <w:rPr>
          <w:rFonts w:ascii="Times New Roman" w:hAnsi="Times New Roman" w:cs="Times New Roman"/>
          <w:sz w:val="24"/>
          <w:szCs w:val="24"/>
        </w:rPr>
        <w:t>λmax</w:t>
      </w:r>
      <w:proofErr w:type="spellEnd"/>
      <w:r w:rsidRPr="00394783">
        <w:rPr>
          <w:rFonts w:ascii="Times New Roman" w:hAnsi="Times New Roman" w:cs="Times New Roman"/>
          <w:sz w:val="24"/>
          <w:szCs w:val="24"/>
        </w:rPr>
        <w:t xml:space="preserve"> which is known as the Base value or Parent value. The base value depends upon whether the diene is a linear or </w:t>
      </w:r>
      <w:proofErr w:type="spellStart"/>
      <w:r w:rsidRPr="00394783">
        <w:rPr>
          <w:rFonts w:ascii="Times New Roman" w:hAnsi="Times New Roman" w:cs="Times New Roman"/>
          <w:sz w:val="24"/>
          <w:szCs w:val="24"/>
        </w:rPr>
        <w:t>heteroannular</w:t>
      </w:r>
      <w:proofErr w:type="spellEnd"/>
      <w:r w:rsidRPr="00394783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394783">
        <w:rPr>
          <w:rFonts w:ascii="Times New Roman" w:hAnsi="Times New Roman" w:cs="Times New Roman"/>
          <w:sz w:val="24"/>
          <w:szCs w:val="24"/>
        </w:rPr>
        <w:t>transoid</w:t>
      </w:r>
      <w:proofErr w:type="spellEnd"/>
      <w:r w:rsidRPr="00394783">
        <w:rPr>
          <w:rFonts w:ascii="Times New Roman" w:hAnsi="Times New Roman" w:cs="Times New Roman"/>
          <w:sz w:val="24"/>
          <w:szCs w:val="24"/>
        </w:rPr>
        <w:t xml:space="preserve"> diene, or whether it is a cyclic or </w:t>
      </w:r>
      <w:proofErr w:type="spellStart"/>
      <w:r w:rsidRPr="00394783">
        <w:rPr>
          <w:rFonts w:ascii="Times New Roman" w:hAnsi="Times New Roman" w:cs="Times New Roman"/>
          <w:sz w:val="24"/>
          <w:szCs w:val="24"/>
        </w:rPr>
        <w:t>homoannular</w:t>
      </w:r>
      <w:proofErr w:type="spellEnd"/>
      <w:r w:rsidRPr="00394783">
        <w:rPr>
          <w:rFonts w:ascii="Times New Roman" w:hAnsi="Times New Roman" w:cs="Times New Roman"/>
          <w:sz w:val="24"/>
          <w:szCs w:val="24"/>
        </w:rPr>
        <w:t xml:space="preserve"> diene. Substituents such as alkyl substituents or ring residue, double bond extending conjugation and polar groups such as –Cl, -Br etc also contribute some numeral values which are added to the base value to obtain </w:t>
      </w:r>
      <w:proofErr w:type="spellStart"/>
      <w:r w:rsidRPr="00394783">
        <w:rPr>
          <w:rFonts w:ascii="Times New Roman" w:hAnsi="Times New Roman" w:cs="Times New Roman"/>
          <w:sz w:val="24"/>
          <w:szCs w:val="24"/>
        </w:rPr>
        <w:t>λmax</w:t>
      </w:r>
      <w:proofErr w:type="spellEnd"/>
      <w:r w:rsidRPr="00394783">
        <w:rPr>
          <w:rFonts w:ascii="Times New Roman" w:hAnsi="Times New Roman" w:cs="Times New Roman"/>
          <w:sz w:val="24"/>
          <w:szCs w:val="24"/>
        </w:rPr>
        <w:t xml:space="preserve"> for a particular compound. A diene can be acyclic diene, </w:t>
      </w:r>
      <w:proofErr w:type="spellStart"/>
      <w:r w:rsidRPr="00394783">
        <w:rPr>
          <w:rFonts w:ascii="Times New Roman" w:hAnsi="Times New Roman" w:cs="Times New Roman"/>
          <w:sz w:val="24"/>
          <w:szCs w:val="24"/>
        </w:rPr>
        <w:t>homoannular</w:t>
      </w:r>
      <w:proofErr w:type="spellEnd"/>
      <w:r w:rsidRPr="00394783">
        <w:rPr>
          <w:rFonts w:ascii="Times New Roman" w:hAnsi="Times New Roman" w:cs="Times New Roman"/>
          <w:sz w:val="24"/>
          <w:szCs w:val="24"/>
        </w:rPr>
        <w:t xml:space="preserve"> conjugated diene, </w:t>
      </w:r>
      <w:proofErr w:type="spellStart"/>
      <w:r w:rsidRPr="00394783">
        <w:rPr>
          <w:rFonts w:ascii="Times New Roman" w:hAnsi="Times New Roman" w:cs="Times New Roman"/>
          <w:sz w:val="24"/>
          <w:szCs w:val="24"/>
        </w:rPr>
        <w:t>heteroannular</w:t>
      </w:r>
      <w:proofErr w:type="spellEnd"/>
      <w:r w:rsidRPr="00394783">
        <w:rPr>
          <w:rFonts w:ascii="Times New Roman" w:hAnsi="Times New Roman" w:cs="Times New Roman"/>
          <w:sz w:val="24"/>
          <w:szCs w:val="24"/>
        </w:rPr>
        <w:t xml:space="preserve"> diene.</w:t>
      </w:r>
    </w:p>
    <w:p w14:paraId="091597C7" w14:textId="77777777" w:rsidR="00B4260D" w:rsidRPr="00B4260D" w:rsidRDefault="00B4260D" w:rsidP="00B4260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sectPr w:rsidR="00B4260D" w:rsidRPr="00B4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0D"/>
    <w:rsid w:val="00332908"/>
    <w:rsid w:val="00B4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B42A"/>
  <w15:chartTrackingRefBased/>
  <w15:docId w15:val="{FF5F7BA4-E3D8-4754-AE20-8F285D53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42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3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2021-08-04T18:12:00Z</dcterms:created>
  <dcterms:modified xsi:type="dcterms:W3CDTF">2021-08-04T18:20:00Z</dcterms:modified>
</cp:coreProperties>
</file>