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E58E30" w14:textId="77777777" w:rsidR="00653AAD" w:rsidRDefault="001E14E4">
      <w:pPr>
        <w:shd w:val="clear" w:color="auto" w:fill="FFFFFF"/>
        <w:spacing w:after="0"/>
        <w:jc w:val="center"/>
        <w:rPr>
          <w:rFonts w:ascii="Times New Roman" w:eastAsia="Times New Roman" w:hAnsi="Times New Roman"/>
          <w:b/>
          <w:sz w:val="24"/>
          <w:szCs w:val="24"/>
        </w:rPr>
      </w:pPr>
      <w:r>
        <w:rPr>
          <w:rFonts w:ascii="Times New Roman" w:eastAsia="Times New Roman" w:hAnsi="Times New Roman"/>
          <w:b/>
          <w:sz w:val="24"/>
          <w:szCs w:val="24"/>
        </w:rPr>
        <w:t xml:space="preserve">MA ELT </w:t>
      </w:r>
    </w:p>
    <w:p w14:paraId="1E8C9D28" w14:textId="77777777" w:rsidR="00653AAD" w:rsidRDefault="001E14E4">
      <w:pPr>
        <w:shd w:val="clear" w:color="auto" w:fill="FFFFFF"/>
        <w:spacing w:after="0"/>
        <w:jc w:val="center"/>
        <w:rPr>
          <w:rFonts w:ascii="Times New Roman" w:eastAsia="Times New Roman" w:hAnsi="Times New Roman"/>
          <w:b/>
          <w:sz w:val="24"/>
          <w:szCs w:val="24"/>
        </w:rPr>
      </w:pPr>
      <w:sdt>
        <w:sdtPr>
          <w:rPr>
            <w:rFonts w:ascii="Times New Roman" w:eastAsiaTheme="majorEastAsia" w:hAnsi="Times New Roman"/>
            <w:b/>
            <w:sz w:val="24"/>
            <w:szCs w:val="24"/>
          </w:rPr>
          <w:alias w:val="Title"/>
          <w:id w:val="15524250"/>
          <w:showingPlcHdr/>
          <w:dataBinding w:prefixMappings="xmlns:ns0='http://schemas.openxmlformats.org/package/2006/metadata/core-properties' xmlns:ns1='http://purl.org/dc/elements/1.1/'" w:xpath="/ns0:coreProperties[1]/ns1:title[1]" w:storeItemID="{6C3C8BC8-F283-45AE-878A-BAB7291924A1}"/>
          <w:text/>
        </w:sdtPr>
        <w:sdtEndPr/>
        <w:sdtContent>
          <w:r w:rsidR="009C2EA1">
            <w:rPr>
              <w:rFonts w:ascii="Times New Roman" w:eastAsiaTheme="majorEastAsia" w:hAnsi="Times New Roman"/>
              <w:b/>
              <w:sz w:val="24"/>
              <w:szCs w:val="24"/>
            </w:rPr>
            <w:t xml:space="preserve">     </w:t>
          </w:r>
        </w:sdtContent>
      </w:sdt>
      <w:r>
        <w:rPr>
          <w:rFonts w:ascii="Times New Roman" w:eastAsia="Times New Roman" w:hAnsi="Times New Roman"/>
          <w:b/>
          <w:sz w:val="24"/>
          <w:szCs w:val="24"/>
        </w:rPr>
        <w:t xml:space="preserve"> (ENG 50</w:t>
      </w:r>
      <w:r>
        <w:rPr>
          <w:rFonts w:ascii="Times New Roman" w:eastAsia="Times New Roman" w:hAnsi="Times New Roman"/>
          <w:b/>
          <w:sz w:val="24"/>
          <w:szCs w:val="24"/>
        </w:rPr>
        <w:t>5</w:t>
      </w:r>
      <w:r>
        <w:rPr>
          <w:rFonts w:ascii="Times New Roman" w:eastAsia="Times New Roman" w:hAnsi="Times New Roman"/>
          <w:b/>
          <w:sz w:val="24"/>
          <w:szCs w:val="24"/>
        </w:rPr>
        <w:t>)</w:t>
      </w:r>
    </w:p>
    <w:p w14:paraId="1375D995" w14:textId="77777777" w:rsidR="00653AAD" w:rsidRDefault="001E14E4">
      <w:pPr>
        <w:spacing w:before="0" w:beforeAutospacing="0" w:after="0" w:afterAutospacing="0"/>
        <w:ind w:rightChars="-150" w:right="-300"/>
        <w:rPr>
          <w:rFonts w:ascii="Times New Roman" w:eastAsia="sans-serif" w:hAnsi="Times New Roman" w:cs="Times New Roman"/>
          <w:b/>
          <w:bCs/>
          <w:sz w:val="24"/>
          <w:szCs w:val="24"/>
          <w:shd w:val="clear" w:color="auto" w:fill="FFFFFF"/>
        </w:rPr>
      </w:pPr>
      <w:r>
        <w:rPr>
          <w:rFonts w:ascii="Times New Roman" w:eastAsia="sans-serif" w:hAnsi="Times New Roman" w:cs="Times New Roman"/>
          <w:b/>
          <w:bCs/>
          <w:sz w:val="24"/>
          <w:szCs w:val="24"/>
          <w:shd w:val="clear" w:color="auto" w:fill="FFFFFF"/>
        </w:rPr>
        <w:t>Spring 2023</w:t>
      </w:r>
    </w:p>
    <w:p w14:paraId="2B28D8A3" w14:textId="77777777" w:rsidR="00653AAD" w:rsidRDefault="001E14E4">
      <w:pPr>
        <w:spacing w:before="0" w:beforeAutospacing="0" w:after="0" w:afterAutospacing="0"/>
        <w:ind w:rightChars="-150" w:right="-300"/>
        <w:rPr>
          <w:rFonts w:ascii="Times New Roman" w:eastAsia="sans-serif" w:hAnsi="Times New Roman" w:cs="Times New Roman"/>
          <w:b/>
          <w:bCs/>
          <w:sz w:val="24"/>
          <w:szCs w:val="24"/>
          <w:shd w:val="clear" w:color="auto" w:fill="FFFFFF"/>
        </w:rPr>
      </w:pPr>
      <w:r>
        <w:rPr>
          <w:rFonts w:ascii="Times New Roman" w:eastAsia="sans-serif" w:hAnsi="Times New Roman" w:cs="Times New Roman"/>
          <w:b/>
          <w:bCs/>
          <w:sz w:val="24"/>
          <w:szCs w:val="24"/>
          <w:shd w:val="clear" w:color="auto" w:fill="FFFFFF"/>
        </w:rPr>
        <w:t>Assignment No. 1</w:t>
      </w:r>
    </w:p>
    <w:p w14:paraId="590B9ED5" w14:textId="77777777" w:rsidR="00653AAD" w:rsidRDefault="001E14E4">
      <w:pPr>
        <w:spacing w:before="0" w:beforeAutospacing="0" w:after="0" w:afterAutospacing="0"/>
        <w:ind w:rightChars="-150" w:right="-300"/>
        <w:rPr>
          <w:rFonts w:ascii="Times New Roman" w:eastAsia="sans-serif" w:hAnsi="Times New Roman" w:cs="Times New Roman"/>
          <w:b/>
          <w:bCs/>
          <w:sz w:val="24"/>
          <w:szCs w:val="24"/>
          <w:shd w:val="clear" w:color="auto" w:fill="FFFFFF"/>
        </w:rPr>
      </w:pPr>
      <w:r>
        <w:rPr>
          <w:rFonts w:ascii="Times New Roman" w:hAnsi="Times New Roman" w:cs="Times New Roman"/>
          <w:b/>
          <w:sz w:val="24"/>
          <w:szCs w:val="24"/>
        </w:rPr>
        <w:t>Total Marks: 20</w:t>
      </w:r>
    </w:p>
    <w:p w14:paraId="2DD9455F" w14:textId="77777777" w:rsidR="00653AAD" w:rsidRDefault="001E14E4">
      <w:pPr>
        <w:spacing w:before="0" w:beforeAutospacing="0" w:after="0" w:afterAutospacing="0"/>
        <w:ind w:rightChars="-150" w:right="-300"/>
        <w:rPr>
          <w:rFonts w:ascii="Times New Roman" w:eastAsia="sans-serif" w:hAnsi="Times New Roman" w:cs="Times New Roman"/>
          <w:b/>
          <w:bCs/>
          <w:sz w:val="24"/>
          <w:szCs w:val="24"/>
          <w:shd w:val="clear" w:color="auto" w:fill="FFFFFF"/>
        </w:rPr>
      </w:pPr>
      <w:r>
        <w:rPr>
          <w:rFonts w:ascii="Times New Roman" w:eastAsia="sans-serif" w:hAnsi="Times New Roman" w:cs="Times New Roman"/>
          <w:b/>
          <w:bCs/>
          <w:sz w:val="24"/>
          <w:szCs w:val="24"/>
          <w:shd w:val="clear" w:color="auto" w:fill="FFFFFF"/>
        </w:rPr>
        <w:t>Lesson 21-30 (Topic no. 74-100)</w:t>
      </w:r>
    </w:p>
    <w:p w14:paraId="034707E3" w14:textId="77777777" w:rsidR="00653AAD" w:rsidRDefault="001E14E4">
      <w:pPr>
        <w:spacing w:after="0"/>
        <w:rPr>
          <w:rFonts w:ascii="Times New Roman" w:hAnsi="Times New Roman"/>
          <w:b/>
          <w:sz w:val="24"/>
          <w:szCs w:val="24"/>
        </w:rPr>
      </w:pPr>
      <w:r>
        <w:rPr>
          <w:rFonts w:ascii="Times New Roman" w:hAnsi="Times New Roman"/>
          <w:b/>
          <w:sz w:val="24"/>
          <w:szCs w:val="24"/>
        </w:rPr>
        <w:t>Instructions:</w:t>
      </w:r>
      <w:bookmarkStart w:id="0" w:name="_GoBack"/>
      <w:bookmarkEnd w:id="0"/>
    </w:p>
    <w:p w14:paraId="57062FAF" w14:textId="77777777" w:rsidR="00653AAD" w:rsidRDefault="001E14E4">
      <w:pPr>
        <w:pStyle w:val="ListParagraph"/>
        <w:numPr>
          <w:ilvl w:val="0"/>
          <w:numId w:val="1"/>
        </w:numPr>
        <w:spacing w:after="0"/>
        <w:rPr>
          <w:rFonts w:ascii="Times New Roman" w:hAnsi="Times New Roman"/>
          <w:bCs/>
          <w:sz w:val="24"/>
          <w:szCs w:val="24"/>
        </w:rPr>
      </w:pPr>
      <w:r>
        <w:rPr>
          <w:rFonts w:ascii="Times New Roman" w:hAnsi="Times New Roman"/>
          <w:bCs/>
          <w:sz w:val="24"/>
          <w:szCs w:val="24"/>
        </w:rPr>
        <w:t xml:space="preserve">Upload your assignments in a proper format, i.e. MS word file. Only doc and docx formats are allowed. Corrupt files will be awarded zero marks. </w:t>
      </w:r>
    </w:p>
    <w:p w14:paraId="23602A77" w14:textId="77777777" w:rsidR="00653AAD" w:rsidRDefault="001E14E4">
      <w:pPr>
        <w:pStyle w:val="ListParagraph"/>
        <w:numPr>
          <w:ilvl w:val="0"/>
          <w:numId w:val="1"/>
        </w:numPr>
        <w:spacing w:after="0"/>
        <w:rPr>
          <w:rFonts w:ascii="Times New Roman" w:hAnsi="Times New Roman"/>
          <w:bCs/>
          <w:sz w:val="24"/>
          <w:szCs w:val="24"/>
        </w:rPr>
      </w:pPr>
      <w:r>
        <w:rPr>
          <w:rFonts w:ascii="Times New Roman" w:hAnsi="Times New Roman"/>
          <w:bCs/>
          <w:sz w:val="24"/>
          <w:szCs w:val="24"/>
        </w:rPr>
        <w:t>The assignments should be zoomed in at 100%.</w:t>
      </w:r>
    </w:p>
    <w:p w14:paraId="3B49D233" w14:textId="77777777" w:rsidR="00653AAD" w:rsidRDefault="001E14E4">
      <w:pPr>
        <w:pStyle w:val="ListParagraph"/>
        <w:numPr>
          <w:ilvl w:val="0"/>
          <w:numId w:val="1"/>
        </w:numPr>
        <w:spacing w:after="0"/>
        <w:rPr>
          <w:rFonts w:ascii="Times New Roman" w:hAnsi="Times New Roman"/>
          <w:bCs/>
          <w:sz w:val="24"/>
          <w:szCs w:val="24"/>
        </w:rPr>
      </w:pPr>
      <w:r>
        <w:rPr>
          <w:rFonts w:ascii="Times New Roman" w:hAnsi="Times New Roman"/>
          <w:bCs/>
          <w:sz w:val="24"/>
          <w:szCs w:val="24"/>
        </w:rPr>
        <w:t xml:space="preserve">Please avoid plagiarism; plagiarized work will be marked </w:t>
      </w:r>
      <w:r>
        <w:rPr>
          <w:rFonts w:ascii="Times New Roman" w:hAnsi="Times New Roman"/>
          <w:bCs/>
          <w:sz w:val="24"/>
          <w:szCs w:val="24"/>
        </w:rPr>
        <w:t>zero.</w:t>
      </w:r>
    </w:p>
    <w:p w14:paraId="1A11C67F" w14:textId="77777777" w:rsidR="00653AAD" w:rsidRDefault="001E14E4">
      <w:pPr>
        <w:pStyle w:val="ListParagraph"/>
        <w:numPr>
          <w:ilvl w:val="0"/>
          <w:numId w:val="1"/>
        </w:numPr>
        <w:spacing w:after="0"/>
        <w:rPr>
          <w:rFonts w:ascii="Times New Roman" w:hAnsi="Times New Roman"/>
          <w:bCs/>
          <w:sz w:val="24"/>
          <w:szCs w:val="24"/>
        </w:rPr>
      </w:pPr>
      <w:r>
        <w:rPr>
          <w:rFonts w:ascii="Times New Roman" w:hAnsi="Times New Roman"/>
          <w:bCs/>
          <w:sz w:val="24"/>
          <w:szCs w:val="24"/>
        </w:rPr>
        <w:t>After the due date, the assignments submitted via email would NOT be entertained.</w:t>
      </w:r>
    </w:p>
    <w:p w14:paraId="36F8B30E" w14:textId="77777777" w:rsidR="00653AAD" w:rsidRDefault="001E14E4">
      <w:pPr>
        <w:pStyle w:val="ListParagraph"/>
        <w:numPr>
          <w:ilvl w:val="0"/>
          <w:numId w:val="1"/>
        </w:numPr>
        <w:spacing w:after="0"/>
        <w:rPr>
          <w:rFonts w:ascii="Times New Roman" w:hAnsi="Times New Roman"/>
          <w:bCs/>
          <w:sz w:val="24"/>
          <w:szCs w:val="24"/>
        </w:rPr>
      </w:pPr>
      <w:r>
        <w:rPr>
          <w:rFonts w:ascii="Times New Roman" w:hAnsi="Times New Roman"/>
          <w:bCs/>
          <w:sz w:val="24"/>
          <w:szCs w:val="24"/>
        </w:rPr>
        <w:t>Please avoid submitting copied assignments; otherwise, such a case would be referred to the discipline committee and awarded zero marks.</w:t>
      </w:r>
    </w:p>
    <w:p w14:paraId="7DF9ED69" w14:textId="77777777" w:rsidR="00653AAD" w:rsidRDefault="001E14E4">
      <w:pPr>
        <w:pStyle w:val="ListParagraph"/>
        <w:numPr>
          <w:ilvl w:val="0"/>
          <w:numId w:val="1"/>
        </w:numPr>
        <w:spacing w:after="0"/>
        <w:rPr>
          <w:rFonts w:ascii="Times New Roman" w:eastAsia="Times New Roman" w:hAnsi="Times New Roman"/>
          <w:b/>
          <w:bCs/>
          <w:color w:val="000000"/>
          <w:sz w:val="24"/>
          <w:szCs w:val="24"/>
        </w:rPr>
      </w:pPr>
      <w:r>
        <w:rPr>
          <w:rFonts w:ascii="Times New Roman" w:hAnsi="Times New Roman"/>
          <w:bCs/>
          <w:sz w:val="24"/>
          <w:szCs w:val="24"/>
        </w:rPr>
        <w:t>The font color should be prefer</w:t>
      </w:r>
      <w:r>
        <w:rPr>
          <w:rFonts w:ascii="Times New Roman" w:hAnsi="Times New Roman"/>
          <w:bCs/>
          <w:sz w:val="24"/>
          <w:szCs w:val="24"/>
        </w:rPr>
        <w:t>ably black and font size 12 Times New Roman.</w:t>
      </w:r>
    </w:p>
    <w:p w14:paraId="7815C05D" w14:textId="77777777" w:rsidR="00653AAD" w:rsidRDefault="00653AAD">
      <w:pPr>
        <w:pStyle w:val="ListParagraph"/>
        <w:spacing w:after="0"/>
        <w:ind w:left="0"/>
        <w:rPr>
          <w:rFonts w:ascii="Times New Roman" w:hAnsi="Times New Roman"/>
          <w:bCs/>
          <w:sz w:val="24"/>
          <w:szCs w:val="24"/>
        </w:rPr>
      </w:pPr>
    </w:p>
    <w:p w14:paraId="7581AD49" w14:textId="77777777" w:rsidR="00653AAD" w:rsidRDefault="001E14E4">
      <w:pPr>
        <w:pStyle w:val="ListParagraph"/>
        <w:spacing w:after="0"/>
        <w:ind w:left="0"/>
        <w:rPr>
          <w:rFonts w:ascii="Times New Roman" w:eastAsia="Times New Roman" w:hAnsi="Times New Roman"/>
          <w:b/>
          <w:bCs/>
          <w:color w:val="000000"/>
          <w:sz w:val="24"/>
          <w:szCs w:val="24"/>
        </w:rPr>
      </w:pPr>
      <w:r>
        <w:rPr>
          <w:rFonts w:ascii="Times New Roman" w:eastAsia="SimSun" w:hAnsi="Times New Roman" w:cs="Times New Roman"/>
          <w:b/>
          <w:bCs/>
          <w:sz w:val="24"/>
          <w:szCs w:val="24"/>
        </w:rPr>
        <w:t>Q1.</w:t>
      </w:r>
      <w:r>
        <w:rPr>
          <w:rFonts w:ascii="Times New Roman" w:eastAsia="SimSun" w:hAnsi="Times New Roman" w:cs="Times New Roman"/>
          <w:sz w:val="24"/>
          <w:szCs w:val="24"/>
        </w:rPr>
        <w:t xml:space="preserve"> </w:t>
      </w:r>
      <w:r>
        <w:rPr>
          <w:rFonts w:ascii="Times New Roman" w:eastAsia="Times New Roman" w:hAnsi="Times New Roman"/>
          <w:b/>
          <w:bCs/>
          <w:color w:val="000000"/>
          <w:sz w:val="24"/>
          <w:szCs w:val="24"/>
        </w:rPr>
        <w:t xml:space="preserve">Language learning factors contribute significantly in the understanding of processes involved in SLA. </w:t>
      </w:r>
      <w:r>
        <w:rPr>
          <w:rFonts w:ascii="Times New Roman" w:eastAsia="Times New Roman" w:hAnsi="Times New Roman"/>
          <w:b/>
          <w:bCs/>
          <w:color w:val="000000"/>
          <w:sz w:val="24"/>
          <w:szCs w:val="24"/>
        </w:rPr>
        <w:t>Keeping this in view discuss any five external factors of language learning as discussed in your course.</w:t>
      </w:r>
      <w:r>
        <w:rPr>
          <w:rFonts w:ascii="Times New Roman" w:eastAsia="Times New Roman" w:hAnsi="Times New Roman"/>
          <w:b/>
          <w:bCs/>
          <w:color w:val="000000"/>
          <w:sz w:val="24"/>
          <w:szCs w:val="24"/>
        </w:rPr>
        <w:t xml:space="preserve"> </w:t>
      </w:r>
    </w:p>
    <w:p w14:paraId="0AE1D351" w14:textId="77777777" w:rsidR="00653AAD" w:rsidRDefault="001E14E4">
      <w:pPr>
        <w:ind w:left="0"/>
        <w:rPr>
          <w:rFonts w:ascii="Times New Roman" w:hAnsi="Times New Roman" w:cs="Times New Roman"/>
          <w:b/>
          <w:sz w:val="24"/>
          <w:szCs w:val="24"/>
        </w:rPr>
      </w:pPr>
      <w:r>
        <w:rPr>
          <w:rFonts w:ascii="Times New Roman" w:hAnsi="Times New Roman" w:cs="Times New Roman"/>
          <w:b/>
          <w:sz w:val="24"/>
          <w:szCs w:val="24"/>
        </w:rPr>
        <w:t>Note: Please go through topic no.</w:t>
      </w:r>
      <w:r>
        <w:rPr>
          <w:rFonts w:ascii="Times New Roman" w:hAnsi="Times New Roman" w:cs="Times New Roman"/>
          <w:b/>
          <w:sz w:val="24"/>
          <w:szCs w:val="24"/>
        </w:rPr>
        <w:t xml:space="preserve"> 94</w:t>
      </w:r>
      <w:r>
        <w:rPr>
          <w:rFonts w:ascii="Times New Roman" w:hAnsi="Times New Roman" w:cs="Times New Roman"/>
          <w:b/>
          <w:sz w:val="24"/>
          <w:szCs w:val="24"/>
        </w:rPr>
        <w:t xml:space="preserve"> of your handouts for guidance. </w:t>
      </w:r>
    </w:p>
    <w:p w14:paraId="14747F67" w14:textId="77777777" w:rsidR="00653AAD" w:rsidRDefault="001E14E4">
      <w:pPr>
        <w:ind w:left="5040" w:firstLine="720"/>
        <w:rPr>
          <w:rFonts w:ascii="Times New Roman" w:eastAsia="SimSun" w:hAnsi="Times New Roman" w:cs="Times New Roman"/>
          <w:sz w:val="24"/>
          <w:szCs w:val="24"/>
        </w:rPr>
      </w:pPr>
      <w:r>
        <w:rPr>
          <w:rFonts w:ascii="Times New Roman" w:eastAsia="SimSun" w:hAnsi="Times New Roman" w:cs="Times New Roman"/>
          <w:sz w:val="24"/>
          <w:szCs w:val="24"/>
        </w:rPr>
        <w:tab/>
      </w:r>
      <w:r>
        <w:rPr>
          <w:rFonts w:ascii="Times New Roman" w:eastAsia="Segoe UI" w:hAnsi="Times New Roman"/>
          <w:b/>
          <w:bCs/>
          <w:color w:val="111111"/>
          <w:sz w:val="24"/>
          <w:szCs w:val="24"/>
          <w:shd w:val="clear" w:color="auto" w:fill="FFFFFF"/>
        </w:rPr>
        <w:t>(5x4 = 20 Marks)</w:t>
      </w:r>
      <w:r>
        <w:rPr>
          <w:rFonts w:ascii="Times New Roman" w:eastAsia="Segoe UI" w:hAnsi="Times New Roman"/>
          <w:color w:val="111111"/>
          <w:sz w:val="24"/>
          <w:szCs w:val="24"/>
          <w:shd w:val="clear" w:color="auto" w:fill="FFFFFF"/>
        </w:rPr>
        <w:tab/>
      </w:r>
    </w:p>
    <w:p w14:paraId="3AAAF311" w14:textId="0F6EBCD5" w:rsidR="009C2EA1" w:rsidRPr="009C2EA1" w:rsidRDefault="009C2EA1" w:rsidP="009C2EA1">
      <w:pPr>
        <w:ind w:left="0"/>
        <w:rPr>
          <w:rFonts w:asciiTheme="majorBidi" w:hAnsiTheme="majorBidi" w:cstheme="majorBidi"/>
          <w:sz w:val="24"/>
          <w:szCs w:val="24"/>
        </w:rPr>
      </w:pPr>
      <w:r w:rsidRPr="009C2EA1">
        <w:rPr>
          <w:rFonts w:asciiTheme="majorBidi" w:hAnsiTheme="majorBidi" w:cstheme="majorBidi"/>
          <w:sz w:val="24"/>
          <w:szCs w:val="24"/>
        </w:rPr>
        <w:t>Here are five external factors that can influence language learning:</w:t>
      </w:r>
    </w:p>
    <w:p w14:paraId="4B3BB961" w14:textId="77777777" w:rsidR="009C2EA1" w:rsidRPr="009C2EA1" w:rsidRDefault="009C2EA1" w:rsidP="009C2EA1">
      <w:pPr>
        <w:ind w:left="0"/>
        <w:rPr>
          <w:rFonts w:asciiTheme="majorBidi" w:hAnsiTheme="majorBidi" w:cstheme="majorBidi"/>
          <w:sz w:val="24"/>
          <w:szCs w:val="24"/>
        </w:rPr>
      </w:pPr>
    </w:p>
    <w:p w14:paraId="4D438EC9" w14:textId="77777777" w:rsidR="009C2EA1" w:rsidRPr="009C2EA1" w:rsidRDefault="009C2EA1" w:rsidP="009C2EA1">
      <w:pPr>
        <w:ind w:left="0"/>
        <w:rPr>
          <w:rFonts w:asciiTheme="majorBidi" w:hAnsiTheme="majorBidi" w:cstheme="majorBidi"/>
          <w:sz w:val="24"/>
          <w:szCs w:val="24"/>
        </w:rPr>
      </w:pPr>
      <w:r w:rsidRPr="009C2EA1">
        <w:rPr>
          <w:rFonts w:asciiTheme="majorBidi" w:hAnsiTheme="majorBidi" w:cstheme="majorBidi"/>
          <w:sz w:val="24"/>
          <w:szCs w:val="24"/>
        </w:rPr>
        <w:t>1. Exposure and Input:</w:t>
      </w:r>
    </w:p>
    <w:p w14:paraId="33C998FA" w14:textId="77777777" w:rsidR="009C2EA1" w:rsidRPr="009C2EA1" w:rsidRDefault="009C2EA1" w:rsidP="009C2EA1">
      <w:pPr>
        <w:ind w:left="0"/>
        <w:rPr>
          <w:rFonts w:asciiTheme="majorBidi" w:hAnsiTheme="majorBidi" w:cstheme="majorBidi"/>
          <w:sz w:val="24"/>
          <w:szCs w:val="24"/>
        </w:rPr>
      </w:pPr>
      <w:r w:rsidRPr="009C2EA1">
        <w:rPr>
          <w:rFonts w:asciiTheme="majorBidi" w:hAnsiTheme="majorBidi" w:cstheme="majorBidi"/>
          <w:sz w:val="24"/>
          <w:szCs w:val="24"/>
        </w:rPr>
        <w:t>Exposure to the target language and access to rich and authentic input are crucial for language learning. The amount and quality of exposure to spoken and written language significantly impact learners' vocabulary acquisition, grammar development, and overall language proficiency. Exposure can come from various sources such as conversations with native speakers, reading materials, audiovisual resources, or immersive language environments.</w:t>
      </w:r>
    </w:p>
    <w:p w14:paraId="57FE6E22" w14:textId="77777777" w:rsidR="009C2EA1" w:rsidRPr="009C2EA1" w:rsidRDefault="009C2EA1" w:rsidP="009C2EA1">
      <w:pPr>
        <w:ind w:left="0"/>
        <w:rPr>
          <w:rFonts w:asciiTheme="majorBidi" w:hAnsiTheme="majorBidi" w:cstheme="majorBidi"/>
          <w:sz w:val="24"/>
          <w:szCs w:val="24"/>
        </w:rPr>
      </w:pPr>
    </w:p>
    <w:p w14:paraId="56D3FAD9" w14:textId="77777777" w:rsidR="009C2EA1" w:rsidRPr="009C2EA1" w:rsidRDefault="009C2EA1" w:rsidP="009C2EA1">
      <w:pPr>
        <w:ind w:left="0"/>
        <w:rPr>
          <w:rFonts w:asciiTheme="majorBidi" w:hAnsiTheme="majorBidi" w:cstheme="majorBidi"/>
          <w:sz w:val="24"/>
          <w:szCs w:val="24"/>
        </w:rPr>
      </w:pPr>
      <w:r w:rsidRPr="009C2EA1">
        <w:rPr>
          <w:rFonts w:asciiTheme="majorBidi" w:hAnsiTheme="majorBidi" w:cstheme="majorBidi"/>
          <w:sz w:val="24"/>
          <w:szCs w:val="24"/>
        </w:rPr>
        <w:t>2. Social Interaction:</w:t>
      </w:r>
    </w:p>
    <w:p w14:paraId="1D4B3146" w14:textId="77777777" w:rsidR="009C2EA1" w:rsidRPr="009C2EA1" w:rsidRDefault="009C2EA1" w:rsidP="009C2EA1">
      <w:pPr>
        <w:ind w:left="0"/>
        <w:rPr>
          <w:rFonts w:asciiTheme="majorBidi" w:hAnsiTheme="majorBidi" w:cstheme="majorBidi"/>
          <w:sz w:val="24"/>
          <w:szCs w:val="24"/>
        </w:rPr>
      </w:pPr>
      <w:r w:rsidRPr="009C2EA1">
        <w:rPr>
          <w:rFonts w:asciiTheme="majorBidi" w:hAnsiTheme="majorBidi" w:cstheme="majorBidi"/>
          <w:sz w:val="24"/>
          <w:szCs w:val="24"/>
        </w:rPr>
        <w:t xml:space="preserve">Language learning occurs within a social context, and social interaction plays a vital role in language development. Engaging in conversations, participating in group activities, and interacting with speakers of the target language provide opportunities </w:t>
      </w:r>
      <w:r w:rsidRPr="009C2EA1">
        <w:rPr>
          <w:rFonts w:asciiTheme="majorBidi" w:hAnsiTheme="majorBidi" w:cstheme="majorBidi"/>
          <w:sz w:val="24"/>
          <w:szCs w:val="24"/>
        </w:rPr>
        <w:lastRenderedPageBreak/>
        <w:t>for practice, feedback, and negotiation of meaning. Meaningful social interaction helps learners develop their communicative skills, fluency, and pragmatic competence.</w:t>
      </w:r>
    </w:p>
    <w:p w14:paraId="68AE071F" w14:textId="77777777" w:rsidR="009C2EA1" w:rsidRPr="009C2EA1" w:rsidRDefault="009C2EA1" w:rsidP="009C2EA1">
      <w:pPr>
        <w:ind w:left="0"/>
        <w:rPr>
          <w:rFonts w:asciiTheme="majorBidi" w:hAnsiTheme="majorBidi" w:cstheme="majorBidi"/>
          <w:sz w:val="24"/>
          <w:szCs w:val="24"/>
        </w:rPr>
      </w:pPr>
    </w:p>
    <w:p w14:paraId="77540F0B" w14:textId="77777777" w:rsidR="009C2EA1" w:rsidRPr="009C2EA1" w:rsidRDefault="009C2EA1" w:rsidP="009C2EA1">
      <w:pPr>
        <w:ind w:left="0"/>
        <w:rPr>
          <w:rFonts w:asciiTheme="majorBidi" w:hAnsiTheme="majorBidi" w:cstheme="majorBidi"/>
          <w:sz w:val="24"/>
          <w:szCs w:val="24"/>
        </w:rPr>
      </w:pPr>
      <w:r w:rsidRPr="009C2EA1">
        <w:rPr>
          <w:rFonts w:asciiTheme="majorBidi" w:hAnsiTheme="majorBidi" w:cstheme="majorBidi"/>
          <w:sz w:val="24"/>
          <w:szCs w:val="24"/>
        </w:rPr>
        <w:t>3. Language Learning Environment:</w:t>
      </w:r>
    </w:p>
    <w:p w14:paraId="6ED21094" w14:textId="77777777" w:rsidR="009C2EA1" w:rsidRPr="009C2EA1" w:rsidRDefault="009C2EA1" w:rsidP="009C2EA1">
      <w:pPr>
        <w:ind w:left="0"/>
        <w:rPr>
          <w:rFonts w:asciiTheme="majorBidi" w:hAnsiTheme="majorBidi" w:cstheme="majorBidi"/>
          <w:sz w:val="24"/>
          <w:szCs w:val="24"/>
        </w:rPr>
      </w:pPr>
      <w:r w:rsidRPr="009C2EA1">
        <w:rPr>
          <w:rFonts w:asciiTheme="majorBidi" w:hAnsiTheme="majorBidi" w:cstheme="majorBidi"/>
          <w:sz w:val="24"/>
          <w:szCs w:val="24"/>
        </w:rPr>
        <w:t>The environment in which language learning takes place can have a significant impact. A supportive and language-rich environment, such as a classroom or language immersion program, can provide structured learning opportunities, resources, and guidance. The presence of qualified teachers, language learning materials, and technological tools can enhance the learning process.</w:t>
      </w:r>
    </w:p>
    <w:p w14:paraId="0BD2FA13" w14:textId="77777777" w:rsidR="009C2EA1" w:rsidRPr="009C2EA1" w:rsidRDefault="009C2EA1" w:rsidP="009C2EA1">
      <w:pPr>
        <w:ind w:left="0"/>
        <w:rPr>
          <w:rFonts w:asciiTheme="majorBidi" w:hAnsiTheme="majorBidi" w:cstheme="majorBidi"/>
          <w:sz w:val="24"/>
          <w:szCs w:val="24"/>
        </w:rPr>
      </w:pPr>
    </w:p>
    <w:p w14:paraId="37D06B91" w14:textId="77777777" w:rsidR="009C2EA1" w:rsidRPr="009C2EA1" w:rsidRDefault="009C2EA1" w:rsidP="009C2EA1">
      <w:pPr>
        <w:ind w:left="0"/>
        <w:rPr>
          <w:rFonts w:asciiTheme="majorBidi" w:hAnsiTheme="majorBidi" w:cstheme="majorBidi"/>
          <w:sz w:val="24"/>
          <w:szCs w:val="24"/>
        </w:rPr>
      </w:pPr>
      <w:r w:rsidRPr="009C2EA1">
        <w:rPr>
          <w:rFonts w:asciiTheme="majorBidi" w:hAnsiTheme="majorBidi" w:cstheme="majorBidi"/>
          <w:sz w:val="24"/>
          <w:szCs w:val="24"/>
        </w:rPr>
        <w:t>4. Motivation and Attitude:</w:t>
      </w:r>
    </w:p>
    <w:p w14:paraId="51BB6A26" w14:textId="77777777" w:rsidR="009C2EA1" w:rsidRPr="009C2EA1" w:rsidRDefault="009C2EA1" w:rsidP="009C2EA1">
      <w:pPr>
        <w:ind w:left="0"/>
        <w:rPr>
          <w:rFonts w:asciiTheme="majorBidi" w:hAnsiTheme="majorBidi" w:cstheme="majorBidi"/>
          <w:sz w:val="24"/>
          <w:szCs w:val="24"/>
        </w:rPr>
      </w:pPr>
      <w:r w:rsidRPr="009C2EA1">
        <w:rPr>
          <w:rFonts w:asciiTheme="majorBidi" w:hAnsiTheme="majorBidi" w:cstheme="majorBidi"/>
          <w:sz w:val="24"/>
          <w:szCs w:val="24"/>
        </w:rPr>
        <w:t>Motivation and attitude towards language learning influence learners' engagement and effort. External factors like parental or peer support, cultural attitudes towards language learning, and the perceived relevance and utility of the target language can significantly impact learners' motivation. Positive attitudes and intrinsic motivation lead to increased engagement, persistence, and achievement in language learning.</w:t>
      </w:r>
    </w:p>
    <w:p w14:paraId="1DE410CB" w14:textId="77777777" w:rsidR="009C2EA1" w:rsidRPr="009C2EA1" w:rsidRDefault="009C2EA1" w:rsidP="009C2EA1">
      <w:pPr>
        <w:ind w:left="0"/>
        <w:rPr>
          <w:rFonts w:asciiTheme="majorBidi" w:hAnsiTheme="majorBidi" w:cstheme="majorBidi"/>
          <w:sz w:val="24"/>
          <w:szCs w:val="24"/>
        </w:rPr>
      </w:pPr>
    </w:p>
    <w:p w14:paraId="5164FF2E" w14:textId="77777777" w:rsidR="009C2EA1" w:rsidRPr="009C2EA1" w:rsidRDefault="009C2EA1" w:rsidP="009C2EA1">
      <w:pPr>
        <w:ind w:left="0"/>
        <w:rPr>
          <w:rFonts w:asciiTheme="majorBidi" w:hAnsiTheme="majorBidi" w:cstheme="majorBidi"/>
          <w:sz w:val="24"/>
          <w:szCs w:val="24"/>
        </w:rPr>
      </w:pPr>
      <w:r w:rsidRPr="009C2EA1">
        <w:rPr>
          <w:rFonts w:asciiTheme="majorBidi" w:hAnsiTheme="majorBidi" w:cstheme="majorBidi"/>
          <w:sz w:val="24"/>
          <w:szCs w:val="24"/>
        </w:rPr>
        <w:t>5. Cultural Context:</w:t>
      </w:r>
    </w:p>
    <w:p w14:paraId="2A9E73D6" w14:textId="77777777" w:rsidR="009C2EA1" w:rsidRPr="009C2EA1" w:rsidRDefault="009C2EA1" w:rsidP="009C2EA1">
      <w:pPr>
        <w:ind w:left="0"/>
        <w:rPr>
          <w:rFonts w:asciiTheme="majorBidi" w:hAnsiTheme="majorBidi" w:cstheme="majorBidi"/>
          <w:sz w:val="24"/>
          <w:szCs w:val="24"/>
        </w:rPr>
      </w:pPr>
      <w:r w:rsidRPr="009C2EA1">
        <w:rPr>
          <w:rFonts w:asciiTheme="majorBidi" w:hAnsiTheme="majorBidi" w:cstheme="majorBidi"/>
          <w:sz w:val="24"/>
          <w:szCs w:val="24"/>
        </w:rPr>
        <w:t>The cultural context in which language learning occurs can shape learners' experiences and perspectives. Cultural factors, such as societal norms, values, and expectations related to language use, influence language learning outcomes. Understanding and appreciating the cultural aspects of the target language can enhance learners' intercultural competence and their ability to navigate diverse communication contexts.</w:t>
      </w:r>
    </w:p>
    <w:p w14:paraId="1BCE9057" w14:textId="77777777" w:rsidR="009C2EA1" w:rsidRPr="009C2EA1" w:rsidRDefault="009C2EA1" w:rsidP="009C2EA1">
      <w:pPr>
        <w:ind w:left="0"/>
        <w:rPr>
          <w:rFonts w:asciiTheme="majorBidi" w:hAnsiTheme="majorBidi" w:cstheme="majorBidi"/>
          <w:sz w:val="24"/>
          <w:szCs w:val="24"/>
        </w:rPr>
      </w:pPr>
    </w:p>
    <w:p w14:paraId="54485601" w14:textId="5E842AE7" w:rsidR="00653AAD" w:rsidRPr="009C2EA1" w:rsidRDefault="009C2EA1" w:rsidP="009C2EA1">
      <w:pPr>
        <w:ind w:left="0"/>
        <w:rPr>
          <w:rFonts w:asciiTheme="majorBidi" w:hAnsiTheme="majorBidi" w:cstheme="majorBidi"/>
          <w:sz w:val="24"/>
          <w:szCs w:val="24"/>
        </w:rPr>
      </w:pPr>
      <w:r w:rsidRPr="009C2EA1">
        <w:rPr>
          <w:rFonts w:asciiTheme="majorBidi" w:hAnsiTheme="majorBidi" w:cstheme="majorBidi"/>
          <w:sz w:val="24"/>
          <w:szCs w:val="24"/>
        </w:rPr>
        <w:t>It's important to note that these external factors interact with internal factors, such as learners' cognitive abilities, learning styles, and individual differences, in shaping the language learning process. Additionally, the influence of these external factors may vary depending on individual learners and their specific learning contexts.</w:t>
      </w:r>
    </w:p>
    <w:sectPr w:rsidR="00653AAD" w:rsidRPr="009C2EA1">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F1B79E" w14:textId="77777777" w:rsidR="001E14E4" w:rsidRDefault="001E14E4">
      <w:pPr>
        <w:spacing w:before="0" w:after="0"/>
      </w:pPr>
      <w:r>
        <w:separator/>
      </w:r>
    </w:p>
  </w:endnote>
  <w:endnote w:type="continuationSeparator" w:id="0">
    <w:p w14:paraId="6BFA90DE" w14:textId="77777777" w:rsidR="001E14E4" w:rsidRDefault="001E14E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ans-serif">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1169FE" w14:textId="77777777" w:rsidR="009C2EA1" w:rsidRDefault="009C2E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ED6635" w14:textId="77777777" w:rsidR="009C2EA1" w:rsidRDefault="009C2E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C67C99" w14:textId="77777777" w:rsidR="009C2EA1" w:rsidRDefault="009C2E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6BB0E1" w14:textId="77777777" w:rsidR="001E14E4" w:rsidRDefault="001E14E4">
      <w:pPr>
        <w:spacing w:before="0" w:after="0"/>
      </w:pPr>
      <w:r>
        <w:separator/>
      </w:r>
    </w:p>
  </w:footnote>
  <w:footnote w:type="continuationSeparator" w:id="0">
    <w:p w14:paraId="4A17A13D" w14:textId="77777777" w:rsidR="001E14E4" w:rsidRDefault="001E14E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73196D" w14:textId="60E2E1BB" w:rsidR="009C2EA1" w:rsidRDefault="009C2EA1">
    <w:pPr>
      <w:pStyle w:val="Header"/>
    </w:pPr>
    <w:r>
      <w:rPr>
        <w:noProof/>
      </w:rPr>
      <w:pict w14:anchorId="4D1605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33734641" o:spid="_x0000_s2050" type="#_x0000_t136" style="position:absolute;left:0;text-align:left;margin-left:0;margin-top:0;width:439.15pt;height:146.35pt;rotation:315;z-index:-251655168;mso-position-horizontal:center;mso-position-horizontal-relative:margin;mso-position-vertical:center;mso-position-vertical-relative:margin" o:allowincell="f" fillcolor="silver" stroked="f">
          <v:fill opacity=".5"/>
          <v:textpath style="font-family:&quot;Edwardian Script ITC&quot;;font-size:1pt" string="Maha Mali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A8A65B" w14:textId="0F90C12D" w:rsidR="009C2EA1" w:rsidRDefault="009C2EA1">
    <w:pPr>
      <w:pStyle w:val="Header"/>
    </w:pPr>
    <w:r>
      <w:rPr>
        <w:noProof/>
      </w:rPr>
      <w:pict w14:anchorId="15E50F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33734642" o:spid="_x0000_s2051" type="#_x0000_t136" style="position:absolute;left:0;text-align:left;margin-left:0;margin-top:0;width:439.15pt;height:146.35pt;rotation:315;z-index:-251653120;mso-position-horizontal:center;mso-position-horizontal-relative:margin;mso-position-vertical:center;mso-position-vertical-relative:margin" o:allowincell="f" fillcolor="silver" stroked="f">
          <v:fill opacity=".5"/>
          <v:textpath style="font-family:&quot;Edwardian Script ITC&quot;;font-size:1pt" string="Maha Malik"/>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A91B09" w14:textId="01ACE40D" w:rsidR="009C2EA1" w:rsidRDefault="009C2EA1">
    <w:pPr>
      <w:pStyle w:val="Header"/>
    </w:pPr>
    <w:r>
      <w:rPr>
        <w:noProof/>
      </w:rPr>
      <w:pict w14:anchorId="6E3EFE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33734640" o:spid="_x0000_s2049" type="#_x0000_t136" style="position:absolute;left:0;text-align:left;margin-left:0;margin-top:0;width:439.15pt;height:146.35pt;rotation:315;z-index:-251657216;mso-position-horizontal:center;mso-position-horizontal-relative:margin;mso-position-vertical:center;mso-position-vertical-relative:margin" o:allowincell="f" fillcolor="silver" stroked="f">
          <v:fill opacity=".5"/>
          <v:textpath style="font-family:&quot;Edwardian Script ITC&quot;;font-size:1pt" string="Maha Malik"/>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E67D8"/>
    <w:multiLevelType w:val="multilevel"/>
    <w:tmpl w:val="060E67D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43D3B5B"/>
    <w:rsid w:val="001E14E4"/>
    <w:rsid w:val="00653AAD"/>
    <w:rsid w:val="009C2EA1"/>
    <w:rsid w:val="143D3B5B"/>
    <w:rsid w:val="38217DC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12E5E0DA"/>
  <w15:docId w15:val="{5A489608-1798-4EBC-8683-DAB9FCB52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before="100" w:beforeAutospacing="1" w:after="100" w:afterAutospacing="1"/>
      <w:ind w:left="238"/>
      <w:jc w:val="both"/>
    </w:pPr>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rsid w:val="009C2EA1"/>
    <w:pPr>
      <w:tabs>
        <w:tab w:val="center" w:pos="4680"/>
        <w:tab w:val="right" w:pos="9360"/>
      </w:tabs>
      <w:spacing w:before="0" w:after="0"/>
    </w:pPr>
  </w:style>
  <w:style w:type="character" w:customStyle="1" w:styleId="HeaderChar">
    <w:name w:val="Header Char"/>
    <w:basedOn w:val="DefaultParagraphFont"/>
    <w:link w:val="Header"/>
    <w:rsid w:val="009C2EA1"/>
    <w:rPr>
      <w:lang w:eastAsia="zh-CN"/>
    </w:rPr>
  </w:style>
  <w:style w:type="paragraph" w:styleId="Footer">
    <w:name w:val="footer"/>
    <w:basedOn w:val="Normal"/>
    <w:link w:val="FooterChar"/>
    <w:rsid w:val="009C2EA1"/>
    <w:pPr>
      <w:tabs>
        <w:tab w:val="center" w:pos="4680"/>
        <w:tab w:val="right" w:pos="9360"/>
      </w:tabs>
      <w:spacing w:before="0" w:after="0"/>
    </w:pPr>
  </w:style>
  <w:style w:type="character" w:customStyle="1" w:styleId="FooterChar">
    <w:name w:val="Footer Char"/>
    <w:basedOn w:val="DefaultParagraphFont"/>
    <w:link w:val="Footer"/>
    <w:rsid w:val="009C2EA1"/>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536</Words>
  <Characters>3059</Characters>
  <Application>Microsoft Office Word</Application>
  <DocSecurity>0</DocSecurity>
  <Lines>25</Lines>
  <Paragraphs>7</Paragraphs>
  <ScaleCrop>false</ScaleCrop>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Faiqa Anum</dc:creator>
  <cp:lastModifiedBy>Maha Zonish</cp:lastModifiedBy>
  <cp:revision>3</cp:revision>
  <dcterms:created xsi:type="dcterms:W3CDTF">2023-07-10T06:37:00Z</dcterms:created>
  <dcterms:modified xsi:type="dcterms:W3CDTF">2023-07-12T16:12:00Z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1AAAC90E8E6F440DBFFF6978B0DB7A76</vt:lpwstr>
  </property>
</Properties>
</file>