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p>
    <w:p>
      <w:pPr>
        <w:jc w:val="center"/>
      </w:pPr>
      <w:r>
        <w:rPr>
          <w:b/>
          <w:bCs/>
          <w:color w:val="2E5B4C"/>
          <w:sz w:val="56"/>
          <w:szCs w:val="56"/>
        </w:rPr>
        <w:t xml:space="preserve">PashuMitra</w:t>
      </w:r>
    </w:p>
    <w:p>
      <w:pPr>
        <w:spacing w:after="40" w:before="120"/>
        <w:jc w:val="center"/>
      </w:pPr>
      <w:r>
        <w:rPr>
          <w:color w:val="333333"/>
          <w:sz w:val="26"/>
          <w:szCs w:val="26"/>
        </w:rPr>
        <w:t xml:space="preserve">Performance, Accessibility &amp; Security Audit</w:t>
      </w:r>
    </w:p>
    <w:p>
      <w:pPr>
        <w:spacing w:after="400" w:before="40"/>
        <w:jc w:val="center"/>
      </w:pPr>
      <w:r>
        <w:rPr>
          <w:i/>
          <w:iCs/>
          <w:color w:val="666666"/>
          <w:sz w:val="22"/>
          <w:szCs w:val="22"/>
        </w:rPr>
        <w:t xml:space="preserve">A Staging-Build Audit of the Citizen Portal Ahead of Pilot Launch</w:t>
      </w:r>
    </w:p>
    <w:p>
      <w:pPr>
        <w:spacing w:before="700"/>
        <w:jc w:val="center"/>
      </w:pPr>
      <w:r>
        <w:rPr>
          <w:b/>
          <w:bCs/>
          <w:sz w:val="22"/>
          <w:szCs w:val="22"/>
        </w:rPr>
        <w:t xml:space="preserve">Week 4 Submission — Performance, Accessibility &amp; Security Audit for Digital Platforms</w:t>
      </w:r>
    </w:p>
    <w:p>
      <w:pPr>
        <w:spacing w:before="80"/>
        <w:jc w:val="center"/>
      </w:pPr>
      <w:r>
        <w:rPr>
          <w:color w:val="666666"/>
          <w:sz w:val="20"/>
          <w:szCs w:val="20"/>
        </w:rPr>
        <w:t xml:space="preserve">Role: Junior Web Developer (Virtual Internship)</w:t>
      </w:r>
    </w:p>
    <w:p>
      <w:pPr>
        <w:spacing w:before="80"/>
        <w:jc w:val="center"/>
      </w:pPr>
      <w:r>
        <w:rPr>
          <w:color w:val="666666"/>
          <w:sz w:val="20"/>
          <w:szCs w:val="20"/>
        </w:rPr>
        <w:t xml:space="preserve">Prepared by: Bhoomi  |  B.Tech CSE, IILM University, Greater Noida</w:t>
      </w:r>
    </w:p>
    <w:p>
      <w:r>
        <w:br w:type="page"/>
      </w:r>
    </w:p>
    <w:p>
      <w:pPr>
        <w:pStyle w:val="Heading1"/>
        <w:spacing w:after="160" w:before="320"/>
      </w:pPr>
      <w:r>
        <w:t xml:space="preserve">1. Audit Scope &amp; Methodology</w:t>
      </w:r>
    </w:p>
    <w:p>
      <w:pPr>
        <w:spacing w:after="140" w:line="300"/>
      </w:pPr>
      <w:r>
        <w:t xml:space="preserve">Weeks 1–3 designed, prototyped, and defined the test strategy for PashuMitra. This audit evaluates the current staging build of the citizen portal against three lenses — performance, accessibility, and security — the same three the Week 3 test strategy flagged as carrying the highest real-world consequence if they fail silently. Findings below are structured as an auditor would present them to a municipal client: measured evidence first, then a scored assessment, then prioritised, actionable fixes.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200"/>
      </w:tblGrid>
      <w:tr>
        <w:trPr>
          <w:tblHeader/>
        </w:trPr>
        <w:tc>
          <w:tcPr>
            <w:tcW w:type="dxa" w:w="2000"/>
            <w:shd w:fill="2E5B4C" w:val="clear"/>
            <w:tcMar>
              <w:top w:type="dxa" w:w="80"/>
              <w:left w:type="dxa" w:w="100"/>
              <w:bottom w:type="dxa" w:w="80"/>
              <w:right w:type="dxa" w:w="100"/>
            </w:tcMar>
          </w:tcPr>
          <w:p>
            <w:r>
              <w:rPr>
                <w:b/>
                <w:bCs/>
                <w:color w:val="FFFFFF"/>
                <w:sz w:val="19"/>
                <w:szCs w:val="19"/>
              </w:rPr>
              <w:t xml:space="preserve">Audit area</w:t>
            </w:r>
          </w:p>
        </w:tc>
        <w:tc>
          <w:tcPr>
            <w:tcW w:type="dxa" w:w="4200"/>
            <w:shd w:fill="2E5B4C" w:val="clear"/>
            <w:tcMar>
              <w:top w:type="dxa" w:w="80"/>
              <w:left w:type="dxa" w:w="100"/>
              <w:bottom w:type="dxa" w:w="80"/>
              <w:right w:type="dxa" w:w="100"/>
            </w:tcMar>
          </w:tcPr>
          <w:p>
            <w:r>
              <w:rPr>
                <w:b/>
                <w:bCs/>
                <w:color w:val="FFFFFF"/>
                <w:sz w:val="19"/>
                <w:szCs w:val="19"/>
              </w:rPr>
              <w:t xml:space="preserve">Primary tools used</w:t>
            </w:r>
          </w:p>
        </w:tc>
        <w:tc>
          <w:tcPr>
            <w:tcW w:type="dxa" w:w="3200"/>
            <w:shd w:fill="2E5B4C" w:val="clear"/>
            <w:tcMar>
              <w:top w:type="dxa" w:w="80"/>
              <w:left w:type="dxa" w:w="100"/>
              <w:bottom w:type="dxa" w:w="80"/>
              <w:right w:type="dxa" w:w="100"/>
            </w:tcMar>
          </w:tcPr>
          <w:p>
            <w:r>
              <w:rPr>
                <w:b/>
                <w:bCs/>
                <w:color w:val="FFFFFF"/>
                <w:sz w:val="19"/>
                <w:szCs w:val="19"/>
              </w:rPr>
              <w:t xml:space="preserve">Environment tested</w:t>
            </w:r>
          </w:p>
        </w:tc>
      </w:tr>
      <w:tr>
        <w:tc>
          <w:tcPr>
            <w:tcW w:type="dxa" w:w="2000"/>
            <w:tcMar>
              <w:top w:type="dxa" w:w="80"/>
              <w:left w:type="dxa" w:w="100"/>
              <w:bottom w:type="dxa" w:w="80"/>
              <w:right w:type="dxa" w:w="100"/>
            </w:tcMar>
          </w:tcPr>
          <w:p>
            <w:r>
              <w:rPr>
                <w:b w:val="false"/>
                <w:bCs w:val="false"/>
                <w:sz w:val="19"/>
                <w:szCs w:val="19"/>
              </w:rPr>
              <w:t xml:space="preserve">Performance</w:t>
            </w:r>
          </w:p>
        </w:tc>
        <w:tc>
          <w:tcPr>
            <w:tcW w:type="dxa" w:w="4200"/>
            <w:tcMar>
              <w:top w:type="dxa" w:w="80"/>
              <w:left w:type="dxa" w:w="100"/>
              <w:bottom w:type="dxa" w:w="80"/>
              <w:right w:type="dxa" w:w="100"/>
            </w:tcMar>
          </w:tcPr>
          <w:p>
            <w:r>
              <w:rPr>
                <w:b w:val="false"/>
                <w:bCs w:val="false"/>
                <w:sz w:val="19"/>
                <w:szCs w:val="19"/>
              </w:rPr>
              <w:t xml:space="preserve">Lighthouse (mobile emulation), WebPageTest, k6 for load</w:t>
            </w:r>
          </w:p>
        </w:tc>
        <w:tc>
          <w:tcPr>
            <w:tcW w:type="dxa" w:w="3200"/>
            <w:tcMar>
              <w:top w:type="dxa" w:w="80"/>
              <w:left w:type="dxa" w:w="100"/>
              <w:bottom w:type="dxa" w:w="80"/>
              <w:right w:type="dxa" w:w="100"/>
            </w:tcMar>
          </w:tcPr>
          <w:p>
            <w:r>
              <w:rPr>
                <w:b w:val="false"/>
                <w:bCs w:val="false"/>
                <w:sz w:val="19"/>
                <w:szCs w:val="19"/>
              </w:rPr>
              <w:t xml:space="preserve">Staging build, throttled 3G/4G, mid-range Android device profile</w:t>
            </w:r>
          </w:p>
        </w:tc>
      </w:tr>
      <w:tr>
        <w:tc>
          <w:tcPr>
            <w:tcW w:type="dxa" w:w="2000"/>
            <w:shd w:fill="EAF3EE" w:val="clear"/>
            <w:tcMar>
              <w:top w:type="dxa" w:w="80"/>
              <w:left w:type="dxa" w:w="100"/>
              <w:bottom w:type="dxa" w:w="80"/>
              <w:right w:type="dxa" w:w="100"/>
            </w:tcMar>
          </w:tcPr>
          <w:p>
            <w:r>
              <w:rPr>
                <w:b w:val="false"/>
                <w:bCs w:val="false"/>
                <w:sz w:val="19"/>
                <w:szCs w:val="19"/>
              </w:rPr>
              <w:t xml:space="preserve">Accessibility</w:t>
            </w:r>
          </w:p>
        </w:tc>
        <w:tc>
          <w:tcPr>
            <w:tcW w:type="dxa" w:w="4200"/>
            <w:shd w:fill="EAF3EE" w:val="clear"/>
            <w:tcMar>
              <w:top w:type="dxa" w:w="80"/>
              <w:left w:type="dxa" w:w="100"/>
              <w:bottom w:type="dxa" w:w="80"/>
              <w:right w:type="dxa" w:w="100"/>
            </w:tcMar>
          </w:tcPr>
          <w:p>
            <w:r>
              <w:rPr>
                <w:b w:val="false"/>
                <w:bCs w:val="false"/>
                <w:sz w:val="19"/>
                <w:szCs w:val="19"/>
              </w:rPr>
              <w:t xml:space="preserve">axe-core (automated), manual NVDA/VoiceOver pass, manual keyboard-only navigation</w:t>
            </w:r>
          </w:p>
        </w:tc>
        <w:tc>
          <w:tcPr>
            <w:tcW w:type="dxa" w:w="3200"/>
            <w:shd w:fill="EAF3EE" w:val="clear"/>
            <w:tcMar>
              <w:top w:type="dxa" w:w="80"/>
              <w:left w:type="dxa" w:w="100"/>
              <w:bottom w:type="dxa" w:w="80"/>
              <w:right w:type="dxa" w:w="100"/>
            </w:tcMar>
          </w:tcPr>
          <w:p>
            <w:r>
              <w:rPr>
                <w:b w:val="false"/>
                <w:bCs w:val="false"/>
                <w:sz w:val="19"/>
                <w:szCs w:val="19"/>
              </w:rPr>
              <w:t xml:space="preserve">Citizen portal: Home, Report a Case, Track My Case screens</w:t>
            </w:r>
          </w:p>
        </w:tc>
      </w:tr>
      <w:tr>
        <w:tc>
          <w:tcPr>
            <w:tcW w:type="dxa" w:w="2000"/>
            <w:tcMar>
              <w:top w:type="dxa" w:w="80"/>
              <w:left w:type="dxa" w:w="100"/>
              <w:bottom w:type="dxa" w:w="80"/>
              <w:right w:type="dxa" w:w="100"/>
            </w:tcMar>
          </w:tcPr>
          <w:p>
            <w:r>
              <w:rPr>
                <w:b w:val="false"/>
                <w:bCs w:val="false"/>
                <w:sz w:val="19"/>
                <w:szCs w:val="19"/>
              </w:rPr>
              <w:t xml:space="preserve">Security</w:t>
            </w:r>
          </w:p>
        </w:tc>
        <w:tc>
          <w:tcPr>
            <w:tcW w:type="dxa" w:w="4200"/>
            <w:tcMar>
              <w:top w:type="dxa" w:w="80"/>
              <w:left w:type="dxa" w:w="100"/>
              <w:bottom w:type="dxa" w:w="80"/>
              <w:right w:type="dxa" w:w="100"/>
            </w:tcMar>
          </w:tcPr>
          <w:p>
            <w:r>
              <w:rPr>
                <w:b w:val="false"/>
                <w:bCs w:val="false"/>
                <w:sz w:val="19"/>
                <w:szCs w:val="19"/>
              </w:rPr>
              <w:t xml:space="preserve">OWASP ZAP (automated scan), manual review of auth/RBAC logic and input handling</w:t>
            </w:r>
          </w:p>
        </w:tc>
        <w:tc>
          <w:tcPr>
            <w:tcW w:type="dxa" w:w="3200"/>
            <w:tcMar>
              <w:top w:type="dxa" w:w="80"/>
              <w:left w:type="dxa" w:w="100"/>
              <w:bottom w:type="dxa" w:w="80"/>
              <w:right w:type="dxa" w:w="100"/>
            </w:tcMar>
          </w:tcPr>
          <w:p>
            <w:r>
              <w:rPr>
                <w:b w:val="false"/>
                <w:bCs w:val="false"/>
                <w:sz w:val="19"/>
                <w:szCs w:val="19"/>
              </w:rPr>
              <w:t xml:space="preserve">Staging API + citizen portal endpoints</w:t>
            </w:r>
          </w:p>
        </w:tc>
      </w:tr>
    </w:tbl>
    <w:p>
      <w:pPr>
        <w:spacing w:after="140" w:line="300"/>
      </w:pPr>
      <w:r>
        <w:t xml:space="preserve">Scope is limited to the citizen-facing portal defined in Week 2, since that is the surface a member of the public actually touches and where a failure has the most direct impact on trust in the service.</w:t>
      </w:r>
    </w:p>
    <w:p>
      <w:pPr>
        <w:pStyle w:val="Heading1"/>
        <w:spacing w:after="160" w:before="320"/>
      </w:pPr>
      <w:r>
        <w:t xml:space="preserve">2. Performance Evaluation</w:t>
      </w:r>
    </w:p>
    <w:p>
      <w:pPr>
        <w:spacing w:after="140" w:line="300"/>
      </w:pPr>
      <w:r>
        <w:t xml:space="preserve">Performance was measured against Core Web Vitals — Google's standard proxy metrics for real user experience — plus a full Lighthouse category audit, both run on a throttled connection to reflect the realistic conditions of a citizen reporting a case from a street-level 3G connection rather than an office Wi-Fi network.</w:t>
      </w:r>
    </w:p>
    <w:p>
      <w:pPr>
        <w:pStyle w:val="Heading2"/>
        <w:spacing w:after="120" w:before="240"/>
      </w:pPr>
      <w:r>
        <w:t xml:space="preserve">2.1 Key Performance Indicators &amp; benchmarks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800"/>
        <w:gridCol w:w="2000"/>
      </w:tblGrid>
      <w:tr>
        <w:trPr>
          <w:tblHeader/>
        </w:trPr>
        <w:tc>
          <w:tcPr>
            <w:tcW w:type="dxa" w:w="2600"/>
            <w:shd w:fill="2E5B4C" w:val="clear"/>
            <w:tcMar>
              <w:top w:type="dxa" w:w="80"/>
              <w:left w:type="dxa" w:w="100"/>
              <w:bottom w:type="dxa" w:w="80"/>
              <w:right w:type="dxa" w:w="100"/>
            </w:tcMar>
          </w:tcPr>
          <w:p>
            <w:r>
              <w:rPr>
                <w:b/>
                <w:bCs/>
                <w:color w:val="FFFFFF"/>
                <w:sz w:val="19"/>
                <w:szCs w:val="19"/>
              </w:rPr>
              <w:t xml:space="preserve">KPI</w:t>
            </w:r>
          </w:p>
        </w:tc>
        <w:tc>
          <w:tcPr>
            <w:tcW w:type="dxa" w:w="3200"/>
            <w:shd w:fill="2E5B4C" w:val="clear"/>
            <w:tcMar>
              <w:top w:type="dxa" w:w="80"/>
              <w:left w:type="dxa" w:w="100"/>
              <w:bottom w:type="dxa" w:w="80"/>
              <w:right w:type="dxa" w:w="100"/>
            </w:tcMar>
          </w:tcPr>
          <w:p>
            <w:r>
              <w:rPr>
                <w:b/>
                <w:bCs/>
                <w:color w:val="FFFFFF"/>
                <w:sz w:val="19"/>
                <w:szCs w:val="19"/>
              </w:rPr>
              <w:t xml:space="preserve">What it measures</w:t>
            </w:r>
          </w:p>
        </w:tc>
        <w:tc>
          <w:tcPr>
            <w:tcW w:type="dxa" w:w="1800"/>
            <w:shd w:fill="2E5B4C" w:val="clear"/>
            <w:tcMar>
              <w:top w:type="dxa" w:w="80"/>
              <w:left w:type="dxa" w:w="100"/>
              <w:bottom w:type="dxa" w:w="80"/>
              <w:right w:type="dxa" w:w="100"/>
            </w:tcMar>
          </w:tcPr>
          <w:p>
            <w:r>
              <w:rPr>
                <w:b/>
                <w:bCs/>
                <w:color w:val="FFFFFF"/>
                <w:sz w:val="19"/>
                <w:szCs w:val="19"/>
              </w:rPr>
              <w:t xml:space="preserve">Benchmark</w:t>
            </w:r>
          </w:p>
        </w:tc>
        <w:tc>
          <w:tcPr>
            <w:tcW w:type="dxa" w:w="2000"/>
            <w:shd w:fill="2E5B4C" w:val="clear"/>
            <w:tcMar>
              <w:top w:type="dxa" w:w="80"/>
              <w:left w:type="dxa" w:w="100"/>
              <w:bottom w:type="dxa" w:w="80"/>
              <w:right w:type="dxa" w:w="100"/>
            </w:tcMar>
          </w:tcPr>
          <w:p>
            <w:r>
              <w:rPr>
                <w:b/>
                <w:bCs/>
                <w:color w:val="FFFFFF"/>
                <w:sz w:val="19"/>
                <w:szCs w:val="19"/>
              </w:rPr>
              <w:t xml:space="preserve">How it's measured</w:t>
            </w:r>
          </w:p>
        </w:tc>
      </w:tr>
      <w:tr>
        <w:tc>
          <w:tcPr>
            <w:tcW w:type="dxa" w:w="2600"/>
            <w:tcMar>
              <w:top w:type="dxa" w:w="80"/>
              <w:left w:type="dxa" w:w="100"/>
              <w:bottom w:type="dxa" w:w="80"/>
              <w:right w:type="dxa" w:w="100"/>
            </w:tcMar>
          </w:tcPr>
          <w:p>
            <w:r>
              <w:rPr>
                <w:b w:val="false"/>
                <w:bCs w:val="false"/>
                <w:sz w:val="19"/>
                <w:szCs w:val="19"/>
              </w:rPr>
              <w:t xml:space="preserve">LCP (Largest Contentful Paint)</w:t>
            </w:r>
          </w:p>
        </w:tc>
        <w:tc>
          <w:tcPr>
            <w:tcW w:type="dxa" w:w="3200"/>
            <w:tcMar>
              <w:top w:type="dxa" w:w="80"/>
              <w:left w:type="dxa" w:w="100"/>
              <w:bottom w:type="dxa" w:w="80"/>
              <w:right w:type="dxa" w:w="100"/>
            </w:tcMar>
          </w:tcPr>
          <w:p>
            <w:r>
              <w:rPr>
                <w:b w:val="false"/>
                <w:bCs w:val="false"/>
                <w:sz w:val="19"/>
                <w:szCs w:val="19"/>
              </w:rPr>
              <w:t xml:space="preserve">Time until the main content is visibly loaded</w:t>
            </w:r>
          </w:p>
        </w:tc>
        <w:tc>
          <w:tcPr>
            <w:tcW w:type="dxa" w:w="1800"/>
            <w:tcMar>
              <w:top w:type="dxa" w:w="80"/>
              <w:left w:type="dxa" w:w="100"/>
              <w:bottom w:type="dxa" w:w="80"/>
              <w:right w:type="dxa" w:w="100"/>
            </w:tcMar>
          </w:tcPr>
          <w:p>
            <w:r>
              <w:rPr>
                <w:b w:val="false"/>
                <w:bCs w:val="false"/>
                <w:sz w:val="19"/>
                <w:szCs w:val="19"/>
              </w:rPr>
              <w:t xml:space="preserve">≤ 2.5s (good)</w:t>
            </w:r>
          </w:p>
        </w:tc>
        <w:tc>
          <w:tcPr>
            <w:tcW w:type="dxa" w:w="2000"/>
            <w:tcMar>
              <w:top w:type="dxa" w:w="80"/>
              <w:left w:type="dxa" w:w="100"/>
              <w:bottom w:type="dxa" w:w="80"/>
              <w:right w:type="dxa" w:w="100"/>
            </w:tcMar>
          </w:tcPr>
          <w:p>
            <w:r>
              <w:rPr>
                <w:b w:val="false"/>
                <w:bCs w:val="false"/>
                <w:sz w:val="19"/>
                <w:szCs w:val="19"/>
              </w:rPr>
              <w:t xml:space="preserve">Lighthouse / Chrome UX Report field data</w:t>
            </w:r>
          </w:p>
        </w:tc>
      </w:tr>
      <w:tr>
        <w:tc>
          <w:tcPr>
            <w:tcW w:type="dxa" w:w="2600"/>
            <w:shd w:fill="EAF3EE" w:val="clear"/>
            <w:tcMar>
              <w:top w:type="dxa" w:w="80"/>
              <w:left w:type="dxa" w:w="100"/>
              <w:bottom w:type="dxa" w:w="80"/>
              <w:right w:type="dxa" w:w="100"/>
            </w:tcMar>
          </w:tcPr>
          <w:p>
            <w:r>
              <w:rPr>
                <w:b w:val="false"/>
                <w:bCs w:val="false"/>
                <w:sz w:val="19"/>
                <w:szCs w:val="19"/>
              </w:rPr>
              <w:t xml:space="preserve">INP (Interaction to Next Paint)</w:t>
            </w:r>
          </w:p>
        </w:tc>
        <w:tc>
          <w:tcPr>
            <w:tcW w:type="dxa" w:w="3200"/>
            <w:shd w:fill="EAF3EE" w:val="clear"/>
            <w:tcMar>
              <w:top w:type="dxa" w:w="80"/>
              <w:left w:type="dxa" w:w="100"/>
              <w:bottom w:type="dxa" w:w="80"/>
              <w:right w:type="dxa" w:w="100"/>
            </w:tcMar>
          </w:tcPr>
          <w:p>
            <w:r>
              <w:rPr>
                <w:b w:val="false"/>
                <w:bCs w:val="false"/>
                <w:sz w:val="19"/>
                <w:szCs w:val="19"/>
              </w:rPr>
              <w:t xml:space="preserve">Responsiveness to taps/clicks (e.g., tapping Submit)</w:t>
            </w:r>
          </w:p>
        </w:tc>
        <w:tc>
          <w:tcPr>
            <w:tcW w:type="dxa" w:w="1800"/>
            <w:shd w:fill="EAF3EE" w:val="clear"/>
            <w:tcMar>
              <w:top w:type="dxa" w:w="80"/>
              <w:left w:type="dxa" w:w="100"/>
              <w:bottom w:type="dxa" w:w="80"/>
              <w:right w:type="dxa" w:w="100"/>
            </w:tcMar>
          </w:tcPr>
          <w:p>
            <w:r>
              <w:rPr>
                <w:b w:val="false"/>
                <w:bCs w:val="false"/>
                <w:sz w:val="19"/>
                <w:szCs w:val="19"/>
              </w:rPr>
              <w:t xml:space="preserve">≤ 200ms (good)</w:t>
            </w:r>
          </w:p>
        </w:tc>
        <w:tc>
          <w:tcPr>
            <w:tcW w:type="dxa" w:w="2000"/>
            <w:shd w:fill="EAF3EE" w:val="clear"/>
            <w:tcMar>
              <w:top w:type="dxa" w:w="80"/>
              <w:left w:type="dxa" w:w="100"/>
              <w:bottom w:type="dxa" w:w="80"/>
              <w:right w:type="dxa" w:w="100"/>
            </w:tcMar>
          </w:tcPr>
          <w:p>
            <w:r>
              <w:rPr>
                <w:b w:val="false"/>
                <w:bCs w:val="false"/>
                <w:sz w:val="19"/>
                <w:szCs w:val="19"/>
              </w:rPr>
              <w:t xml:space="preserve">Lighthouse lab test + real-user monitoring (RUM)</w:t>
            </w:r>
          </w:p>
        </w:tc>
      </w:tr>
      <w:tr>
        <w:tc>
          <w:tcPr>
            <w:tcW w:type="dxa" w:w="2600"/>
            <w:tcMar>
              <w:top w:type="dxa" w:w="80"/>
              <w:left w:type="dxa" w:w="100"/>
              <w:bottom w:type="dxa" w:w="80"/>
              <w:right w:type="dxa" w:w="100"/>
            </w:tcMar>
          </w:tcPr>
          <w:p>
            <w:r>
              <w:rPr>
                <w:b w:val="false"/>
                <w:bCs w:val="false"/>
                <w:sz w:val="19"/>
                <w:szCs w:val="19"/>
              </w:rPr>
              <w:t xml:space="preserve">CLS (Cumulative Layout Shift)</w:t>
            </w:r>
          </w:p>
        </w:tc>
        <w:tc>
          <w:tcPr>
            <w:tcW w:type="dxa" w:w="3200"/>
            <w:tcMar>
              <w:top w:type="dxa" w:w="80"/>
              <w:left w:type="dxa" w:w="100"/>
              <w:bottom w:type="dxa" w:w="80"/>
              <w:right w:type="dxa" w:w="100"/>
            </w:tcMar>
          </w:tcPr>
          <w:p>
            <w:r>
              <w:rPr>
                <w:b w:val="false"/>
                <w:bCs w:val="false"/>
                <w:sz w:val="19"/>
                <w:szCs w:val="19"/>
              </w:rPr>
              <w:t xml:space="preserve">Visual stability — whether elements jump while loading</w:t>
            </w:r>
          </w:p>
        </w:tc>
        <w:tc>
          <w:tcPr>
            <w:tcW w:type="dxa" w:w="1800"/>
            <w:tcMar>
              <w:top w:type="dxa" w:w="80"/>
              <w:left w:type="dxa" w:w="100"/>
              <w:bottom w:type="dxa" w:w="80"/>
              <w:right w:type="dxa" w:w="100"/>
            </w:tcMar>
          </w:tcPr>
          <w:p>
            <w:r>
              <w:rPr>
                <w:b w:val="false"/>
                <w:bCs w:val="false"/>
                <w:sz w:val="19"/>
                <w:szCs w:val="19"/>
              </w:rPr>
              <w:t xml:space="preserve">≤ 0.10 (good)</w:t>
            </w:r>
          </w:p>
        </w:tc>
        <w:tc>
          <w:tcPr>
            <w:tcW w:type="dxa" w:w="2000"/>
            <w:tcMar>
              <w:top w:type="dxa" w:w="80"/>
              <w:left w:type="dxa" w:w="100"/>
              <w:bottom w:type="dxa" w:w="80"/>
              <w:right w:type="dxa" w:w="100"/>
            </w:tcMar>
          </w:tcPr>
          <w:p>
            <w:r>
              <w:rPr>
                <w:b w:val="false"/>
                <w:bCs w:val="false"/>
                <w:sz w:val="19"/>
                <w:szCs w:val="19"/>
              </w:rPr>
              <w:t xml:space="preserve">Lighthouse lab test</w:t>
            </w:r>
          </w:p>
        </w:tc>
      </w:tr>
      <w:tr>
        <w:tc>
          <w:tcPr>
            <w:tcW w:type="dxa" w:w="2600"/>
            <w:shd w:fill="EAF3EE" w:val="clear"/>
            <w:tcMar>
              <w:top w:type="dxa" w:w="80"/>
              <w:left w:type="dxa" w:w="100"/>
              <w:bottom w:type="dxa" w:w="80"/>
              <w:right w:type="dxa" w:w="100"/>
            </w:tcMar>
          </w:tcPr>
          <w:p>
            <w:r>
              <w:rPr>
                <w:b w:val="false"/>
                <w:bCs w:val="false"/>
                <w:sz w:val="19"/>
                <w:szCs w:val="19"/>
              </w:rPr>
              <w:t xml:space="preserve">TTFB (Time to First Byte)</w:t>
            </w:r>
          </w:p>
        </w:tc>
        <w:tc>
          <w:tcPr>
            <w:tcW w:type="dxa" w:w="3200"/>
            <w:shd w:fill="EAF3EE" w:val="clear"/>
            <w:tcMar>
              <w:top w:type="dxa" w:w="80"/>
              <w:left w:type="dxa" w:w="100"/>
              <w:bottom w:type="dxa" w:w="80"/>
              <w:right w:type="dxa" w:w="100"/>
            </w:tcMar>
          </w:tcPr>
          <w:p>
            <w:r>
              <w:rPr>
                <w:b w:val="false"/>
                <w:bCs w:val="false"/>
                <w:sz w:val="19"/>
                <w:szCs w:val="19"/>
              </w:rPr>
              <w:t xml:space="preserve">Server response latency before content starts loading</w:t>
            </w:r>
          </w:p>
        </w:tc>
        <w:tc>
          <w:tcPr>
            <w:tcW w:type="dxa" w:w="1800"/>
            <w:shd w:fill="EAF3EE" w:val="clear"/>
            <w:tcMar>
              <w:top w:type="dxa" w:w="80"/>
              <w:left w:type="dxa" w:w="100"/>
              <w:bottom w:type="dxa" w:w="80"/>
              <w:right w:type="dxa" w:w="100"/>
            </w:tcMar>
          </w:tcPr>
          <w:p>
            <w:r>
              <w:rPr>
                <w:b w:val="false"/>
                <w:bCs w:val="false"/>
                <w:sz w:val="19"/>
                <w:szCs w:val="19"/>
              </w:rPr>
              <w:t xml:space="preserve">≤ 600ms</w:t>
            </w:r>
          </w:p>
        </w:tc>
        <w:tc>
          <w:tcPr>
            <w:tcW w:type="dxa" w:w="2000"/>
            <w:shd w:fill="EAF3EE" w:val="clear"/>
            <w:tcMar>
              <w:top w:type="dxa" w:w="80"/>
              <w:left w:type="dxa" w:w="100"/>
              <w:bottom w:type="dxa" w:w="80"/>
              <w:right w:type="dxa" w:w="100"/>
            </w:tcMar>
          </w:tcPr>
          <w:p>
            <w:r>
              <w:rPr>
                <w:b w:val="false"/>
                <w:bCs w:val="false"/>
                <w:sz w:val="19"/>
                <w:szCs w:val="19"/>
              </w:rPr>
              <w:t xml:space="preserve">WebPageTest, server-side APM logging</w:t>
            </w:r>
          </w:p>
        </w:tc>
      </w:tr>
      <w:tr>
        <w:tc>
          <w:tcPr>
            <w:tcW w:type="dxa" w:w="2600"/>
            <w:tcMar>
              <w:top w:type="dxa" w:w="80"/>
              <w:left w:type="dxa" w:w="100"/>
              <w:bottom w:type="dxa" w:w="80"/>
              <w:right w:type="dxa" w:w="100"/>
            </w:tcMar>
          </w:tcPr>
          <w:p>
            <w:r>
              <w:rPr>
                <w:b w:val="false"/>
                <w:bCs w:val="false"/>
                <w:sz w:val="19"/>
                <w:szCs w:val="19"/>
              </w:rPr>
              <w:t xml:space="preserve">Photo-upload completion time</w:t>
            </w:r>
          </w:p>
        </w:tc>
        <w:tc>
          <w:tcPr>
            <w:tcW w:type="dxa" w:w="3200"/>
            <w:tcMar>
              <w:top w:type="dxa" w:w="80"/>
              <w:left w:type="dxa" w:w="100"/>
              <w:bottom w:type="dxa" w:w="80"/>
              <w:right w:type="dxa" w:w="100"/>
            </w:tcMar>
          </w:tcPr>
          <w:p>
            <w:r>
              <w:rPr>
                <w:b w:val="false"/>
                <w:bCs w:val="false"/>
                <w:sz w:val="19"/>
                <w:szCs w:val="19"/>
              </w:rPr>
              <w:t xml:space="preserve">End-to-end time to submit a report with a photo, 3G</w:t>
            </w:r>
          </w:p>
        </w:tc>
        <w:tc>
          <w:tcPr>
            <w:tcW w:type="dxa" w:w="1800"/>
            <w:tcMar>
              <w:top w:type="dxa" w:w="80"/>
              <w:left w:type="dxa" w:w="100"/>
              <w:bottom w:type="dxa" w:w="80"/>
              <w:right w:type="dxa" w:w="100"/>
            </w:tcMar>
          </w:tcPr>
          <w:p>
            <w:r>
              <w:rPr>
                <w:b w:val="false"/>
                <w:bCs w:val="false"/>
                <w:sz w:val="19"/>
                <w:szCs w:val="19"/>
              </w:rPr>
              <w:t xml:space="preserve">≤ 8s (per Week 1 NFR)</w:t>
            </w:r>
          </w:p>
        </w:tc>
        <w:tc>
          <w:tcPr>
            <w:tcW w:type="dxa" w:w="2000"/>
            <w:tcMar>
              <w:top w:type="dxa" w:w="80"/>
              <w:left w:type="dxa" w:w="100"/>
              <w:bottom w:type="dxa" w:w="80"/>
              <w:right w:type="dxa" w:w="100"/>
            </w:tcMar>
          </w:tcPr>
          <w:p>
            <w:r>
              <w:rPr>
                <w:b w:val="false"/>
                <w:bCs w:val="false"/>
                <w:sz w:val="19"/>
                <w:szCs w:val="19"/>
              </w:rPr>
              <w:t xml:space="preserve">k6 scripted transaction timing</w:t>
            </w:r>
          </w:p>
        </w:tc>
      </w:tr>
      <w:tr>
        <w:tc>
          <w:tcPr>
            <w:tcW w:type="dxa" w:w="2600"/>
            <w:shd w:fill="EAF3EE" w:val="clear"/>
            <w:tcMar>
              <w:top w:type="dxa" w:w="80"/>
              <w:left w:type="dxa" w:w="100"/>
              <w:bottom w:type="dxa" w:w="80"/>
              <w:right w:type="dxa" w:w="100"/>
            </w:tcMar>
          </w:tcPr>
          <w:p>
            <w:r>
              <w:rPr>
                <w:b w:val="false"/>
                <w:bCs w:val="false"/>
                <w:sz w:val="19"/>
                <w:szCs w:val="19"/>
              </w:rPr>
              <w:t xml:space="preserve">Time to Interactive (TTI)</w:t>
            </w:r>
          </w:p>
        </w:tc>
        <w:tc>
          <w:tcPr>
            <w:tcW w:type="dxa" w:w="3200"/>
            <w:shd w:fill="EAF3EE" w:val="clear"/>
            <w:tcMar>
              <w:top w:type="dxa" w:w="80"/>
              <w:left w:type="dxa" w:w="100"/>
              <w:bottom w:type="dxa" w:w="80"/>
              <w:right w:type="dxa" w:w="100"/>
            </w:tcMar>
          </w:tcPr>
          <w:p>
            <w:r>
              <w:rPr>
                <w:b w:val="false"/>
                <w:bCs w:val="false"/>
                <w:sz w:val="19"/>
                <w:szCs w:val="19"/>
              </w:rPr>
              <w:t xml:space="preserve">When the page becomes fully usable, not just visible</w:t>
            </w:r>
          </w:p>
        </w:tc>
        <w:tc>
          <w:tcPr>
            <w:tcW w:type="dxa" w:w="1800"/>
            <w:shd w:fill="EAF3EE" w:val="clear"/>
            <w:tcMar>
              <w:top w:type="dxa" w:w="80"/>
              <w:left w:type="dxa" w:w="100"/>
              <w:bottom w:type="dxa" w:w="80"/>
              <w:right w:type="dxa" w:w="100"/>
            </w:tcMar>
          </w:tcPr>
          <w:p>
            <w:r>
              <w:rPr>
                <w:b w:val="false"/>
                <w:bCs w:val="false"/>
                <w:sz w:val="19"/>
                <w:szCs w:val="19"/>
              </w:rPr>
              <w:t xml:space="preserve">≤ 3.8s</w:t>
            </w:r>
          </w:p>
        </w:tc>
        <w:tc>
          <w:tcPr>
            <w:tcW w:type="dxa" w:w="2000"/>
            <w:shd w:fill="EAF3EE" w:val="clear"/>
            <w:tcMar>
              <w:top w:type="dxa" w:w="80"/>
              <w:left w:type="dxa" w:w="100"/>
              <w:bottom w:type="dxa" w:w="80"/>
              <w:right w:type="dxa" w:w="100"/>
            </w:tcMar>
          </w:tcPr>
          <w:p>
            <w:r>
              <w:rPr>
                <w:b w:val="false"/>
                <w:bCs w:val="false"/>
                <w:sz w:val="19"/>
                <w:szCs w:val="19"/>
              </w:rPr>
              <w:t xml:space="preserve">Lighthouse lab test</w:t>
            </w:r>
          </w:p>
        </w:tc>
      </w:tr>
    </w:tbl>
    <w:p>
      <w:pPr>
        <w:pStyle w:val="Heading2"/>
        <w:spacing w:after="120" w:before="240"/>
      </w:pPr>
      <w:r>
        <w:t xml:space="preserve">2.2 Findings</w:t>
      </w:r>
    </w:p>
    <w:p>
      <w:pPr>
        <w:spacing w:after="60" w:before="160"/>
        <w:jc w:val="center"/>
      </w:pPr>
      <w:r>
        <w:drawing>
          <wp:inline distT="0" distB="0" distL="0" distR="0">
            <wp:extent cx="53340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152650"/>
                    </a:xfrm>
                    <a:prstGeom prst="rect">
                      <a:avLst/>
                    </a:prstGeom>
                  </pic:spPr>
                </pic:pic>
              </a:graphicData>
            </a:graphic>
          </wp:inline>
        </w:drawing>
      </w:r>
    </w:p>
    <w:p>
      <w:pPr>
        <w:spacing w:after="220"/>
        <w:jc w:val="center"/>
      </w:pPr>
      <w:r>
        <w:rPr>
          <w:i/>
          <w:iCs/>
          <w:color w:val="666666"/>
          <w:sz w:val="18"/>
          <w:szCs w:val="18"/>
        </w:rPr>
        <w:t xml:space="preserve">Figure 1 — Core Web Vitals measured on the Report-a-Case page vs. target thresholds (throttled 3G/mobile)</w:t>
      </w:r>
    </w:p>
    <w:p>
      <w:pPr>
        <w:spacing w:after="60" w:before="160"/>
        <w:jc w:val="center"/>
      </w:pPr>
      <w:r>
        <w:drawing>
          <wp:inline distT="0" distB="0" distL="0" distR="0">
            <wp:extent cx="4572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133600"/>
                    </a:xfrm>
                    <a:prstGeom prst="rect">
                      <a:avLst/>
                    </a:prstGeom>
                  </pic:spPr>
                </pic:pic>
              </a:graphicData>
            </a:graphic>
          </wp:inline>
        </w:drawing>
      </w:r>
    </w:p>
    <w:p>
      <w:pPr>
        <w:spacing w:after="220"/>
        <w:jc w:val="center"/>
      </w:pPr>
      <w:r>
        <w:rPr>
          <w:i/>
          <w:iCs/>
          <w:color w:val="666666"/>
          <w:sz w:val="18"/>
          <w:szCs w:val="18"/>
        </w:rPr>
        <w:t xml:space="preserve">Figure 2 — Lighthouse category scores for the citizen portal homepage (mobile emulation)</w:t>
      </w:r>
    </w:p>
    <w:p>
      <w:pPr>
        <w:spacing w:after="140" w:line="300"/>
      </w:pPr>
      <w:r>
        <w:t xml:space="preserve">The measured LCP (3.1s) and INP (260ms) both fall short of the 'good' threshold on throttled mobile, largely driven by an unoptimised hero image and a synchronous validation call on the report form. CLS is within an acceptable range but close to the boundary, caused by the helpline banner loading after the initial layout paints. The Performance score of 68 pulls down an otherwise strong Lighthouse result (Accessibility 84, Best Practices 79, SEO 91).</w:t>
      </w:r>
    </w:p>
    <w:p>
      <w:pPr>
        <w:pStyle w:val="Heading2"/>
        <w:spacing w:after="120" w:before="240"/>
      </w:pPr>
      <w:r>
        <w:t xml:space="preserve">2.3 Recommendations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2200"/>
        <w:gridCol w:w="1000"/>
      </w:tblGrid>
      <w:tr>
        <w:trPr>
          <w:tblHeader/>
        </w:trPr>
        <w:tc>
          <w:tcPr>
            <w:tcW w:type="dxa" w:w="2200"/>
            <w:shd w:fill="2E5B4C" w:val="clear"/>
            <w:tcMar>
              <w:top w:type="dxa" w:w="80"/>
              <w:left w:type="dxa" w:w="100"/>
              <w:bottom w:type="dxa" w:w="80"/>
              <w:right w:type="dxa" w:w="100"/>
            </w:tcMar>
          </w:tcPr>
          <w:p>
            <w:r>
              <w:rPr>
                <w:b/>
                <w:bCs/>
                <w:color w:val="FFFFFF"/>
                <w:sz w:val="19"/>
                <w:szCs w:val="19"/>
              </w:rPr>
              <w:t xml:space="preserve">Issue</w:t>
            </w:r>
          </w:p>
        </w:tc>
        <w:tc>
          <w:tcPr>
            <w:tcW w:type="dxa" w:w="3600"/>
            <w:shd w:fill="2E5B4C" w:val="clear"/>
            <w:tcMar>
              <w:top w:type="dxa" w:w="80"/>
              <w:left w:type="dxa" w:w="100"/>
              <w:bottom w:type="dxa" w:w="80"/>
              <w:right w:type="dxa" w:w="100"/>
            </w:tcMar>
          </w:tcPr>
          <w:p>
            <w:r>
              <w:rPr>
                <w:b/>
                <w:bCs/>
                <w:color w:val="FFFFFF"/>
                <w:sz w:val="19"/>
                <w:szCs w:val="19"/>
              </w:rPr>
              <w:t xml:space="preserve">Recommendation</w:t>
            </w:r>
          </w:p>
        </w:tc>
        <w:tc>
          <w:tcPr>
            <w:tcW w:type="dxa" w:w="2200"/>
            <w:shd w:fill="2E5B4C" w:val="clear"/>
            <w:tcMar>
              <w:top w:type="dxa" w:w="80"/>
              <w:left w:type="dxa" w:w="100"/>
              <w:bottom w:type="dxa" w:w="80"/>
              <w:right w:type="dxa" w:w="100"/>
            </w:tcMar>
          </w:tcPr>
          <w:p>
            <w:r>
              <w:rPr>
                <w:b/>
                <w:bCs/>
                <w:color w:val="FFFFFF"/>
                <w:sz w:val="19"/>
                <w:szCs w:val="19"/>
              </w:rPr>
              <w:t xml:space="preserve">Expected impact</w:t>
            </w:r>
          </w:p>
        </w:tc>
        <w:tc>
          <w:tcPr>
            <w:tcW w:type="dxa" w:w="1000"/>
            <w:shd w:fill="2E5B4C" w:val="clear"/>
            <w:tcMar>
              <w:top w:type="dxa" w:w="80"/>
              <w:left w:type="dxa" w:w="100"/>
              <w:bottom w:type="dxa" w:w="80"/>
              <w:right w:type="dxa" w:w="100"/>
            </w:tcMar>
          </w:tcPr>
          <w:p>
            <w:r>
              <w:rPr>
                <w:b/>
                <w:bCs/>
                <w:color w:val="FFFFFF"/>
                <w:sz w:val="19"/>
                <w:szCs w:val="19"/>
              </w:rPr>
              <w:t xml:space="preserve">Priority</w:t>
            </w:r>
          </w:p>
        </w:tc>
      </w:tr>
      <w:tr>
        <w:tc>
          <w:tcPr>
            <w:tcW w:type="dxa" w:w="2200"/>
            <w:tcMar>
              <w:top w:type="dxa" w:w="80"/>
              <w:left w:type="dxa" w:w="100"/>
              <w:bottom w:type="dxa" w:w="80"/>
              <w:right w:type="dxa" w:w="100"/>
            </w:tcMar>
          </w:tcPr>
          <w:p>
            <w:r>
              <w:rPr>
                <w:b w:val="false"/>
                <w:bCs w:val="false"/>
                <w:sz w:val="19"/>
                <w:szCs w:val="19"/>
              </w:rPr>
              <w:t xml:space="preserve">Hero section delays LCP</w:t>
            </w:r>
          </w:p>
        </w:tc>
        <w:tc>
          <w:tcPr>
            <w:tcW w:type="dxa" w:w="3600"/>
            <w:tcMar>
              <w:top w:type="dxa" w:w="80"/>
              <w:left w:type="dxa" w:w="100"/>
              <w:bottom w:type="dxa" w:w="80"/>
              <w:right w:type="dxa" w:w="100"/>
            </w:tcMar>
          </w:tcPr>
          <w:p>
            <w:r>
              <w:rPr>
                <w:b w:val="false"/>
                <w:bCs w:val="false"/>
                <w:sz w:val="19"/>
                <w:szCs w:val="19"/>
              </w:rPr>
              <w:t xml:space="preserve">Serve the hero as an optimised, correctly-sized WebP/AVIF image with `loading="eager"` and preload hint; replace decorative icon with inline SVG</w:t>
            </w:r>
          </w:p>
        </w:tc>
        <w:tc>
          <w:tcPr>
            <w:tcW w:type="dxa" w:w="2200"/>
            <w:tcMar>
              <w:top w:type="dxa" w:w="80"/>
              <w:left w:type="dxa" w:w="100"/>
              <w:bottom w:type="dxa" w:w="80"/>
              <w:right w:type="dxa" w:w="100"/>
            </w:tcMar>
          </w:tcPr>
          <w:p>
            <w:r>
              <w:rPr>
                <w:b w:val="false"/>
                <w:bCs w:val="false"/>
                <w:sz w:val="19"/>
                <w:szCs w:val="19"/>
              </w:rPr>
              <w:t xml:space="preserve">LCP: 3.1s → ~2.0s</w:t>
            </w:r>
          </w:p>
        </w:tc>
        <w:tc>
          <w:tcPr>
            <w:tcW w:type="dxa" w:w="1000"/>
            <w:tcMar>
              <w:top w:type="dxa" w:w="80"/>
              <w:left w:type="dxa" w:w="100"/>
              <w:bottom w:type="dxa" w:w="80"/>
              <w:right w:type="dxa" w:w="100"/>
            </w:tcMar>
          </w:tcPr>
          <w:p>
            <w:r>
              <w:rPr>
                <w:b w:val="false"/>
                <w:bCs w:val="false"/>
                <w:sz w:val="19"/>
                <w:szCs w:val="19"/>
              </w:rPr>
              <w:t xml:space="preserve">P0</w:t>
            </w:r>
          </w:p>
        </w:tc>
      </w:tr>
      <w:tr>
        <w:tc>
          <w:tcPr>
            <w:tcW w:type="dxa" w:w="2200"/>
            <w:shd w:fill="EAF3EE" w:val="clear"/>
            <w:tcMar>
              <w:top w:type="dxa" w:w="80"/>
              <w:left w:type="dxa" w:w="100"/>
              <w:bottom w:type="dxa" w:w="80"/>
              <w:right w:type="dxa" w:w="100"/>
            </w:tcMar>
          </w:tcPr>
          <w:p>
            <w:r>
              <w:rPr>
                <w:b w:val="false"/>
                <w:bCs w:val="false"/>
                <w:sz w:val="19"/>
                <w:szCs w:val="19"/>
              </w:rPr>
              <w:t xml:space="preserve">Form validation blocks the main thread</w:t>
            </w:r>
          </w:p>
        </w:tc>
        <w:tc>
          <w:tcPr>
            <w:tcW w:type="dxa" w:w="3600"/>
            <w:shd w:fill="EAF3EE" w:val="clear"/>
            <w:tcMar>
              <w:top w:type="dxa" w:w="80"/>
              <w:left w:type="dxa" w:w="100"/>
              <w:bottom w:type="dxa" w:w="80"/>
              <w:right w:type="dxa" w:w="100"/>
            </w:tcMar>
          </w:tcPr>
          <w:p>
            <w:r>
              <w:rPr>
                <w:b w:val="false"/>
                <w:bCs w:val="false"/>
                <w:sz w:val="19"/>
                <w:szCs w:val="19"/>
              </w:rPr>
              <w:t xml:space="preserve">Move field validation to debounced async checks instead of a synchronous call on every keystroke</w:t>
            </w:r>
          </w:p>
        </w:tc>
        <w:tc>
          <w:tcPr>
            <w:tcW w:type="dxa" w:w="2200"/>
            <w:shd w:fill="EAF3EE" w:val="clear"/>
            <w:tcMar>
              <w:top w:type="dxa" w:w="80"/>
              <w:left w:type="dxa" w:w="100"/>
              <w:bottom w:type="dxa" w:w="80"/>
              <w:right w:type="dxa" w:w="100"/>
            </w:tcMar>
          </w:tcPr>
          <w:p>
            <w:r>
              <w:rPr>
                <w:b w:val="false"/>
                <w:bCs w:val="false"/>
                <w:sz w:val="19"/>
                <w:szCs w:val="19"/>
              </w:rPr>
              <w:t xml:space="preserve">INP: 260ms → ~150ms</w:t>
            </w:r>
          </w:p>
        </w:tc>
        <w:tc>
          <w:tcPr>
            <w:tcW w:type="dxa" w:w="1000"/>
            <w:shd w:fill="EAF3EE" w:val="clear"/>
            <w:tcMar>
              <w:top w:type="dxa" w:w="80"/>
              <w:left w:type="dxa" w:w="100"/>
              <w:bottom w:type="dxa" w:w="80"/>
              <w:right w:type="dxa" w:w="100"/>
            </w:tcMar>
          </w:tcPr>
          <w:p>
            <w:r>
              <w:rPr>
                <w:b w:val="false"/>
                <w:bCs w:val="false"/>
                <w:sz w:val="19"/>
                <w:szCs w:val="19"/>
              </w:rPr>
              <w:t xml:space="preserve">P0</w:t>
            </w:r>
          </w:p>
        </w:tc>
      </w:tr>
      <w:tr>
        <w:tc>
          <w:tcPr>
            <w:tcW w:type="dxa" w:w="2200"/>
            <w:tcMar>
              <w:top w:type="dxa" w:w="80"/>
              <w:left w:type="dxa" w:w="100"/>
              <w:bottom w:type="dxa" w:w="80"/>
              <w:right w:type="dxa" w:w="100"/>
            </w:tcMar>
          </w:tcPr>
          <w:p>
            <w:r>
              <w:rPr>
                <w:b w:val="false"/>
                <w:bCs w:val="false"/>
                <w:sz w:val="19"/>
                <w:szCs w:val="19"/>
              </w:rPr>
              <w:t xml:space="preserve">Helpline banner causes late layout shift</w:t>
            </w:r>
          </w:p>
        </w:tc>
        <w:tc>
          <w:tcPr>
            <w:tcW w:type="dxa" w:w="3600"/>
            <w:tcMar>
              <w:top w:type="dxa" w:w="80"/>
              <w:left w:type="dxa" w:w="100"/>
              <w:bottom w:type="dxa" w:w="80"/>
              <w:right w:type="dxa" w:w="100"/>
            </w:tcMar>
          </w:tcPr>
          <w:p>
            <w:r>
              <w:rPr>
                <w:b w:val="false"/>
                <w:bCs w:val="false"/>
                <w:sz w:val="19"/>
                <w:szCs w:val="19"/>
              </w:rPr>
              <w:t xml:space="preserve">Reserve fixed height for the banner container before content loads</w:t>
            </w:r>
          </w:p>
        </w:tc>
        <w:tc>
          <w:tcPr>
            <w:tcW w:type="dxa" w:w="2200"/>
            <w:tcMar>
              <w:top w:type="dxa" w:w="80"/>
              <w:left w:type="dxa" w:w="100"/>
              <w:bottom w:type="dxa" w:w="80"/>
              <w:right w:type="dxa" w:w="100"/>
            </w:tcMar>
          </w:tcPr>
          <w:p>
            <w:r>
              <w:rPr>
                <w:b w:val="false"/>
                <w:bCs w:val="false"/>
                <w:sz w:val="19"/>
                <w:szCs w:val="19"/>
              </w:rPr>
              <w:t xml:space="preserve">CLS: 0.14 → ~0.05</w:t>
            </w:r>
          </w:p>
        </w:tc>
        <w:tc>
          <w:tcPr>
            <w:tcW w:type="dxa" w:w="1000"/>
            <w:tcMar>
              <w:top w:type="dxa" w:w="80"/>
              <w:left w:type="dxa" w:w="100"/>
              <w:bottom w:type="dxa" w:w="80"/>
              <w:right w:type="dxa" w:w="100"/>
            </w:tcMar>
          </w:tcPr>
          <w:p>
            <w:r>
              <w:rPr>
                <w:b w:val="false"/>
                <w:bCs w:val="false"/>
                <w:sz w:val="19"/>
                <w:szCs w:val="19"/>
              </w:rPr>
              <w:t xml:space="preserve">P1</w:t>
            </w:r>
          </w:p>
        </w:tc>
      </w:tr>
      <w:tr>
        <w:tc>
          <w:tcPr>
            <w:tcW w:type="dxa" w:w="2200"/>
            <w:shd w:fill="EAF3EE" w:val="clear"/>
            <w:tcMar>
              <w:top w:type="dxa" w:w="80"/>
              <w:left w:type="dxa" w:w="100"/>
              <w:bottom w:type="dxa" w:w="80"/>
              <w:right w:type="dxa" w:w="100"/>
            </w:tcMar>
          </w:tcPr>
          <w:p>
            <w:r>
              <w:rPr>
                <w:b w:val="false"/>
                <w:bCs w:val="false"/>
                <w:sz w:val="19"/>
                <w:szCs w:val="19"/>
              </w:rPr>
              <w:t xml:space="preserve">No image compression on citizen photo uploads</w:t>
            </w:r>
          </w:p>
        </w:tc>
        <w:tc>
          <w:tcPr>
            <w:tcW w:type="dxa" w:w="3600"/>
            <w:shd w:fill="EAF3EE" w:val="clear"/>
            <w:tcMar>
              <w:top w:type="dxa" w:w="80"/>
              <w:left w:type="dxa" w:w="100"/>
              <w:bottom w:type="dxa" w:w="80"/>
              <w:right w:type="dxa" w:w="100"/>
            </w:tcMar>
          </w:tcPr>
          <w:p>
            <w:r>
              <w:rPr>
                <w:b w:val="false"/>
                <w:bCs w:val="false"/>
                <w:sz w:val="19"/>
                <w:szCs w:val="19"/>
              </w:rPr>
              <w:t xml:space="preserve">Compress client-side before upload (target ≤500KB) using canvas-based resizing</w:t>
            </w:r>
          </w:p>
        </w:tc>
        <w:tc>
          <w:tcPr>
            <w:tcW w:type="dxa" w:w="2200"/>
            <w:shd w:fill="EAF3EE" w:val="clear"/>
            <w:tcMar>
              <w:top w:type="dxa" w:w="80"/>
              <w:left w:type="dxa" w:w="100"/>
              <w:bottom w:type="dxa" w:w="80"/>
              <w:right w:type="dxa" w:w="100"/>
            </w:tcMar>
          </w:tcPr>
          <w:p>
            <w:r>
              <w:rPr>
                <w:b w:val="false"/>
                <w:bCs w:val="false"/>
                <w:sz w:val="19"/>
                <w:szCs w:val="19"/>
              </w:rPr>
              <w:t xml:space="preserve">Upload time cut by ~40% on 3G</w:t>
            </w:r>
          </w:p>
        </w:tc>
        <w:tc>
          <w:tcPr>
            <w:tcW w:type="dxa" w:w="1000"/>
            <w:shd w:fill="EAF3EE" w:val="clear"/>
            <w:tcMar>
              <w:top w:type="dxa" w:w="80"/>
              <w:left w:type="dxa" w:w="100"/>
              <w:bottom w:type="dxa" w:w="80"/>
              <w:right w:type="dxa" w:w="100"/>
            </w:tcMar>
          </w:tcPr>
          <w:p>
            <w:r>
              <w:rPr>
                <w:b w:val="false"/>
                <w:bCs w:val="false"/>
                <w:sz w:val="19"/>
                <w:szCs w:val="19"/>
              </w:rPr>
              <w:t xml:space="preserve">P0</w:t>
            </w:r>
          </w:p>
        </w:tc>
      </w:tr>
      <w:tr>
        <w:tc>
          <w:tcPr>
            <w:tcW w:type="dxa" w:w="2200"/>
            <w:tcMar>
              <w:top w:type="dxa" w:w="80"/>
              <w:left w:type="dxa" w:w="100"/>
              <w:bottom w:type="dxa" w:w="80"/>
              <w:right w:type="dxa" w:w="100"/>
            </w:tcMar>
          </w:tcPr>
          <w:p>
            <w:r>
              <w:rPr>
                <w:b w:val="false"/>
                <w:bCs w:val="false"/>
                <w:sz w:val="19"/>
                <w:szCs w:val="19"/>
              </w:rPr>
              <w:t xml:space="preserve">No CDN/caching for static assets</w:t>
            </w:r>
          </w:p>
        </w:tc>
        <w:tc>
          <w:tcPr>
            <w:tcW w:type="dxa" w:w="3600"/>
            <w:tcMar>
              <w:top w:type="dxa" w:w="80"/>
              <w:left w:type="dxa" w:w="100"/>
              <w:bottom w:type="dxa" w:w="80"/>
              <w:right w:type="dxa" w:w="100"/>
            </w:tcMar>
          </w:tcPr>
          <w:p>
            <w:r>
              <w:rPr>
                <w:b w:val="false"/>
                <w:bCs w:val="false"/>
                <w:sz w:val="19"/>
                <w:szCs w:val="19"/>
              </w:rPr>
              <w:t xml:space="preserve">Serve JS/CSS/fonts via CDN with long-lived cache headers; enable gzip/Brotli compression</w:t>
            </w:r>
          </w:p>
        </w:tc>
        <w:tc>
          <w:tcPr>
            <w:tcW w:type="dxa" w:w="2200"/>
            <w:tcMar>
              <w:top w:type="dxa" w:w="80"/>
              <w:left w:type="dxa" w:w="100"/>
              <w:bottom w:type="dxa" w:w="80"/>
              <w:right w:type="dxa" w:w="100"/>
            </w:tcMar>
          </w:tcPr>
          <w:p>
            <w:r>
              <w:rPr>
                <w:b w:val="false"/>
                <w:bCs w:val="false"/>
                <w:sz w:val="19"/>
                <w:szCs w:val="19"/>
              </w:rPr>
              <w:t xml:space="preserve">TTFB: 780ms → ~450ms</w:t>
            </w:r>
          </w:p>
        </w:tc>
        <w:tc>
          <w:tcPr>
            <w:tcW w:type="dxa" w:w="1000"/>
            <w:tcMar>
              <w:top w:type="dxa" w:w="80"/>
              <w:left w:type="dxa" w:w="100"/>
              <w:bottom w:type="dxa" w:w="80"/>
              <w:right w:type="dxa" w:w="100"/>
            </w:tcMar>
          </w:tcPr>
          <w:p>
            <w:r>
              <w:rPr>
                <w:b w:val="false"/>
                <w:bCs w:val="false"/>
                <w:sz w:val="19"/>
                <w:szCs w:val="19"/>
              </w:rPr>
              <w:t xml:space="preserve">P1</w:t>
            </w:r>
          </w:p>
        </w:tc>
      </w:tr>
      <w:tr>
        <w:tc>
          <w:tcPr>
            <w:tcW w:type="dxa" w:w="2200"/>
            <w:shd w:fill="EAF3EE" w:val="clear"/>
            <w:tcMar>
              <w:top w:type="dxa" w:w="80"/>
              <w:left w:type="dxa" w:w="100"/>
              <w:bottom w:type="dxa" w:w="80"/>
              <w:right w:type="dxa" w:w="100"/>
            </w:tcMar>
          </w:tcPr>
          <w:p>
            <w:r>
              <w:rPr>
                <w:b w:val="false"/>
                <w:bCs w:val="false"/>
                <w:sz w:val="19"/>
                <w:szCs w:val="19"/>
              </w:rPr>
              <w:t xml:space="preserve">No lazy-loading on below-the-fold dashboard charts</w:t>
            </w:r>
          </w:p>
        </w:tc>
        <w:tc>
          <w:tcPr>
            <w:tcW w:type="dxa" w:w="3600"/>
            <w:shd w:fill="EAF3EE" w:val="clear"/>
            <w:tcMar>
              <w:top w:type="dxa" w:w="80"/>
              <w:left w:type="dxa" w:w="100"/>
              <w:bottom w:type="dxa" w:w="80"/>
              <w:right w:type="dxa" w:w="100"/>
            </w:tcMar>
          </w:tcPr>
          <w:p>
            <w:r>
              <w:rPr>
                <w:b w:val="false"/>
                <w:bCs w:val="false"/>
                <w:sz w:val="19"/>
                <w:szCs w:val="19"/>
              </w:rPr>
              <w:t xml:space="preserve">Lazy-load the public dashboard's chart library only when that section scrolls into view</w:t>
            </w:r>
          </w:p>
        </w:tc>
        <w:tc>
          <w:tcPr>
            <w:tcW w:type="dxa" w:w="2200"/>
            <w:shd w:fill="EAF3EE" w:val="clear"/>
            <w:tcMar>
              <w:top w:type="dxa" w:w="80"/>
              <w:left w:type="dxa" w:w="100"/>
              <w:bottom w:type="dxa" w:w="80"/>
              <w:right w:type="dxa" w:w="100"/>
            </w:tcMar>
          </w:tcPr>
          <w:p>
            <w:r>
              <w:rPr>
                <w:b w:val="false"/>
                <w:bCs w:val="false"/>
                <w:sz w:val="19"/>
                <w:szCs w:val="19"/>
              </w:rPr>
              <w:t xml:space="preserve">Initial JS payload reduced ~30%</w:t>
            </w:r>
          </w:p>
        </w:tc>
        <w:tc>
          <w:tcPr>
            <w:tcW w:type="dxa" w:w="1000"/>
            <w:shd w:fill="EAF3EE" w:val="clear"/>
            <w:tcMar>
              <w:top w:type="dxa" w:w="80"/>
              <w:left w:type="dxa" w:w="100"/>
              <w:bottom w:type="dxa" w:w="80"/>
              <w:right w:type="dxa" w:w="100"/>
            </w:tcMar>
          </w:tcPr>
          <w:p>
            <w:r>
              <w:rPr>
                <w:b w:val="false"/>
                <w:bCs w:val="false"/>
                <w:sz w:val="19"/>
                <w:szCs w:val="19"/>
              </w:rPr>
              <w:t xml:space="preserve">P2</w:t>
            </w:r>
          </w:p>
        </w:tc>
      </w:tr>
    </w:tbl>
    <w:p>
      <w:pPr>
        <w:pStyle w:val="Heading1"/>
        <w:spacing w:after="160" w:before="320"/>
      </w:pPr>
      <w:r>
        <w:t xml:space="preserve">3. Accessibility Assessment</w:t>
      </w:r>
    </w:p>
    <w:p>
      <w:pPr>
        <w:spacing w:after="140" w:line="300"/>
      </w:pPr>
      <w:r>
        <w:t xml:space="preserve">Accessibility was audited against WCAG 2.1 Level AA, organised by the four POUR principles (Perceivable, Operable, Understandable, Robust), combining automated scanning (axe-core) with manual keyboard-only navigation and screen-reader testing (NVDA on desktop, VoiceOver on iOS) — automated tools alone catch roughly a third of real accessibility issues, so the manual pass matters as much as the scan.</w:t>
      </w:r>
    </w:p>
    <w:p>
      <w:pPr>
        <w:spacing w:after="60" w:before="160"/>
        <w:jc w:val="center"/>
      </w:pPr>
      <w:r>
        <w:drawing>
          <wp:inline distT="0" distB="0" distL="0" distR="0">
            <wp:extent cx="4572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333625"/>
                    </a:xfrm>
                    <a:prstGeom prst="rect">
                      <a:avLst/>
                    </a:prstGeom>
                  </pic:spPr>
                </pic:pic>
              </a:graphicData>
            </a:graphic>
          </wp:inline>
        </w:drawing>
      </w:r>
    </w:p>
    <w:p>
      <w:pPr>
        <w:spacing w:after="220"/>
        <w:jc w:val="center"/>
      </w:pPr>
      <w:r>
        <w:rPr>
          <w:i/>
          <w:iCs/>
          <w:color w:val="666666"/>
          <w:sz w:val="18"/>
          <w:szCs w:val="18"/>
        </w:rPr>
        <w:t xml:space="preserve">Figure 3 — Accessibility audit results by WCAG principle, citizen portal screens</w:t>
      </w:r>
    </w:p>
    <w:p>
      <w:pPr>
        <w:pStyle w:val="Heading2"/>
        <w:spacing w:after="120" w:before="240"/>
      </w:pPr>
      <w:r>
        <w:t xml:space="preserve">3.1 Findings by category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2100"/>
        <w:gridCol w:w="1400"/>
      </w:tblGrid>
      <w:tr>
        <w:trPr>
          <w:tblHeader/>
        </w:trPr>
        <w:tc>
          <w:tcPr>
            <w:tcW w:type="dxa" w:w="2100"/>
            <w:shd w:fill="2E5B4C" w:val="clear"/>
            <w:tcMar>
              <w:top w:type="dxa" w:w="80"/>
              <w:left w:type="dxa" w:w="100"/>
              <w:bottom w:type="dxa" w:w="80"/>
              <w:right w:type="dxa" w:w="100"/>
            </w:tcMar>
          </w:tcPr>
          <w:p>
            <w:r>
              <w:rPr>
                <w:b/>
                <w:bCs/>
                <w:color w:val="FFFFFF"/>
                <w:sz w:val="19"/>
                <w:szCs w:val="19"/>
              </w:rPr>
              <w:t xml:space="preserve">Category</w:t>
            </w:r>
          </w:p>
        </w:tc>
        <w:tc>
          <w:tcPr>
            <w:tcW w:type="dxa" w:w="4200"/>
            <w:shd w:fill="2E5B4C" w:val="clear"/>
            <w:tcMar>
              <w:top w:type="dxa" w:w="80"/>
              <w:left w:type="dxa" w:w="100"/>
              <w:bottom w:type="dxa" w:w="80"/>
              <w:right w:type="dxa" w:w="100"/>
            </w:tcMar>
          </w:tcPr>
          <w:p>
            <w:r>
              <w:rPr>
                <w:b/>
                <w:bCs/>
                <w:color w:val="FFFFFF"/>
                <w:sz w:val="19"/>
                <w:szCs w:val="19"/>
              </w:rPr>
              <w:t xml:space="preserve">Finding</w:t>
            </w:r>
          </w:p>
        </w:tc>
        <w:tc>
          <w:tcPr>
            <w:tcW w:type="dxa" w:w="2100"/>
            <w:shd w:fill="2E5B4C" w:val="clear"/>
            <w:tcMar>
              <w:top w:type="dxa" w:w="80"/>
              <w:left w:type="dxa" w:w="100"/>
              <w:bottom w:type="dxa" w:w="80"/>
              <w:right w:type="dxa" w:w="100"/>
            </w:tcMar>
          </w:tcPr>
          <w:p>
            <w:r>
              <w:rPr>
                <w:b/>
                <w:bCs/>
                <w:color w:val="FFFFFF"/>
                <w:sz w:val="19"/>
                <w:szCs w:val="19"/>
              </w:rPr>
              <w:t xml:space="preserve">WCAG criterion</w:t>
            </w:r>
          </w:p>
        </w:tc>
        <w:tc>
          <w:tcPr>
            <w:tcW w:type="dxa" w:w="1400"/>
            <w:shd w:fill="2E5B4C" w:val="clear"/>
            <w:tcMar>
              <w:top w:type="dxa" w:w="80"/>
              <w:left w:type="dxa" w:w="100"/>
              <w:bottom w:type="dxa" w:w="80"/>
              <w:right w:type="dxa" w:w="100"/>
            </w:tcMar>
          </w:tcPr>
          <w:p>
            <w:r>
              <w:rPr>
                <w:b/>
                <w:bCs/>
                <w:color w:val="FFFFFF"/>
                <w:sz w:val="19"/>
                <w:szCs w:val="19"/>
              </w:rPr>
              <w:t xml:space="preserve">Severity</w:t>
            </w:r>
          </w:p>
        </w:tc>
      </w:tr>
      <w:tr>
        <w:tc>
          <w:tcPr>
            <w:tcW w:type="dxa" w:w="2100"/>
            <w:tcMar>
              <w:top w:type="dxa" w:w="80"/>
              <w:left w:type="dxa" w:w="100"/>
              <w:bottom w:type="dxa" w:w="80"/>
              <w:right w:type="dxa" w:w="100"/>
            </w:tcMar>
          </w:tcPr>
          <w:p>
            <w:r>
              <w:rPr>
                <w:b w:val="false"/>
                <w:bCs w:val="false"/>
                <w:sz w:val="19"/>
                <w:szCs w:val="19"/>
              </w:rPr>
              <w:t xml:space="preserve">Colour contrast</w:t>
            </w:r>
          </w:p>
        </w:tc>
        <w:tc>
          <w:tcPr>
            <w:tcW w:type="dxa" w:w="4200"/>
            <w:tcMar>
              <w:top w:type="dxa" w:w="80"/>
              <w:left w:type="dxa" w:w="100"/>
              <w:bottom w:type="dxa" w:w="80"/>
              <w:right w:type="dxa" w:w="100"/>
            </w:tcMar>
          </w:tcPr>
          <w:p>
            <w:r>
              <w:rPr>
                <w:b w:val="false"/>
                <w:bCs w:val="false"/>
                <w:sz w:val="19"/>
                <w:szCs w:val="19"/>
              </w:rPr>
              <w:t xml:space="preserve">Helpline banner text (amber-on-cream) measures 3.8:1, below the 4.5:1 minimum for body text</w:t>
            </w:r>
          </w:p>
        </w:tc>
        <w:tc>
          <w:tcPr>
            <w:tcW w:type="dxa" w:w="2100"/>
            <w:tcMar>
              <w:top w:type="dxa" w:w="80"/>
              <w:left w:type="dxa" w:w="100"/>
              <w:bottom w:type="dxa" w:w="80"/>
              <w:right w:type="dxa" w:w="100"/>
            </w:tcMar>
          </w:tcPr>
          <w:p>
            <w:r>
              <w:rPr>
                <w:b w:val="false"/>
                <w:bCs w:val="false"/>
                <w:sz w:val="19"/>
                <w:szCs w:val="19"/>
              </w:rPr>
              <w:t xml:space="preserve">1.4.3 Contrast (Minimum)</w:t>
            </w:r>
          </w:p>
        </w:tc>
        <w:tc>
          <w:tcPr>
            <w:tcW w:type="dxa" w:w="1400"/>
            <w:tcMar>
              <w:top w:type="dxa" w:w="80"/>
              <w:left w:type="dxa" w:w="100"/>
              <w:bottom w:type="dxa" w:w="80"/>
              <w:right w:type="dxa" w:w="100"/>
            </w:tcMar>
          </w:tcPr>
          <w:p>
            <w:r>
              <w:rPr>
                <w:b w:val="false"/>
                <w:bCs w:val="false"/>
                <w:sz w:val="19"/>
                <w:szCs w:val="19"/>
              </w:rPr>
              <w:t xml:space="preserve">Medium</w:t>
            </w:r>
          </w:p>
        </w:tc>
      </w:tr>
      <w:tr>
        <w:tc>
          <w:tcPr>
            <w:tcW w:type="dxa" w:w="2100"/>
            <w:shd w:fill="EAF3EE" w:val="clear"/>
            <w:tcMar>
              <w:top w:type="dxa" w:w="80"/>
              <w:left w:type="dxa" w:w="100"/>
              <w:bottom w:type="dxa" w:w="80"/>
              <w:right w:type="dxa" w:w="100"/>
            </w:tcMar>
          </w:tcPr>
          <w:p>
            <w:r>
              <w:rPr>
                <w:b w:val="false"/>
                <w:bCs w:val="false"/>
                <w:sz w:val="19"/>
                <w:szCs w:val="19"/>
              </w:rPr>
              <w:t xml:space="preserve">Keyboard navigation</w:t>
            </w:r>
          </w:p>
        </w:tc>
        <w:tc>
          <w:tcPr>
            <w:tcW w:type="dxa" w:w="4200"/>
            <w:shd w:fill="EAF3EE" w:val="clear"/>
            <w:tcMar>
              <w:top w:type="dxa" w:w="80"/>
              <w:left w:type="dxa" w:w="100"/>
              <w:bottom w:type="dxa" w:w="80"/>
              <w:right w:type="dxa" w:w="100"/>
            </w:tcMar>
          </w:tcPr>
          <w:p>
            <w:r>
              <w:rPr>
                <w:b w:val="false"/>
                <w:bCs w:val="false"/>
                <w:sz w:val="19"/>
                <w:szCs w:val="19"/>
              </w:rPr>
              <w:t xml:space="preserve">Photo-upload drag-and-drop zone is not reachable via Tab; no keyboard-triggerable alternative</w:t>
            </w:r>
          </w:p>
        </w:tc>
        <w:tc>
          <w:tcPr>
            <w:tcW w:type="dxa" w:w="2100"/>
            <w:shd w:fill="EAF3EE" w:val="clear"/>
            <w:tcMar>
              <w:top w:type="dxa" w:w="80"/>
              <w:left w:type="dxa" w:w="100"/>
              <w:bottom w:type="dxa" w:w="80"/>
              <w:right w:type="dxa" w:w="100"/>
            </w:tcMar>
          </w:tcPr>
          <w:p>
            <w:r>
              <w:rPr>
                <w:b w:val="false"/>
                <w:bCs w:val="false"/>
                <w:sz w:val="19"/>
                <w:szCs w:val="19"/>
              </w:rPr>
              <w:t xml:space="preserve">2.1.1 Keyboard</w:t>
            </w:r>
          </w:p>
        </w:tc>
        <w:tc>
          <w:tcPr>
            <w:tcW w:type="dxa" w:w="1400"/>
            <w:shd w:fill="EAF3EE" w:val="clear"/>
            <w:tcMar>
              <w:top w:type="dxa" w:w="80"/>
              <w:left w:type="dxa" w:w="100"/>
              <w:bottom w:type="dxa" w:w="80"/>
              <w:right w:type="dxa" w:w="100"/>
            </w:tcMar>
          </w:tcPr>
          <w:p>
            <w:r>
              <w:rPr>
                <w:b w:val="false"/>
                <w:bCs w:val="false"/>
                <w:sz w:val="19"/>
                <w:szCs w:val="19"/>
              </w:rPr>
              <w:t xml:space="preserve">High</w:t>
            </w:r>
          </w:p>
        </w:tc>
      </w:tr>
      <w:tr>
        <w:tc>
          <w:tcPr>
            <w:tcW w:type="dxa" w:w="2100"/>
            <w:tcMar>
              <w:top w:type="dxa" w:w="80"/>
              <w:left w:type="dxa" w:w="100"/>
              <w:bottom w:type="dxa" w:w="80"/>
              <w:right w:type="dxa" w:w="100"/>
            </w:tcMar>
          </w:tcPr>
          <w:p>
            <w:r>
              <w:rPr>
                <w:b w:val="false"/>
                <w:bCs w:val="false"/>
                <w:sz w:val="19"/>
                <w:szCs w:val="19"/>
              </w:rPr>
              <w:t xml:space="preserve">Screen reader labelling</w:t>
            </w:r>
          </w:p>
        </w:tc>
        <w:tc>
          <w:tcPr>
            <w:tcW w:type="dxa" w:w="4200"/>
            <w:tcMar>
              <w:top w:type="dxa" w:w="80"/>
              <w:left w:type="dxa" w:w="100"/>
              <w:bottom w:type="dxa" w:w="80"/>
              <w:right w:type="dxa" w:w="100"/>
            </w:tcMar>
          </w:tcPr>
          <w:p>
            <w:r>
              <w:rPr>
                <w:b w:val="false"/>
                <w:bCs w:val="false"/>
                <w:sz w:val="19"/>
                <w:szCs w:val="19"/>
              </w:rPr>
              <w:t xml:space="preserve">Camera/upload icon button has no accessible name — announced only as 'button'</w:t>
            </w:r>
          </w:p>
        </w:tc>
        <w:tc>
          <w:tcPr>
            <w:tcW w:type="dxa" w:w="2100"/>
            <w:tcMar>
              <w:top w:type="dxa" w:w="80"/>
              <w:left w:type="dxa" w:w="100"/>
              <w:bottom w:type="dxa" w:w="80"/>
              <w:right w:type="dxa" w:w="100"/>
            </w:tcMar>
          </w:tcPr>
          <w:p>
            <w:r>
              <w:rPr>
                <w:b w:val="false"/>
                <w:bCs w:val="false"/>
                <w:sz w:val="19"/>
                <w:szCs w:val="19"/>
              </w:rPr>
              <w:t xml:space="preserve">4.1.2 Name, Role, Value</w:t>
            </w:r>
          </w:p>
        </w:tc>
        <w:tc>
          <w:tcPr>
            <w:tcW w:type="dxa" w:w="1400"/>
            <w:tcMar>
              <w:top w:type="dxa" w:w="80"/>
              <w:left w:type="dxa" w:w="100"/>
              <w:bottom w:type="dxa" w:w="80"/>
              <w:right w:type="dxa" w:w="100"/>
            </w:tcMar>
          </w:tcPr>
          <w:p>
            <w:r>
              <w:rPr>
                <w:b w:val="false"/>
                <w:bCs w:val="false"/>
                <w:sz w:val="19"/>
                <w:szCs w:val="19"/>
              </w:rPr>
              <w:t xml:space="preserve">High</w:t>
            </w:r>
          </w:p>
        </w:tc>
      </w:tr>
      <w:tr>
        <w:tc>
          <w:tcPr>
            <w:tcW w:type="dxa" w:w="2100"/>
            <w:shd w:fill="EAF3EE" w:val="clear"/>
            <w:tcMar>
              <w:top w:type="dxa" w:w="80"/>
              <w:left w:type="dxa" w:w="100"/>
              <w:bottom w:type="dxa" w:w="80"/>
              <w:right w:type="dxa" w:w="100"/>
            </w:tcMar>
          </w:tcPr>
          <w:p>
            <w:r>
              <w:rPr>
                <w:b w:val="false"/>
                <w:bCs w:val="false"/>
                <w:sz w:val="19"/>
                <w:szCs w:val="19"/>
              </w:rPr>
              <w:t xml:space="preserve">Focus visibility</w:t>
            </w:r>
          </w:p>
        </w:tc>
        <w:tc>
          <w:tcPr>
            <w:tcW w:type="dxa" w:w="4200"/>
            <w:shd w:fill="EAF3EE" w:val="clear"/>
            <w:tcMar>
              <w:top w:type="dxa" w:w="80"/>
              <w:left w:type="dxa" w:w="100"/>
              <w:bottom w:type="dxa" w:w="80"/>
              <w:right w:type="dxa" w:w="100"/>
            </w:tcMar>
          </w:tcPr>
          <w:p>
            <w:r>
              <w:rPr>
                <w:b w:val="false"/>
                <w:bCs w:val="false"/>
                <w:sz w:val="19"/>
                <w:szCs w:val="19"/>
              </w:rPr>
              <w:t xml:space="preserve">Focus outline is suppressed by a global CSS reset on custom buttons</w:t>
            </w:r>
          </w:p>
        </w:tc>
        <w:tc>
          <w:tcPr>
            <w:tcW w:type="dxa" w:w="2100"/>
            <w:shd w:fill="EAF3EE" w:val="clear"/>
            <w:tcMar>
              <w:top w:type="dxa" w:w="80"/>
              <w:left w:type="dxa" w:w="100"/>
              <w:bottom w:type="dxa" w:w="80"/>
              <w:right w:type="dxa" w:w="100"/>
            </w:tcMar>
          </w:tcPr>
          <w:p>
            <w:r>
              <w:rPr>
                <w:b w:val="false"/>
                <w:bCs w:val="false"/>
                <w:sz w:val="19"/>
                <w:szCs w:val="19"/>
              </w:rPr>
              <w:t xml:space="preserve">2.4.7 Focus Visible</w:t>
            </w:r>
          </w:p>
        </w:tc>
        <w:tc>
          <w:tcPr>
            <w:tcW w:type="dxa" w:w="1400"/>
            <w:shd w:fill="EAF3EE" w:val="clear"/>
            <w:tcMar>
              <w:top w:type="dxa" w:w="80"/>
              <w:left w:type="dxa" w:w="100"/>
              <w:bottom w:type="dxa" w:w="80"/>
              <w:right w:type="dxa" w:w="100"/>
            </w:tcMar>
          </w:tcPr>
          <w:p>
            <w:r>
              <w:rPr>
                <w:b w:val="false"/>
                <w:bCs w:val="false"/>
                <w:sz w:val="19"/>
                <w:szCs w:val="19"/>
              </w:rPr>
              <w:t xml:space="preserve">High</w:t>
            </w:r>
          </w:p>
        </w:tc>
      </w:tr>
      <w:tr>
        <w:tc>
          <w:tcPr>
            <w:tcW w:type="dxa" w:w="2100"/>
            <w:tcMar>
              <w:top w:type="dxa" w:w="80"/>
              <w:left w:type="dxa" w:w="100"/>
              <w:bottom w:type="dxa" w:w="80"/>
              <w:right w:type="dxa" w:w="100"/>
            </w:tcMar>
          </w:tcPr>
          <w:p>
            <w:r>
              <w:rPr>
                <w:b w:val="false"/>
                <w:bCs w:val="false"/>
                <w:sz w:val="19"/>
                <w:szCs w:val="19"/>
              </w:rPr>
              <w:t xml:space="preserve">Form error handling</w:t>
            </w:r>
          </w:p>
        </w:tc>
        <w:tc>
          <w:tcPr>
            <w:tcW w:type="dxa" w:w="4200"/>
            <w:tcMar>
              <w:top w:type="dxa" w:w="80"/>
              <w:left w:type="dxa" w:w="100"/>
              <w:bottom w:type="dxa" w:w="80"/>
              <w:right w:type="dxa" w:w="100"/>
            </w:tcMar>
          </w:tcPr>
          <w:p>
            <w:r>
              <w:rPr>
                <w:b w:val="false"/>
                <w:bCs w:val="false"/>
                <w:sz w:val="19"/>
                <w:szCs w:val="19"/>
              </w:rPr>
              <w:t xml:space="preserve">Validation errors are shown only as a red border with no text description announced to screen readers</w:t>
            </w:r>
          </w:p>
        </w:tc>
        <w:tc>
          <w:tcPr>
            <w:tcW w:type="dxa" w:w="2100"/>
            <w:tcMar>
              <w:top w:type="dxa" w:w="80"/>
              <w:left w:type="dxa" w:w="100"/>
              <w:bottom w:type="dxa" w:w="80"/>
              <w:right w:type="dxa" w:w="100"/>
            </w:tcMar>
          </w:tcPr>
          <w:p>
            <w:r>
              <w:rPr>
                <w:b w:val="false"/>
                <w:bCs w:val="false"/>
                <w:sz w:val="19"/>
                <w:szCs w:val="19"/>
              </w:rPr>
              <w:t xml:space="preserve">3.3.1 Error Identification</w:t>
            </w:r>
          </w:p>
        </w:tc>
        <w:tc>
          <w:tcPr>
            <w:tcW w:type="dxa" w:w="1400"/>
            <w:tcMar>
              <w:top w:type="dxa" w:w="80"/>
              <w:left w:type="dxa" w:w="100"/>
              <w:bottom w:type="dxa" w:w="80"/>
              <w:right w:type="dxa" w:w="100"/>
            </w:tcMar>
          </w:tcPr>
          <w:p>
            <w:r>
              <w:rPr>
                <w:b w:val="false"/>
                <w:bCs w:val="false"/>
                <w:sz w:val="19"/>
                <w:szCs w:val="19"/>
              </w:rPr>
              <w:t xml:space="preserve">High</w:t>
            </w:r>
          </w:p>
        </w:tc>
      </w:tr>
      <w:tr>
        <w:tc>
          <w:tcPr>
            <w:tcW w:type="dxa" w:w="2100"/>
            <w:shd w:fill="EAF3EE" w:val="clear"/>
            <w:tcMar>
              <w:top w:type="dxa" w:w="80"/>
              <w:left w:type="dxa" w:w="100"/>
              <w:bottom w:type="dxa" w:w="80"/>
              <w:right w:type="dxa" w:w="100"/>
            </w:tcMar>
          </w:tcPr>
          <w:p>
            <w:r>
              <w:rPr>
                <w:b w:val="false"/>
                <w:bCs w:val="false"/>
                <w:sz w:val="19"/>
                <w:szCs w:val="19"/>
              </w:rPr>
              <w:t xml:space="preserve">Text resize</w:t>
            </w:r>
          </w:p>
        </w:tc>
        <w:tc>
          <w:tcPr>
            <w:tcW w:type="dxa" w:w="4200"/>
            <w:shd w:fill="EAF3EE" w:val="clear"/>
            <w:tcMar>
              <w:top w:type="dxa" w:w="80"/>
              <w:left w:type="dxa" w:w="100"/>
              <w:bottom w:type="dxa" w:w="80"/>
              <w:right w:type="dxa" w:w="100"/>
            </w:tcMar>
          </w:tcPr>
          <w:p>
            <w:r>
              <w:rPr>
                <w:b w:val="false"/>
                <w:bCs w:val="false"/>
                <w:sz w:val="19"/>
                <w:szCs w:val="19"/>
              </w:rPr>
              <w:t xml:space="preserve">Layout breaks (horizontal scroll appears) at 200% browser zoom on the report form</w:t>
            </w:r>
          </w:p>
        </w:tc>
        <w:tc>
          <w:tcPr>
            <w:tcW w:type="dxa" w:w="2100"/>
            <w:shd w:fill="EAF3EE" w:val="clear"/>
            <w:tcMar>
              <w:top w:type="dxa" w:w="80"/>
              <w:left w:type="dxa" w:w="100"/>
              <w:bottom w:type="dxa" w:w="80"/>
              <w:right w:type="dxa" w:w="100"/>
            </w:tcMar>
          </w:tcPr>
          <w:p>
            <w:r>
              <w:rPr>
                <w:b w:val="false"/>
                <w:bCs w:val="false"/>
                <w:sz w:val="19"/>
                <w:szCs w:val="19"/>
              </w:rPr>
              <w:t xml:space="preserve">1.4.4 Resize Text</w:t>
            </w:r>
          </w:p>
        </w:tc>
        <w:tc>
          <w:tcPr>
            <w:tcW w:type="dxa" w:w="1400"/>
            <w:shd w:fill="EAF3EE" w:val="clear"/>
            <w:tcMar>
              <w:top w:type="dxa" w:w="80"/>
              <w:left w:type="dxa" w:w="100"/>
              <w:bottom w:type="dxa" w:w="80"/>
              <w:right w:type="dxa" w:w="100"/>
            </w:tcMar>
          </w:tcPr>
          <w:p>
            <w:r>
              <w:rPr>
                <w:b w:val="false"/>
                <w:bCs w:val="false"/>
                <w:sz w:val="19"/>
                <w:szCs w:val="19"/>
              </w:rPr>
              <w:t xml:space="preserve">Medium</w:t>
            </w:r>
          </w:p>
        </w:tc>
      </w:tr>
      <w:tr>
        <w:tc>
          <w:tcPr>
            <w:tcW w:type="dxa" w:w="2100"/>
            <w:tcMar>
              <w:top w:type="dxa" w:w="80"/>
              <w:left w:type="dxa" w:w="100"/>
              <w:bottom w:type="dxa" w:w="80"/>
              <w:right w:type="dxa" w:w="100"/>
            </w:tcMar>
          </w:tcPr>
          <w:p>
            <w:r>
              <w:rPr>
                <w:b w:val="false"/>
                <w:bCs w:val="false"/>
                <w:sz w:val="19"/>
                <w:szCs w:val="19"/>
              </w:rPr>
              <w:t xml:space="preserve">Language of page</w:t>
            </w:r>
          </w:p>
        </w:tc>
        <w:tc>
          <w:tcPr>
            <w:tcW w:type="dxa" w:w="4200"/>
            <w:tcMar>
              <w:top w:type="dxa" w:w="80"/>
              <w:left w:type="dxa" w:w="100"/>
              <w:bottom w:type="dxa" w:w="80"/>
              <w:right w:type="dxa" w:w="100"/>
            </w:tcMar>
          </w:tcPr>
          <w:p>
            <w:r>
              <w:rPr>
                <w:b w:val="false"/>
                <w:bCs w:val="false"/>
                <w:sz w:val="19"/>
                <w:szCs w:val="19"/>
              </w:rPr>
              <w:t xml:space="preserve">`lang` attribute correctly set to `hi-IN`/`en-IN` and switches properly with the language toggle</w:t>
            </w:r>
          </w:p>
        </w:tc>
        <w:tc>
          <w:tcPr>
            <w:tcW w:type="dxa" w:w="2100"/>
            <w:tcMar>
              <w:top w:type="dxa" w:w="80"/>
              <w:left w:type="dxa" w:w="100"/>
              <w:bottom w:type="dxa" w:w="80"/>
              <w:right w:type="dxa" w:w="100"/>
            </w:tcMar>
          </w:tcPr>
          <w:p>
            <w:r>
              <w:rPr>
                <w:b w:val="false"/>
                <w:bCs w:val="false"/>
                <w:sz w:val="19"/>
                <w:szCs w:val="19"/>
              </w:rPr>
              <w:t xml:space="preserve">3.1.1 Language of Page</w:t>
            </w:r>
          </w:p>
        </w:tc>
        <w:tc>
          <w:tcPr>
            <w:tcW w:type="dxa" w:w="1400"/>
            <w:tcMar>
              <w:top w:type="dxa" w:w="80"/>
              <w:left w:type="dxa" w:w="100"/>
              <w:bottom w:type="dxa" w:w="80"/>
              <w:right w:type="dxa" w:w="100"/>
            </w:tcMar>
          </w:tcPr>
          <w:p>
            <w:r>
              <w:rPr>
                <w:b w:val="false"/>
                <w:bCs w:val="false"/>
                <w:sz w:val="19"/>
                <w:szCs w:val="19"/>
              </w:rPr>
              <w:t xml:space="preserve">Pass</w:t>
            </w:r>
          </w:p>
        </w:tc>
      </w:tr>
      <w:tr>
        <w:tc>
          <w:tcPr>
            <w:tcW w:type="dxa" w:w="2100"/>
            <w:shd w:fill="EAF3EE" w:val="clear"/>
            <w:tcMar>
              <w:top w:type="dxa" w:w="80"/>
              <w:left w:type="dxa" w:w="100"/>
              <w:bottom w:type="dxa" w:w="80"/>
              <w:right w:type="dxa" w:w="100"/>
            </w:tcMar>
          </w:tcPr>
          <w:p>
            <w:r>
              <w:rPr>
                <w:b w:val="false"/>
                <w:bCs w:val="false"/>
                <w:sz w:val="19"/>
                <w:szCs w:val="19"/>
              </w:rPr>
              <w:t xml:space="preserve">Heading structure</w:t>
            </w:r>
          </w:p>
        </w:tc>
        <w:tc>
          <w:tcPr>
            <w:tcW w:type="dxa" w:w="4200"/>
            <w:shd w:fill="EAF3EE" w:val="clear"/>
            <w:tcMar>
              <w:top w:type="dxa" w:w="80"/>
              <w:left w:type="dxa" w:w="100"/>
              <w:bottom w:type="dxa" w:w="80"/>
              <w:right w:type="dxa" w:w="100"/>
            </w:tcMar>
          </w:tcPr>
          <w:p>
            <w:r>
              <w:rPr>
                <w:b w:val="false"/>
                <w:bCs w:val="false"/>
                <w:sz w:val="19"/>
                <w:szCs w:val="19"/>
              </w:rPr>
              <w:t xml:space="preserve">Logical heading hierarchy (h1→h2→h3) confirmed across all citizen screens</w:t>
            </w:r>
          </w:p>
        </w:tc>
        <w:tc>
          <w:tcPr>
            <w:tcW w:type="dxa" w:w="2100"/>
            <w:shd w:fill="EAF3EE" w:val="clear"/>
            <w:tcMar>
              <w:top w:type="dxa" w:w="80"/>
              <w:left w:type="dxa" w:w="100"/>
              <w:bottom w:type="dxa" w:w="80"/>
              <w:right w:type="dxa" w:w="100"/>
            </w:tcMar>
          </w:tcPr>
          <w:p>
            <w:r>
              <w:rPr>
                <w:b w:val="false"/>
                <w:bCs w:val="false"/>
                <w:sz w:val="19"/>
                <w:szCs w:val="19"/>
              </w:rPr>
              <w:t xml:space="preserve">1.3.1 Info and Relationships</w:t>
            </w:r>
          </w:p>
        </w:tc>
        <w:tc>
          <w:tcPr>
            <w:tcW w:type="dxa" w:w="1400"/>
            <w:shd w:fill="EAF3EE" w:val="clear"/>
            <w:tcMar>
              <w:top w:type="dxa" w:w="80"/>
              <w:left w:type="dxa" w:w="100"/>
              <w:bottom w:type="dxa" w:w="80"/>
              <w:right w:type="dxa" w:w="100"/>
            </w:tcMar>
          </w:tcPr>
          <w:p>
            <w:r>
              <w:rPr>
                <w:b w:val="false"/>
                <w:bCs w:val="false"/>
                <w:sz w:val="19"/>
                <w:szCs w:val="19"/>
              </w:rPr>
              <w:t xml:space="preserve">Pass</w:t>
            </w:r>
          </w:p>
        </w:tc>
      </w:tr>
    </w:tbl>
    <w:p>
      <w:pPr>
        <w:pStyle w:val="Heading2"/>
        <w:spacing w:after="120" w:before="240"/>
      </w:pPr>
      <w:r>
        <w:t xml:space="preserve">3.2 Recommendations</w:t>
      </w:r>
    </w:p>
    <w:p>
      <w:pPr>
        <w:pStyle w:val="ListParagraph"/>
        <w:numPr>
          <w:ilvl w:val="0"/>
          <w:numId w:val="2"/>
        </w:numPr>
        <w:spacing w:after="60"/>
      </w:pPr>
      <w:r>
        <w:t xml:space="preserve">Add `aria-label="Upload a photo of the animal"` to the icon-only upload button, and ensure the drag-and-drop zone has a keyboard-operable fallback (a standard file input styled to match).</w:t>
      </w:r>
    </w:p>
    <w:p>
      <w:pPr>
        <w:pStyle w:val="ListParagraph"/>
        <w:numPr>
          <w:ilvl w:val="0"/>
          <w:numId w:val="2"/>
        </w:numPr>
        <w:spacing w:after="60"/>
      </w:pPr>
      <w:r>
        <w:t xml:space="preserve">Restore visible focus indicators globally; a custom focus ring in the brand green (meets contrast) can replace the browser default without removing it entirely.</w:t>
      </w:r>
    </w:p>
    <w:p>
      <w:pPr>
        <w:pStyle w:val="ListParagraph"/>
        <w:numPr>
          <w:ilvl w:val="0"/>
          <w:numId w:val="2"/>
        </w:numPr>
        <w:spacing w:after="60"/>
      </w:pPr>
      <w:r>
        <w:t xml:space="preserve">Pair every inline validation error with `aria-describedby` linking the field to a text error message, not colour alone.</w:t>
      </w:r>
    </w:p>
    <w:p>
      <w:pPr>
        <w:pStyle w:val="ListParagraph"/>
        <w:numPr>
          <w:ilvl w:val="0"/>
          <w:numId w:val="2"/>
        </w:numPr>
        <w:spacing w:after="60"/>
      </w:pPr>
      <w:r>
        <w:t xml:space="preserve">Darken the helpline banner text from the current amber to a deeper shade (#B87A2E) to clear the 4.5:1 contrast threshold while keeping the warm tone from the Week 2 design.</w:t>
      </w:r>
    </w:p>
    <w:p>
      <w:pPr>
        <w:pStyle w:val="ListParagraph"/>
        <w:numPr>
          <w:ilvl w:val="0"/>
          <w:numId w:val="2"/>
        </w:numPr>
        <w:spacing w:after="60"/>
      </w:pPr>
      <w:r>
        <w:t xml:space="preserve">Add a responsive fix so the form's two-column desktop layout collapses to single-column earlier when zoomed, preventing horizontal scroll at 200%.</w:t>
      </w:r>
    </w:p>
    <w:p>
      <w:pPr>
        <w:pStyle w:val="Heading1"/>
        <w:spacing w:after="160" w:before="320"/>
      </w:pPr>
      <w:r>
        <w:t xml:space="preserve">4. Security Analysis</w:t>
      </w:r>
    </w:p>
    <w:p>
      <w:pPr>
        <w:spacing w:after="140" w:line="300"/>
      </w:pPr>
      <w:r>
        <w:t xml:space="preserve">The security review combined an automated OWASP ZAP scan of the staging API with a manual review of authentication, authorisation, and input-handling logic — automated scanning is good at surfacing common injection and header issues, but logic flaws like broken access control need a human reading the code path.</w:t>
      </w:r>
    </w:p>
    <w:p>
      <w:pPr>
        <w:spacing w:after="60" w:before="160"/>
        <w:jc w:val="center"/>
      </w:pPr>
      <w:r>
        <w:drawing>
          <wp:inline distT="0" distB="0" distL="0" distR="0">
            <wp:extent cx="4000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286000"/>
                    </a:xfrm>
                    <a:prstGeom prst="rect">
                      <a:avLst/>
                    </a:prstGeom>
                  </pic:spPr>
                </pic:pic>
              </a:graphicData>
            </a:graphic>
          </wp:inline>
        </w:drawing>
      </w:r>
    </w:p>
    <w:p>
      <w:pPr>
        <w:spacing w:after="220"/>
        <w:jc w:val="center"/>
      </w:pPr>
      <w:r>
        <w:rPr>
          <w:i/>
          <w:iCs/>
          <w:color w:val="666666"/>
          <w:sz w:val="18"/>
          <w:szCs w:val="18"/>
        </w:rPr>
        <w:t xml:space="preserve">Figure 4 — Security findings by severity across 13 total issues identified</w:t>
      </w:r>
    </w:p>
    <w:p>
      <w:pPr>
        <w:pStyle w:val="Heading2"/>
        <w:spacing w:after="120" w:before="240"/>
      </w:pPr>
      <w:r>
        <w:t xml:space="preserve">4.1 Findings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400"/>
        <w:gridCol w:w="1000"/>
      </w:tblGrid>
      <w:tr>
        <w:trPr>
          <w:tblHeader/>
        </w:trPr>
        <w:tc>
          <w:tcPr>
            <w:tcW w:type="dxa" w:w="2200"/>
            <w:shd w:fill="2E5B4C" w:val="clear"/>
            <w:tcMar>
              <w:top w:type="dxa" w:w="80"/>
              <w:left w:type="dxa" w:w="100"/>
              <w:bottom w:type="dxa" w:w="80"/>
              <w:right w:type="dxa" w:w="100"/>
            </w:tcMar>
          </w:tcPr>
          <w:p>
            <w:r>
              <w:rPr>
                <w:b/>
                <w:bCs/>
                <w:color w:val="FFFFFF"/>
                <w:sz w:val="19"/>
                <w:szCs w:val="19"/>
              </w:rPr>
              <w:t xml:space="preserve">Vulnerability class</w:t>
            </w:r>
          </w:p>
        </w:tc>
        <w:tc>
          <w:tcPr>
            <w:tcW w:type="dxa" w:w="4200"/>
            <w:shd w:fill="2E5B4C" w:val="clear"/>
            <w:tcMar>
              <w:top w:type="dxa" w:w="80"/>
              <w:left w:type="dxa" w:w="100"/>
              <w:bottom w:type="dxa" w:w="80"/>
              <w:right w:type="dxa" w:w="100"/>
            </w:tcMar>
          </w:tcPr>
          <w:p>
            <w:r>
              <w:rPr>
                <w:b/>
                <w:bCs/>
                <w:color w:val="FFFFFF"/>
                <w:sz w:val="19"/>
                <w:szCs w:val="19"/>
              </w:rPr>
              <w:t xml:space="preserve">Finding</w:t>
            </w:r>
          </w:p>
        </w:tc>
        <w:tc>
          <w:tcPr>
            <w:tcW w:type="dxa" w:w="2400"/>
            <w:shd w:fill="2E5B4C" w:val="clear"/>
            <w:tcMar>
              <w:top w:type="dxa" w:w="80"/>
              <w:left w:type="dxa" w:w="100"/>
              <w:bottom w:type="dxa" w:w="80"/>
              <w:right w:type="dxa" w:w="100"/>
            </w:tcMar>
          </w:tcPr>
          <w:p>
            <w:r>
              <w:rPr>
                <w:b/>
                <w:bCs/>
                <w:color w:val="FFFFFF"/>
                <w:sz w:val="19"/>
                <w:szCs w:val="19"/>
              </w:rPr>
              <w:t xml:space="preserve">Risk</w:t>
            </w:r>
          </w:p>
        </w:tc>
        <w:tc>
          <w:tcPr>
            <w:tcW w:type="dxa" w:w="1000"/>
            <w:shd w:fill="2E5B4C" w:val="clear"/>
            <w:tcMar>
              <w:top w:type="dxa" w:w="80"/>
              <w:left w:type="dxa" w:w="100"/>
              <w:bottom w:type="dxa" w:w="80"/>
              <w:right w:type="dxa" w:w="100"/>
            </w:tcMar>
          </w:tcPr>
          <w:p>
            <w:r>
              <w:rPr>
                <w:b/>
                <w:bCs/>
                <w:color w:val="FFFFFF"/>
                <w:sz w:val="19"/>
                <w:szCs w:val="19"/>
              </w:rPr>
              <w:t xml:space="preserve">Severity</w:t>
            </w:r>
          </w:p>
        </w:tc>
      </w:tr>
      <w:tr>
        <w:tc>
          <w:tcPr>
            <w:tcW w:type="dxa" w:w="2200"/>
            <w:tcMar>
              <w:top w:type="dxa" w:w="80"/>
              <w:left w:type="dxa" w:w="100"/>
              <w:bottom w:type="dxa" w:w="80"/>
              <w:right w:type="dxa" w:w="100"/>
            </w:tcMar>
          </w:tcPr>
          <w:p>
            <w:r>
              <w:rPr>
                <w:b w:val="false"/>
                <w:bCs w:val="false"/>
                <w:sz w:val="19"/>
                <w:szCs w:val="19"/>
              </w:rPr>
              <w:t xml:space="preserve">Broken access control</w:t>
            </w:r>
          </w:p>
        </w:tc>
        <w:tc>
          <w:tcPr>
            <w:tcW w:type="dxa" w:w="4200"/>
            <w:tcMar>
              <w:top w:type="dxa" w:w="80"/>
              <w:left w:type="dxa" w:w="100"/>
              <w:bottom w:type="dxa" w:w="80"/>
              <w:right w:type="dxa" w:w="100"/>
            </w:tcMar>
          </w:tcPr>
          <w:p>
            <w:r>
              <w:rPr>
                <w:b w:val="false"/>
                <w:bCs w:val="false"/>
                <w:sz w:val="19"/>
                <w:szCs w:val="19"/>
              </w:rPr>
              <w:t xml:space="preserve">A citizen-role auth token could reach one admin API endpoint (`/api/admin/cases/export`) by direct URL call, bypassing the UI's role check — the UI hid the option but the backend didn't enforce it</w:t>
            </w:r>
          </w:p>
        </w:tc>
        <w:tc>
          <w:tcPr>
            <w:tcW w:type="dxa" w:w="2400"/>
            <w:tcMar>
              <w:top w:type="dxa" w:w="80"/>
              <w:left w:type="dxa" w:w="100"/>
              <w:bottom w:type="dxa" w:w="80"/>
              <w:right w:type="dxa" w:w="100"/>
            </w:tcMar>
          </w:tcPr>
          <w:p>
            <w:r>
              <w:rPr>
                <w:b w:val="false"/>
                <w:bCs w:val="false"/>
                <w:sz w:val="19"/>
                <w:szCs w:val="19"/>
              </w:rPr>
              <w:t xml:space="preserve">Full case data export by any authenticated user</w:t>
            </w:r>
          </w:p>
        </w:tc>
        <w:tc>
          <w:tcPr>
            <w:tcW w:type="dxa" w:w="1000"/>
            <w:tcMar>
              <w:top w:type="dxa" w:w="80"/>
              <w:left w:type="dxa" w:w="100"/>
              <w:bottom w:type="dxa" w:w="80"/>
              <w:right w:type="dxa" w:w="100"/>
            </w:tcMar>
          </w:tcPr>
          <w:p>
            <w:r>
              <w:rPr>
                <w:b w:val="false"/>
                <w:bCs w:val="false"/>
                <w:sz w:val="19"/>
                <w:szCs w:val="19"/>
              </w:rPr>
              <w:t xml:space="preserve">Critical</w:t>
            </w:r>
          </w:p>
        </w:tc>
      </w:tr>
      <w:tr>
        <w:tc>
          <w:tcPr>
            <w:tcW w:type="dxa" w:w="2200"/>
            <w:shd w:fill="EAF3EE" w:val="clear"/>
            <w:tcMar>
              <w:top w:type="dxa" w:w="80"/>
              <w:left w:type="dxa" w:w="100"/>
              <w:bottom w:type="dxa" w:w="80"/>
              <w:right w:type="dxa" w:w="100"/>
            </w:tcMar>
          </w:tcPr>
          <w:p>
            <w:r>
              <w:rPr>
                <w:b w:val="false"/>
                <w:bCs w:val="false"/>
                <w:sz w:val="19"/>
                <w:szCs w:val="19"/>
              </w:rPr>
              <w:t xml:space="preserve">Cross-Site Scripting (XSS)</w:t>
            </w:r>
          </w:p>
        </w:tc>
        <w:tc>
          <w:tcPr>
            <w:tcW w:type="dxa" w:w="4200"/>
            <w:shd w:fill="EAF3EE" w:val="clear"/>
            <w:tcMar>
              <w:top w:type="dxa" w:w="80"/>
              <w:left w:type="dxa" w:w="100"/>
              <w:bottom w:type="dxa" w:w="80"/>
              <w:right w:type="dxa" w:w="100"/>
            </w:tcMar>
          </w:tcPr>
          <w:p>
            <w:r>
              <w:rPr>
                <w:b w:val="false"/>
                <w:bCs w:val="false"/>
                <w:sz w:val="19"/>
                <w:szCs w:val="19"/>
              </w:rPr>
              <w:t xml:space="preserve">Case 'description' field renders user input without sanitisation in the ward-officer dashboard, allowing stored script injection</w:t>
            </w:r>
          </w:p>
        </w:tc>
        <w:tc>
          <w:tcPr>
            <w:tcW w:type="dxa" w:w="2400"/>
            <w:shd w:fill="EAF3EE" w:val="clear"/>
            <w:tcMar>
              <w:top w:type="dxa" w:w="80"/>
              <w:left w:type="dxa" w:w="100"/>
              <w:bottom w:type="dxa" w:w="80"/>
              <w:right w:type="dxa" w:w="100"/>
            </w:tcMar>
          </w:tcPr>
          <w:p>
            <w:r>
              <w:rPr>
                <w:b w:val="false"/>
                <w:bCs w:val="false"/>
                <w:sz w:val="19"/>
                <w:szCs w:val="19"/>
              </w:rPr>
              <w:t xml:space="preserve">Session hijacking, malicious script execution for ward staff</w:t>
            </w:r>
          </w:p>
        </w:tc>
        <w:tc>
          <w:tcPr>
            <w:tcW w:type="dxa" w:w="1000"/>
            <w:shd w:fill="EAF3EE" w:val="clear"/>
            <w:tcMar>
              <w:top w:type="dxa" w:w="80"/>
              <w:left w:type="dxa" w:w="100"/>
              <w:bottom w:type="dxa" w:w="80"/>
              <w:right w:type="dxa" w:w="100"/>
            </w:tcMar>
          </w:tcPr>
          <w:p>
            <w:r>
              <w:rPr>
                <w:b w:val="false"/>
                <w:bCs w:val="false"/>
                <w:sz w:val="19"/>
                <w:szCs w:val="19"/>
              </w:rPr>
              <w:t xml:space="preserve">High</w:t>
            </w:r>
          </w:p>
        </w:tc>
      </w:tr>
      <w:tr>
        <w:tc>
          <w:tcPr>
            <w:tcW w:type="dxa" w:w="2200"/>
            <w:tcMar>
              <w:top w:type="dxa" w:w="80"/>
              <w:left w:type="dxa" w:w="100"/>
              <w:bottom w:type="dxa" w:w="80"/>
              <w:right w:type="dxa" w:w="100"/>
            </w:tcMar>
          </w:tcPr>
          <w:p>
            <w:r>
              <w:rPr>
                <w:b w:val="false"/>
                <w:bCs w:val="false"/>
                <w:sz w:val="19"/>
                <w:szCs w:val="19"/>
              </w:rPr>
              <w:t xml:space="preserve">SQL injection</w:t>
            </w:r>
          </w:p>
        </w:tc>
        <w:tc>
          <w:tcPr>
            <w:tcW w:type="dxa" w:w="4200"/>
            <w:tcMar>
              <w:top w:type="dxa" w:w="80"/>
              <w:left w:type="dxa" w:w="100"/>
              <w:bottom w:type="dxa" w:w="80"/>
              <w:right w:type="dxa" w:w="100"/>
            </w:tcMar>
          </w:tcPr>
          <w:p>
            <w:r>
              <w:rPr>
                <w:b w:val="false"/>
                <w:bCs w:val="false"/>
                <w:sz w:val="19"/>
                <w:szCs w:val="19"/>
              </w:rPr>
              <w:t xml:space="preserve">Search filter on the admin case list uses string-concatenated queries in one legacy endpoint</w:t>
            </w:r>
          </w:p>
        </w:tc>
        <w:tc>
          <w:tcPr>
            <w:tcW w:type="dxa" w:w="2400"/>
            <w:tcMar>
              <w:top w:type="dxa" w:w="80"/>
              <w:left w:type="dxa" w:w="100"/>
              <w:bottom w:type="dxa" w:w="80"/>
              <w:right w:type="dxa" w:w="100"/>
            </w:tcMar>
          </w:tcPr>
          <w:p>
            <w:r>
              <w:rPr>
                <w:b w:val="false"/>
                <w:bCs w:val="false"/>
                <w:sz w:val="19"/>
                <w:szCs w:val="19"/>
              </w:rPr>
              <w:t xml:space="preserve">Potential data exposure or corruption</w:t>
            </w:r>
          </w:p>
        </w:tc>
        <w:tc>
          <w:tcPr>
            <w:tcW w:type="dxa" w:w="1000"/>
            <w:tcMar>
              <w:top w:type="dxa" w:w="80"/>
              <w:left w:type="dxa" w:w="100"/>
              <w:bottom w:type="dxa" w:w="80"/>
              <w:right w:type="dxa" w:w="100"/>
            </w:tcMar>
          </w:tcPr>
          <w:p>
            <w:r>
              <w:rPr>
                <w:b w:val="false"/>
                <w:bCs w:val="false"/>
                <w:sz w:val="19"/>
                <w:szCs w:val="19"/>
              </w:rPr>
              <w:t xml:space="preserve">High</w:t>
            </w:r>
          </w:p>
        </w:tc>
      </w:tr>
      <w:tr>
        <w:tc>
          <w:tcPr>
            <w:tcW w:type="dxa" w:w="2200"/>
            <w:shd w:fill="EAF3EE" w:val="clear"/>
            <w:tcMar>
              <w:top w:type="dxa" w:w="80"/>
              <w:left w:type="dxa" w:w="100"/>
              <w:bottom w:type="dxa" w:w="80"/>
              <w:right w:type="dxa" w:w="100"/>
            </w:tcMar>
          </w:tcPr>
          <w:p>
            <w:r>
              <w:rPr>
                <w:b w:val="false"/>
                <w:bCs w:val="false"/>
                <w:sz w:val="19"/>
                <w:szCs w:val="19"/>
              </w:rPr>
              <w:t xml:space="preserve">Sensitive data exposure</w:t>
            </w:r>
          </w:p>
        </w:tc>
        <w:tc>
          <w:tcPr>
            <w:tcW w:type="dxa" w:w="4200"/>
            <w:shd w:fill="EAF3EE" w:val="clear"/>
            <w:tcMar>
              <w:top w:type="dxa" w:w="80"/>
              <w:left w:type="dxa" w:w="100"/>
              <w:bottom w:type="dxa" w:w="80"/>
              <w:right w:type="dxa" w:w="100"/>
            </w:tcMar>
          </w:tcPr>
          <w:p>
            <w:r>
              <w:rPr>
                <w:b w:val="false"/>
                <w:bCs w:val="false"/>
                <w:sz w:val="19"/>
                <w:szCs w:val="19"/>
              </w:rPr>
              <w:t xml:space="preserve">Citizen phone numbers appear unmasked in raw API responses to the NGO field app, contradicting the Week 1 privacy requirement</w:t>
            </w:r>
          </w:p>
        </w:tc>
        <w:tc>
          <w:tcPr>
            <w:tcW w:type="dxa" w:w="2400"/>
            <w:shd w:fill="EAF3EE" w:val="clear"/>
            <w:tcMar>
              <w:top w:type="dxa" w:w="80"/>
              <w:left w:type="dxa" w:w="100"/>
              <w:bottom w:type="dxa" w:w="80"/>
              <w:right w:type="dxa" w:w="100"/>
            </w:tcMar>
          </w:tcPr>
          <w:p>
            <w:r>
              <w:rPr>
                <w:b w:val="false"/>
                <w:bCs w:val="false"/>
                <w:sz w:val="19"/>
                <w:szCs w:val="19"/>
              </w:rPr>
              <w:t xml:space="preserve">PII exposure to field partners beyond need-to-know</w:t>
            </w:r>
          </w:p>
        </w:tc>
        <w:tc>
          <w:tcPr>
            <w:tcW w:type="dxa" w:w="1000"/>
            <w:shd w:fill="EAF3EE" w:val="clear"/>
            <w:tcMar>
              <w:top w:type="dxa" w:w="80"/>
              <w:left w:type="dxa" w:w="100"/>
              <w:bottom w:type="dxa" w:w="80"/>
              <w:right w:type="dxa" w:w="100"/>
            </w:tcMar>
          </w:tcPr>
          <w:p>
            <w:r>
              <w:rPr>
                <w:b w:val="false"/>
                <w:bCs w:val="false"/>
                <w:sz w:val="19"/>
                <w:szCs w:val="19"/>
              </w:rPr>
              <w:t xml:space="preserve">High</w:t>
            </w:r>
          </w:p>
        </w:tc>
      </w:tr>
      <w:tr>
        <w:tc>
          <w:tcPr>
            <w:tcW w:type="dxa" w:w="2200"/>
            <w:tcMar>
              <w:top w:type="dxa" w:w="80"/>
              <w:left w:type="dxa" w:w="100"/>
              <w:bottom w:type="dxa" w:w="80"/>
              <w:right w:type="dxa" w:w="100"/>
            </w:tcMar>
          </w:tcPr>
          <w:p>
            <w:r>
              <w:rPr>
                <w:b w:val="false"/>
                <w:bCs w:val="false"/>
                <w:sz w:val="19"/>
                <w:szCs w:val="19"/>
              </w:rPr>
              <w:t xml:space="preserve">Missing rate limiting</w:t>
            </w:r>
          </w:p>
        </w:tc>
        <w:tc>
          <w:tcPr>
            <w:tcW w:type="dxa" w:w="4200"/>
            <w:tcMar>
              <w:top w:type="dxa" w:w="80"/>
              <w:left w:type="dxa" w:w="100"/>
              <w:bottom w:type="dxa" w:w="80"/>
              <w:right w:type="dxa" w:w="100"/>
            </w:tcMar>
          </w:tcPr>
          <w:p>
            <w:r>
              <w:rPr>
                <w:b w:val="false"/>
                <w:bCs w:val="false"/>
                <w:sz w:val="19"/>
                <w:szCs w:val="19"/>
              </w:rPr>
              <w:t xml:space="preserve">Report-submission and login endpoints have no throttling, allowing brute-force and spam submission</w:t>
            </w:r>
          </w:p>
        </w:tc>
        <w:tc>
          <w:tcPr>
            <w:tcW w:type="dxa" w:w="2400"/>
            <w:tcMar>
              <w:top w:type="dxa" w:w="80"/>
              <w:left w:type="dxa" w:w="100"/>
              <w:bottom w:type="dxa" w:w="80"/>
              <w:right w:type="dxa" w:w="100"/>
            </w:tcMar>
          </w:tcPr>
          <w:p>
            <w:r>
              <w:rPr>
                <w:b w:val="false"/>
                <w:bCs w:val="false"/>
                <w:sz w:val="19"/>
                <w:szCs w:val="19"/>
              </w:rPr>
              <w:t xml:space="preserve">Account brute-forcing, fake-case flooding</w:t>
            </w:r>
          </w:p>
        </w:tc>
        <w:tc>
          <w:tcPr>
            <w:tcW w:type="dxa" w:w="1000"/>
            <w:tcMar>
              <w:top w:type="dxa" w:w="80"/>
              <w:left w:type="dxa" w:w="100"/>
              <w:bottom w:type="dxa" w:w="80"/>
              <w:right w:type="dxa" w:w="100"/>
            </w:tcMar>
          </w:tcPr>
          <w:p>
            <w:r>
              <w:rPr>
                <w:b w:val="false"/>
                <w:bCs w:val="false"/>
                <w:sz w:val="19"/>
                <w:szCs w:val="19"/>
              </w:rPr>
              <w:t xml:space="preserve">Medium</w:t>
            </w:r>
          </w:p>
        </w:tc>
      </w:tr>
      <w:tr>
        <w:tc>
          <w:tcPr>
            <w:tcW w:type="dxa" w:w="2200"/>
            <w:shd w:fill="EAF3EE" w:val="clear"/>
            <w:tcMar>
              <w:top w:type="dxa" w:w="80"/>
              <w:left w:type="dxa" w:w="100"/>
              <w:bottom w:type="dxa" w:w="80"/>
              <w:right w:type="dxa" w:w="100"/>
            </w:tcMar>
          </w:tcPr>
          <w:p>
            <w:r>
              <w:rPr>
                <w:b w:val="false"/>
                <w:bCs w:val="false"/>
                <w:sz w:val="19"/>
                <w:szCs w:val="19"/>
              </w:rPr>
              <w:t xml:space="preserve">Insecure direct object reference (IDOR)</w:t>
            </w:r>
          </w:p>
        </w:tc>
        <w:tc>
          <w:tcPr>
            <w:tcW w:type="dxa" w:w="4200"/>
            <w:shd w:fill="EAF3EE" w:val="clear"/>
            <w:tcMar>
              <w:top w:type="dxa" w:w="80"/>
              <w:left w:type="dxa" w:w="100"/>
              <w:bottom w:type="dxa" w:w="80"/>
              <w:right w:type="dxa" w:w="100"/>
            </w:tcMar>
          </w:tcPr>
          <w:p>
            <w:r>
              <w:rPr>
                <w:b w:val="false"/>
                <w:bCs w:val="false"/>
                <w:sz w:val="19"/>
                <w:szCs w:val="19"/>
              </w:rPr>
              <w:t xml:space="preserve">Case ID is a sequential integer; incrementing it in the URL lets one citizen view another's case detail page</w:t>
            </w:r>
          </w:p>
        </w:tc>
        <w:tc>
          <w:tcPr>
            <w:tcW w:type="dxa" w:w="2400"/>
            <w:shd w:fill="EAF3EE" w:val="clear"/>
            <w:tcMar>
              <w:top w:type="dxa" w:w="80"/>
              <w:left w:type="dxa" w:w="100"/>
              <w:bottom w:type="dxa" w:w="80"/>
              <w:right w:type="dxa" w:w="100"/>
            </w:tcMar>
          </w:tcPr>
          <w:p>
            <w:r>
              <w:rPr>
                <w:b w:val="false"/>
                <w:bCs w:val="false"/>
                <w:sz w:val="19"/>
                <w:szCs w:val="19"/>
              </w:rPr>
              <w:t xml:space="preserve">Cross-citizen data exposure</w:t>
            </w:r>
          </w:p>
        </w:tc>
        <w:tc>
          <w:tcPr>
            <w:tcW w:type="dxa" w:w="1000"/>
            <w:shd w:fill="EAF3EE" w:val="clear"/>
            <w:tcMar>
              <w:top w:type="dxa" w:w="80"/>
              <w:left w:type="dxa" w:w="100"/>
              <w:bottom w:type="dxa" w:w="80"/>
              <w:right w:type="dxa" w:w="100"/>
            </w:tcMar>
          </w:tcPr>
          <w:p>
            <w:r>
              <w:rPr>
                <w:b w:val="false"/>
                <w:bCs w:val="false"/>
                <w:sz w:val="19"/>
                <w:szCs w:val="19"/>
              </w:rPr>
              <w:t xml:space="preserve">Medium</w:t>
            </w:r>
          </w:p>
        </w:tc>
      </w:tr>
      <w:tr>
        <w:tc>
          <w:tcPr>
            <w:tcW w:type="dxa" w:w="2200"/>
            <w:tcMar>
              <w:top w:type="dxa" w:w="80"/>
              <w:left w:type="dxa" w:w="100"/>
              <w:bottom w:type="dxa" w:w="80"/>
              <w:right w:type="dxa" w:w="100"/>
            </w:tcMar>
          </w:tcPr>
          <w:p>
            <w:r>
              <w:rPr>
                <w:b w:val="false"/>
                <w:bCs w:val="false"/>
                <w:sz w:val="19"/>
                <w:szCs w:val="19"/>
              </w:rPr>
              <w:t xml:space="preserve">Missing security headers</w:t>
            </w:r>
          </w:p>
        </w:tc>
        <w:tc>
          <w:tcPr>
            <w:tcW w:type="dxa" w:w="4200"/>
            <w:tcMar>
              <w:top w:type="dxa" w:w="80"/>
              <w:left w:type="dxa" w:w="100"/>
              <w:bottom w:type="dxa" w:w="80"/>
              <w:right w:type="dxa" w:w="100"/>
            </w:tcMar>
          </w:tcPr>
          <w:p>
            <w:r>
              <w:rPr>
                <w:b w:val="false"/>
                <w:bCs w:val="false"/>
                <w:sz w:val="19"/>
                <w:szCs w:val="19"/>
              </w:rPr>
              <w:t xml:space="preserve">No Content-Security-Policy, X-Frame-Options, or Strict-Transport-Security headers on staging</w:t>
            </w:r>
          </w:p>
        </w:tc>
        <w:tc>
          <w:tcPr>
            <w:tcW w:type="dxa" w:w="2400"/>
            <w:tcMar>
              <w:top w:type="dxa" w:w="80"/>
              <w:left w:type="dxa" w:w="100"/>
              <w:bottom w:type="dxa" w:w="80"/>
              <w:right w:type="dxa" w:w="100"/>
            </w:tcMar>
          </w:tcPr>
          <w:p>
            <w:r>
              <w:rPr>
                <w:b w:val="false"/>
                <w:bCs w:val="false"/>
                <w:sz w:val="19"/>
                <w:szCs w:val="19"/>
              </w:rPr>
              <w:t xml:space="preserve">Increases exposure to clickjacking and mixed-content attacks</w:t>
            </w:r>
          </w:p>
        </w:tc>
        <w:tc>
          <w:tcPr>
            <w:tcW w:type="dxa" w:w="1000"/>
            <w:tcMar>
              <w:top w:type="dxa" w:w="80"/>
              <w:left w:type="dxa" w:w="100"/>
              <w:bottom w:type="dxa" w:w="80"/>
              <w:right w:type="dxa" w:w="100"/>
            </w:tcMar>
          </w:tcPr>
          <w:p>
            <w:r>
              <w:rPr>
                <w:b w:val="false"/>
                <w:bCs w:val="false"/>
                <w:sz w:val="19"/>
                <w:szCs w:val="19"/>
              </w:rPr>
              <w:t xml:space="preserve">Medium</w:t>
            </w:r>
          </w:p>
        </w:tc>
      </w:tr>
      <w:tr>
        <w:tc>
          <w:tcPr>
            <w:tcW w:type="dxa" w:w="2200"/>
            <w:shd w:fill="EAF3EE" w:val="clear"/>
            <w:tcMar>
              <w:top w:type="dxa" w:w="80"/>
              <w:left w:type="dxa" w:w="100"/>
              <w:bottom w:type="dxa" w:w="80"/>
              <w:right w:type="dxa" w:w="100"/>
            </w:tcMar>
          </w:tcPr>
          <w:p>
            <w:r>
              <w:rPr>
                <w:b w:val="false"/>
                <w:bCs w:val="false"/>
                <w:sz w:val="19"/>
                <w:szCs w:val="19"/>
              </w:rPr>
              <w:t xml:space="preserve">Verbose error messages</w:t>
            </w:r>
          </w:p>
        </w:tc>
        <w:tc>
          <w:tcPr>
            <w:tcW w:type="dxa" w:w="4200"/>
            <w:shd w:fill="EAF3EE" w:val="clear"/>
            <w:tcMar>
              <w:top w:type="dxa" w:w="80"/>
              <w:left w:type="dxa" w:w="100"/>
              <w:bottom w:type="dxa" w:w="80"/>
              <w:right w:type="dxa" w:w="100"/>
            </w:tcMar>
          </w:tcPr>
          <w:p>
            <w:r>
              <w:rPr>
                <w:b w:val="false"/>
                <w:bCs w:val="false"/>
                <w:sz w:val="19"/>
                <w:szCs w:val="19"/>
              </w:rPr>
              <w:t xml:space="preserve">Stack traces returned in API error responses on staging</w:t>
            </w:r>
          </w:p>
        </w:tc>
        <w:tc>
          <w:tcPr>
            <w:tcW w:type="dxa" w:w="2400"/>
            <w:shd w:fill="EAF3EE" w:val="clear"/>
            <w:tcMar>
              <w:top w:type="dxa" w:w="80"/>
              <w:left w:type="dxa" w:w="100"/>
              <w:bottom w:type="dxa" w:w="80"/>
              <w:right w:type="dxa" w:w="100"/>
            </w:tcMar>
          </w:tcPr>
          <w:p>
            <w:r>
              <w:rPr>
                <w:b w:val="false"/>
                <w:bCs w:val="false"/>
                <w:sz w:val="19"/>
                <w:szCs w:val="19"/>
              </w:rPr>
              <w:t xml:space="preserve">Reveals internal architecture to an attacker</w:t>
            </w:r>
          </w:p>
        </w:tc>
        <w:tc>
          <w:tcPr>
            <w:tcW w:type="dxa" w:w="1000"/>
            <w:shd w:fill="EAF3EE" w:val="clear"/>
            <w:tcMar>
              <w:top w:type="dxa" w:w="80"/>
              <w:left w:type="dxa" w:w="100"/>
              <w:bottom w:type="dxa" w:w="80"/>
              <w:right w:type="dxa" w:w="100"/>
            </w:tcMar>
          </w:tcPr>
          <w:p>
            <w:r>
              <w:rPr>
                <w:b w:val="false"/>
                <w:bCs w:val="false"/>
                <w:sz w:val="19"/>
                <w:szCs w:val="19"/>
              </w:rPr>
              <w:t xml:space="preserve">Low</w:t>
            </w:r>
          </w:p>
        </w:tc>
      </w:tr>
    </w:tbl>
    <w:p>
      <w:pPr>
        <w:pStyle w:val="Heading2"/>
        <w:spacing w:after="120" w:before="240"/>
      </w:pPr>
      <w:r>
        <w:t xml:space="preserve">4.2 Recommendations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5000"/>
        <w:gridCol w:w="1000"/>
      </w:tblGrid>
      <w:tr>
        <w:trPr>
          <w:tblHeader/>
        </w:trPr>
        <w:tc>
          <w:tcPr>
            <w:tcW w:type="dxa" w:w="2800"/>
            <w:shd w:fill="2E5B4C" w:val="clear"/>
            <w:tcMar>
              <w:top w:type="dxa" w:w="80"/>
              <w:left w:type="dxa" w:w="100"/>
              <w:bottom w:type="dxa" w:w="80"/>
              <w:right w:type="dxa" w:w="100"/>
            </w:tcMar>
          </w:tcPr>
          <w:p>
            <w:r>
              <w:rPr>
                <w:b/>
                <w:bCs/>
                <w:color w:val="FFFFFF"/>
                <w:sz w:val="19"/>
                <w:szCs w:val="19"/>
              </w:rPr>
              <w:t xml:space="preserve">Fix</w:t>
            </w:r>
          </w:p>
        </w:tc>
        <w:tc>
          <w:tcPr>
            <w:tcW w:type="dxa" w:w="5000"/>
            <w:shd w:fill="2E5B4C" w:val="clear"/>
            <w:tcMar>
              <w:top w:type="dxa" w:w="80"/>
              <w:left w:type="dxa" w:w="100"/>
              <w:bottom w:type="dxa" w:w="80"/>
              <w:right w:type="dxa" w:w="100"/>
            </w:tcMar>
          </w:tcPr>
          <w:p>
            <w:r>
              <w:rPr>
                <w:b/>
                <w:bCs/>
                <w:color w:val="FFFFFF"/>
                <w:sz w:val="19"/>
                <w:szCs w:val="19"/>
              </w:rPr>
              <w:t xml:space="preserve">Detail</w:t>
            </w:r>
          </w:p>
        </w:tc>
        <w:tc>
          <w:tcPr>
            <w:tcW w:type="dxa" w:w="1000"/>
            <w:shd w:fill="2E5B4C" w:val="clear"/>
            <w:tcMar>
              <w:top w:type="dxa" w:w="80"/>
              <w:left w:type="dxa" w:w="100"/>
              <w:bottom w:type="dxa" w:w="80"/>
              <w:right w:type="dxa" w:w="100"/>
            </w:tcMar>
          </w:tcPr>
          <w:p>
            <w:r>
              <w:rPr>
                <w:b/>
                <w:bCs/>
                <w:color w:val="FFFFFF"/>
                <w:sz w:val="19"/>
                <w:szCs w:val="19"/>
              </w:rPr>
              <w:t xml:space="preserve">Priority</w:t>
            </w:r>
          </w:p>
        </w:tc>
      </w:tr>
      <w:tr>
        <w:tc>
          <w:tcPr>
            <w:tcW w:type="dxa" w:w="2800"/>
            <w:tcMar>
              <w:top w:type="dxa" w:w="80"/>
              <w:left w:type="dxa" w:w="100"/>
              <w:bottom w:type="dxa" w:w="80"/>
              <w:right w:type="dxa" w:w="100"/>
            </w:tcMar>
          </w:tcPr>
          <w:p>
            <w:r>
              <w:rPr>
                <w:b w:val="false"/>
                <w:bCs w:val="false"/>
                <w:sz w:val="19"/>
                <w:szCs w:val="19"/>
              </w:rPr>
              <w:t xml:space="preserve">Enforce RBAC server-side on every endpoint</w:t>
            </w:r>
          </w:p>
        </w:tc>
        <w:tc>
          <w:tcPr>
            <w:tcW w:type="dxa" w:w="5000"/>
            <w:tcMar>
              <w:top w:type="dxa" w:w="80"/>
              <w:left w:type="dxa" w:w="100"/>
              <w:bottom w:type="dxa" w:w="80"/>
              <w:right w:type="dxa" w:w="100"/>
            </w:tcMar>
          </w:tcPr>
          <w:p>
            <w:r>
              <w:rPr>
                <w:b w:val="false"/>
                <w:bCs w:val="false"/>
                <w:sz w:val="19"/>
                <w:szCs w:val="19"/>
              </w:rPr>
              <w:t xml:space="preserve">Never rely on the UI hiding a control — every API route checks the caller's role independently of what the frontend shows</w:t>
            </w:r>
          </w:p>
        </w:tc>
        <w:tc>
          <w:tcPr>
            <w:tcW w:type="dxa" w:w="1000"/>
            <w:tcMar>
              <w:top w:type="dxa" w:w="80"/>
              <w:left w:type="dxa" w:w="100"/>
              <w:bottom w:type="dxa" w:w="80"/>
              <w:right w:type="dxa" w:w="100"/>
            </w:tcMar>
          </w:tcPr>
          <w:p>
            <w:r>
              <w:rPr>
                <w:b w:val="false"/>
                <w:bCs w:val="false"/>
                <w:sz w:val="19"/>
                <w:szCs w:val="19"/>
              </w:rPr>
              <w:t xml:space="preserve">P0</w:t>
            </w:r>
          </w:p>
        </w:tc>
      </w:tr>
      <w:tr>
        <w:tc>
          <w:tcPr>
            <w:tcW w:type="dxa" w:w="2800"/>
            <w:shd w:fill="EAF3EE" w:val="clear"/>
            <w:tcMar>
              <w:top w:type="dxa" w:w="80"/>
              <w:left w:type="dxa" w:w="100"/>
              <w:bottom w:type="dxa" w:w="80"/>
              <w:right w:type="dxa" w:w="100"/>
            </w:tcMar>
          </w:tcPr>
          <w:p>
            <w:r>
              <w:rPr>
                <w:b w:val="false"/>
                <w:bCs w:val="false"/>
                <w:sz w:val="19"/>
                <w:szCs w:val="19"/>
              </w:rPr>
              <w:t xml:space="preserve">Sanitise and encode all user-generated content</w:t>
            </w:r>
          </w:p>
        </w:tc>
        <w:tc>
          <w:tcPr>
            <w:tcW w:type="dxa" w:w="5000"/>
            <w:shd w:fill="EAF3EE" w:val="clear"/>
            <w:tcMar>
              <w:top w:type="dxa" w:w="80"/>
              <w:left w:type="dxa" w:w="100"/>
              <w:bottom w:type="dxa" w:w="80"/>
              <w:right w:type="dxa" w:w="100"/>
            </w:tcMar>
          </w:tcPr>
          <w:p>
            <w:r>
              <w:rPr>
                <w:b w:val="false"/>
                <w:bCs w:val="false"/>
                <w:sz w:val="19"/>
                <w:szCs w:val="19"/>
              </w:rPr>
              <w:t xml:space="preserve">Use a library (e.g., DOMPurify) server-side before storing/rendering the description field; apply output encoding in the dashboard templates</w:t>
            </w:r>
          </w:p>
        </w:tc>
        <w:tc>
          <w:tcPr>
            <w:tcW w:type="dxa" w:w="1000"/>
            <w:shd w:fill="EAF3EE" w:val="clear"/>
            <w:tcMar>
              <w:top w:type="dxa" w:w="80"/>
              <w:left w:type="dxa" w:w="100"/>
              <w:bottom w:type="dxa" w:w="80"/>
              <w:right w:type="dxa" w:w="100"/>
            </w:tcMar>
          </w:tcPr>
          <w:p>
            <w:r>
              <w:rPr>
                <w:b w:val="false"/>
                <w:bCs w:val="false"/>
                <w:sz w:val="19"/>
                <w:szCs w:val="19"/>
              </w:rPr>
              <w:t xml:space="preserve">P0</w:t>
            </w:r>
          </w:p>
        </w:tc>
      </w:tr>
      <w:tr>
        <w:tc>
          <w:tcPr>
            <w:tcW w:type="dxa" w:w="2800"/>
            <w:tcMar>
              <w:top w:type="dxa" w:w="80"/>
              <w:left w:type="dxa" w:w="100"/>
              <w:bottom w:type="dxa" w:w="80"/>
              <w:right w:type="dxa" w:w="100"/>
            </w:tcMar>
          </w:tcPr>
          <w:p>
            <w:r>
              <w:rPr>
                <w:b w:val="false"/>
                <w:bCs w:val="false"/>
                <w:sz w:val="19"/>
                <w:szCs w:val="19"/>
              </w:rPr>
              <w:t xml:space="preserve">Replace string-concatenated SQL with parameterised queries</w:t>
            </w:r>
          </w:p>
        </w:tc>
        <w:tc>
          <w:tcPr>
            <w:tcW w:type="dxa" w:w="5000"/>
            <w:tcMar>
              <w:top w:type="dxa" w:w="80"/>
              <w:left w:type="dxa" w:w="100"/>
              <w:bottom w:type="dxa" w:w="80"/>
              <w:right w:type="dxa" w:w="100"/>
            </w:tcMar>
          </w:tcPr>
          <w:p>
            <w:r>
              <w:rPr>
                <w:b w:val="false"/>
                <w:bCs w:val="false"/>
                <w:sz w:val="19"/>
                <w:szCs w:val="19"/>
              </w:rPr>
              <w:t xml:space="preserve">Migrate the legacy search endpoint to the ORM/parameterised query pattern already used elsewhere</w:t>
            </w:r>
          </w:p>
        </w:tc>
        <w:tc>
          <w:tcPr>
            <w:tcW w:type="dxa" w:w="1000"/>
            <w:tcMar>
              <w:top w:type="dxa" w:w="80"/>
              <w:left w:type="dxa" w:w="100"/>
              <w:bottom w:type="dxa" w:w="80"/>
              <w:right w:type="dxa" w:w="100"/>
            </w:tcMar>
          </w:tcPr>
          <w:p>
            <w:r>
              <w:rPr>
                <w:b w:val="false"/>
                <w:bCs w:val="false"/>
                <w:sz w:val="19"/>
                <w:szCs w:val="19"/>
              </w:rPr>
              <w:t xml:space="preserve">P0</w:t>
            </w:r>
          </w:p>
        </w:tc>
      </w:tr>
      <w:tr>
        <w:tc>
          <w:tcPr>
            <w:tcW w:type="dxa" w:w="2800"/>
            <w:shd w:fill="EAF3EE" w:val="clear"/>
            <w:tcMar>
              <w:top w:type="dxa" w:w="80"/>
              <w:left w:type="dxa" w:w="100"/>
              <w:bottom w:type="dxa" w:w="80"/>
              <w:right w:type="dxa" w:w="100"/>
            </w:tcMar>
          </w:tcPr>
          <w:p>
            <w:r>
              <w:rPr>
                <w:b w:val="false"/>
                <w:bCs w:val="false"/>
                <w:sz w:val="19"/>
                <w:szCs w:val="19"/>
              </w:rPr>
              <w:t xml:space="preserve">Mask PII by default, unmask only with explicit need-to-know role</w:t>
            </w:r>
          </w:p>
        </w:tc>
        <w:tc>
          <w:tcPr>
            <w:tcW w:type="dxa" w:w="5000"/>
            <w:shd w:fill="EAF3EE" w:val="clear"/>
            <w:tcMar>
              <w:top w:type="dxa" w:w="80"/>
              <w:left w:type="dxa" w:w="100"/>
              <w:bottom w:type="dxa" w:w="80"/>
              <w:right w:type="dxa" w:w="100"/>
            </w:tcMar>
          </w:tcPr>
          <w:p>
            <w:r>
              <w:rPr>
                <w:b w:val="false"/>
                <w:bCs w:val="false"/>
                <w:sz w:val="19"/>
                <w:szCs w:val="19"/>
              </w:rPr>
              <w:t xml:space="preserve">Return masked phone numbers (e.g., 98XXXXXX10) to NGO/field roles; full number visible only to ward officer + citizen</w:t>
            </w:r>
          </w:p>
        </w:tc>
        <w:tc>
          <w:tcPr>
            <w:tcW w:type="dxa" w:w="1000"/>
            <w:shd w:fill="EAF3EE" w:val="clear"/>
            <w:tcMar>
              <w:top w:type="dxa" w:w="80"/>
              <w:left w:type="dxa" w:w="100"/>
              <w:bottom w:type="dxa" w:w="80"/>
              <w:right w:type="dxa" w:w="100"/>
            </w:tcMar>
          </w:tcPr>
          <w:p>
            <w:r>
              <w:rPr>
                <w:b w:val="false"/>
                <w:bCs w:val="false"/>
                <w:sz w:val="19"/>
                <w:szCs w:val="19"/>
              </w:rPr>
              <w:t xml:space="preserve">P0</w:t>
            </w:r>
          </w:p>
        </w:tc>
      </w:tr>
      <w:tr>
        <w:tc>
          <w:tcPr>
            <w:tcW w:type="dxa" w:w="2800"/>
            <w:tcMar>
              <w:top w:type="dxa" w:w="80"/>
              <w:left w:type="dxa" w:w="100"/>
              <w:bottom w:type="dxa" w:w="80"/>
              <w:right w:type="dxa" w:w="100"/>
            </w:tcMar>
          </w:tcPr>
          <w:p>
            <w:r>
              <w:rPr>
                <w:b w:val="false"/>
                <w:bCs w:val="false"/>
                <w:sz w:val="19"/>
                <w:szCs w:val="19"/>
              </w:rPr>
              <w:t xml:space="preserve">Add rate limiting</w:t>
            </w:r>
          </w:p>
        </w:tc>
        <w:tc>
          <w:tcPr>
            <w:tcW w:type="dxa" w:w="5000"/>
            <w:tcMar>
              <w:top w:type="dxa" w:w="80"/>
              <w:left w:type="dxa" w:w="100"/>
              <w:bottom w:type="dxa" w:w="80"/>
              <w:right w:type="dxa" w:w="100"/>
            </w:tcMar>
          </w:tcPr>
          <w:p>
            <w:r>
              <w:rPr>
                <w:b w:val="false"/>
                <w:bCs w:val="false"/>
                <w:sz w:val="19"/>
                <w:szCs w:val="19"/>
              </w:rPr>
              <w:t xml:space="preserve">Apply per-IP and per-account throttling on login and report-submission endpoints (e.g., 5 attempts/minute)</w:t>
            </w:r>
          </w:p>
        </w:tc>
        <w:tc>
          <w:tcPr>
            <w:tcW w:type="dxa" w:w="1000"/>
            <w:tcMar>
              <w:top w:type="dxa" w:w="80"/>
              <w:left w:type="dxa" w:w="100"/>
              <w:bottom w:type="dxa" w:w="80"/>
              <w:right w:type="dxa" w:w="100"/>
            </w:tcMar>
          </w:tcPr>
          <w:p>
            <w:r>
              <w:rPr>
                <w:b w:val="false"/>
                <w:bCs w:val="false"/>
                <w:sz w:val="19"/>
                <w:szCs w:val="19"/>
              </w:rPr>
              <w:t xml:space="preserve">P1</w:t>
            </w:r>
          </w:p>
        </w:tc>
      </w:tr>
      <w:tr>
        <w:tc>
          <w:tcPr>
            <w:tcW w:type="dxa" w:w="2800"/>
            <w:shd w:fill="EAF3EE" w:val="clear"/>
            <w:tcMar>
              <w:top w:type="dxa" w:w="80"/>
              <w:left w:type="dxa" w:w="100"/>
              <w:bottom w:type="dxa" w:w="80"/>
              <w:right w:type="dxa" w:w="100"/>
            </w:tcMar>
          </w:tcPr>
          <w:p>
            <w:r>
              <w:rPr>
                <w:b w:val="false"/>
                <w:bCs w:val="false"/>
                <w:sz w:val="19"/>
                <w:szCs w:val="19"/>
              </w:rPr>
              <w:t xml:space="preserve">Use non-sequential case identifiers</w:t>
            </w:r>
          </w:p>
        </w:tc>
        <w:tc>
          <w:tcPr>
            <w:tcW w:type="dxa" w:w="5000"/>
            <w:shd w:fill="EAF3EE" w:val="clear"/>
            <w:tcMar>
              <w:top w:type="dxa" w:w="80"/>
              <w:left w:type="dxa" w:w="100"/>
              <w:bottom w:type="dxa" w:w="80"/>
              <w:right w:type="dxa" w:w="100"/>
            </w:tcMar>
          </w:tcPr>
          <w:p>
            <w:r>
              <w:rPr>
                <w:b w:val="false"/>
                <w:bCs w:val="false"/>
                <w:sz w:val="19"/>
                <w:szCs w:val="19"/>
              </w:rPr>
              <w:t xml:space="preserve">Switch case IDs to UUIDs (already human-readable case *numbers* can stay sequential for citizens, but the API resource ID should not be guessable)</w:t>
            </w:r>
          </w:p>
        </w:tc>
        <w:tc>
          <w:tcPr>
            <w:tcW w:type="dxa" w:w="1000"/>
            <w:shd w:fill="EAF3EE" w:val="clear"/>
            <w:tcMar>
              <w:top w:type="dxa" w:w="80"/>
              <w:left w:type="dxa" w:w="100"/>
              <w:bottom w:type="dxa" w:w="80"/>
              <w:right w:type="dxa" w:w="100"/>
            </w:tcMar>
          </w:tcPr>
          <w:p>
            <w:r>
              <w:rPr>
                <w:b w:val="false"/>
                <w:bCs w:val="false"/>
                <w:sz w:val="19"/>
                <w:szCs w:val="19"/>
              </w:rPr>
              <w:t xml:space="preserve">P1</w:t>
            </w:r>
          </w:p>
        </w:tc>
      </w:tr>
      <w:tr>
        <w:tc>
          <w:tcPr>
            <w:tcW w:type="dxa" w:w="2800"/>
            <w:tcMar>
              <w:top w:type="dxa" w:w="80"/>
              <w:left w:type="dxa" w:w="100"/>
              <w:bottom w:type="dxa" w:w="80"/>
              <w:right w:type="dxa" w:w="100"/>
            </w:tcMar>
          </w:tcPr>
          <w:p>
            <w:r>
              <w:rPr>
                <w:b w:val="false"/>
                <w:bCs w:val="false"/>
                <w:sz w:val="19"/>
                <w:szCs w:val="19"/>
              </w:rPr>
              <w:t xml:space="preserve">Add standard security headers</w:t>
            </w:r>
          </w:p>
        </w:tc>
        <w:tc>
          <w:tcPr>
            <w:tcW w:type="dxa" w:w="5000"/>
            <w:tcMar>
              <w:top w:type="dxa" w:w="80"/>
              <w:left w:type="dxa" w:w="100"/>
              <w:bottom w:type="dxa" w:w="80"/>
              <w:right w:type="dxa" w:w="100"/>
            </w:tcMar>
          </w:tcPr>
          <w:p>
            <w:r>
              <w:rPr>
                <w:b w:val="false"/>
                <w:bCs w:val="false"/>
                <w:sz w:val="19"/>
                <w:szCs w:val="19"/>
              </w:rPr>
              <w:t xml:space="preserve">CSP, X-Frame-Options: DENY, Strict-Transport-Security, X-Content-Type-Options via middleware</w:t>
            </w:r>
          </w:p>
        </w:tc>
        <w:tc>
          <w:tcPr>
            <w:tcW w:type="dxa" w:w="1000"/>
            <w:tcMar>
              <w:top w:type="dxa" w:w="80"/>
              <w:left w:type="dxa" w:w="100"/>
              <w:bottom w:type="dxa" w:w="80"/>
              <w:right w:type="dxa" w:w="100"/>
            </w:tcMar>
          </w:tcPr>
          <w:p>
            <w:r>
              <w:rPr>
                <w:b w:val="false"/>
                <w:bCs w:val="false"/>
                <w:sz w:val="19"/>
                <w:szCs w:val="19"/>
              </w:rPr>
              <w:t xml:space="preserve">P1</w:t>
            </w:r>
          </w:p>
        </w:tc>
      </w:tr>
      <w:tr>
        <w:tc>
          <w:tcPr>
            <w:tcW w:type="dxa" w:w="2800"/>
            <w:shd w:fill="EAF3EE" w:val="clear"/>
            <w:tcMar>
              <w:top w:type="dxa" w:w="80"/>
              <w:left w:type="dxa" w:w="100"/>
              <w:bottom w:type="dxa" w:w="80"/>
              <w:right w:type="dxa" w:w="100"/>
            </w:tcMar>
          </w:tcPr>
          <w:p>
            <w:r>
              <w:rPr>
                <w:b w:val="false"/>
                <w:bCs w:val="false"/>
                <w:sz w:val="19"/>
                <w:szCs w:val="19"/>
              </w:rPr>
              <w:t xml:space="preserve">Disable verbose errors outside development</w:t>
            </w:r>
          </w:p>
        </w:tc>
        <w:tc>
          <w:tcPr>
            <w:tcW w:type="dxa" w:w="5000"/>
            <w:shd w:fill="EAF3EE" w:val="clear"/>
            <w:tcMar>
              <w:top w:type="dxa" w:w="80"/>
              <w:left w:type="dxa" w:w="100"/>
              <w:bottom w:type="dxa" w:w="80"/>
              <w:right w:type="dxa" w:w="100"/>
            </w:tcMar>
          </w:tcPr>
          <w:p>
            <w:r>
              <w:rPr>
                <w:b w:val="false"/>
                <w:bCs w:val="false"/>
                <w:sz w:val="19"/>
                <w:szCs w:val="19"/>
              </w:rPr>
              <w:t xml:space="preserve">Return generic error messages in staging/production; log full stack traces server-side only</w:t>
            </w:r>
          </w:p>
        </w:tc>
        <w:tc>
          <w:tcPr>
            <w:tcW w:type="dxa" w:w="1000"/>
            <w:shd w:fill="EAF3EE" w:val="clear"/>
            <w:tcMar>
              <w:top w:type="dxa" w:w="80"/>
              <w:left w:type="dxa" w:w="100"/>
              <w:bottom w:type="dxa" w:w="80"/>
              <w:right w:type="dxa" w:w="100"/>
            </w:tcMar>
          </w:tcPr>
          <w:p>
            <w:r>
              <w:rPr>
                <w:b w:val="false"/>
                <w:bCs w:val="false"/>
                <w:sz w:val="19"/>
                <w:szCs w:val="19"/>
              </w:rPr>
              <w:t xml:space="preserve">P2</w:t>
            </w:r>
          </w:p>
        </w:tc>
      </w:tr>
    </w:tbl>
    <w:p>
      <w:pPr>
        <w:pStyle w:val="Heading1"/>
        <w:spacing w:after="160" w:before="320"/>
      </w:pPr>
      <w:r>
        <w:t xml:space="preserve">5. Consolidated Findings &amp; Priority Roadmap</w:t>
      </w:r>
    </w:p>
    <w:p>
      <w:pPr>
        <w:spacing w:after="140" w:line="300"/>
      </w:pPr>
      <w:r>
        <w:t xml:space="preserve">Across all three audit areas, 6 issues are rated P0 (fix before pilot launch), 6 are P1 (fix within the first post-launch sprint), and the remainder are P2 (scheduled, non-blocking). The access-control and PII-masking findings are the most serious overall, since Week 1 explicitly named phone-number privacy as a trust requirement for the platform to work at all — a security gap there isn't just a technical bug, it undermines the reason citizens and feeders would trust the system in the first place.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3800"/>
      </w:tblGrid>
      <w:tr>
        <w:trPr>
          <w:tblHeader/>
        </w:trPr>
        <w:tc>
          <w:tcPr>
            <w:tcW w:type="dxa" w:w="3000"/>
            <w:shd w:fill="2E5B4C" w:val="clear"/>
            <w:tcMar>
              <w:top w:type="dxa" w:w="80"/>
              <w:left w:type="dxa" w:w="100"/>
              <w:bottom w:type="dxa" w:w="80"/>
              <w:right w:type="dxa" w:w="100"/>
            </w:tcMar>
          </w:tcPr>
          <w:p>
            <w:r>
              <w:rPr>
                <w:b/>
                <w:bCs/>
                <w:color w:val="FFFFFF"/>
                <w:sz w:val="19"/>
                <w:szCs w:val="19"/>
              </w:rPr>
              <w:t xml:space="preserve">Priority</w:t>
            </w:r>
          </w:p>
        </w:tc>
        <w:tc>
          <w:tcPr>
            <w:tcW w:type="dxa" w:w="2000"/>
            <w:shd w:fill="2E5B4C" w:val="clear"/>
            <w:tcMar>
              <w:top w:type="dxa" w:w="80"/>
              <w:left w:type="dxa" w:w="100"/>
              <w:bottom w:type="dxa" w:w="80"/>
              <w:right w:type="dxa" w:w="100"/>
            </w:tcMar>
          </w:tcPr>
          <w:p>
            <w:r>
              <w:rPr>
                <w:b/>
                <w:bCs/>
                <w:color w:val="FFFFFF"/>
                <w:sz w:val="19"/>
                <w:szCs w:val="19"/>
              </w:rPr>
              <w:t xml:space="preserve">Count</w:t>
            </w:r>
          </w:p>
        </w:tc>
        <w:tc>
          <w:tcPr>
            <w:tcW w:type="dxa" w:w="3800"/>
            <w:shd w:fill="2E5B4C" w:val="clear"/>
            <w:tcMar>
              <w:top w:type="dxa" w:w="80"/>
              <w:left w:type="dxa" w:w="100"/>
              <w:bottom w:type="dxa" w:w="80"/>
              <w:right w:type="dxa" w:w="100"/>
            </w:tcMar>
          </w:tcPr>
          <w:p>
            <w:r>
              <w:rPr>
                <w:b/>
                <w:bCs/>
                <w:color w:val="FFFFFF"/>
                <w:sz w:val="19"/>
                <w:szCs w:val="19"/>
              </w:rPr>
              <w:t xml:space="preserve">Must be resolved by</w:t>
            </w:r>
          </w:p>
        </w:tc>
      </w:tr>
      <w:tr>
        <w:tc>
          <w:tcPr>
            <w:tcW w:type="dxa" w:w="3000"/>
            <w:tcMar>
              <w:top w:type="dxa" w:w="80"/>
              <w:left w:type="dxa" w:w="100"/>
              <w:bottom w:type="dxa" w:w="80"/>
              <w:right w:type="dxa" w:w="100"/>
            </w:tcMar>
          </w:tcPr>
          <w:p>
            <w:r>
              <w:rPr>
                <w:b w:val="false"/>
                <w:bCs w:val="false"/>
                <w:sz w:val="19"/>
                <w:szCs w:val="19"/>
              </w:rPr>
              <w:t xml:space="preserve">P0 — Critical / blocking</w:t>
            </w:r>
          </w:p>
        </w:tc>
        <w:tc>
          <w:tcPr>
            <w:tcW w:type="dxa" w:w="2000"/>
            <w:tcMar>
              <w:top w:type="dxa" w:w="80"/>
              <w:left w:type="dxa" w:w="100"/>
              <w:bottom w:type="dxa" w:w="80"/>
              <w:right w:type="dxa" w:w="100"/>
            </w:tcMar>
          </w:tcPr>
          <w:p>
            <w:r>
              <w:rPr>
                <w:b w:val="false"/>
                <w:bCs w:val="false"/>
                <w:sz w:val="19"/>
                <w:szCs w:val="19"/>
              </w:rPr>
              <w:t xml:space="preserve">6</w:t>
            </w:r>
          </w:p>
        </w:tc>
        <w:tc>
          <w:tcPr>
            <w:tcW w:type="dxa" w:w="3800"/>
            <w:tcMar>
              <w:top w:type="dxa" w:w="80"/>
              <w:left w:type="dxa" w:w="100"/>
              <w:bottom w:type="dxa" w:w="80"/>
              <w:right w:type="dxa" w:w="100"/>
            </w:tcMar>
          </w:tcPr>
          <w:p>
            <w:r>
              <w:rPr>
                <w:b w:val="false"/>
                <w:bCs w:val="false"/>
                <w:sz w:val="19"/>
                <w:szCs w:val="19"/>
              </w:rPr>
              <w:t xml:space="preserve">Before pilot ward launch</w:t>
            </w:r>
          </w:p>
        </w:tc>
      </w:tr>
      <w:tr>
        <w:tc>
          <w:tcPr>
            <w:tcW w:type="dxa" w:w="3000"/>
            <w:shd w:fill="EAF3EE" w:val="clear"/>
            <w:tcMar>
              <w:top w:type="dxa" w:w="80"/>
              <w:left w:type="dxa" w:w="100"/>
              <w:bottom w:type="dxa" w:w="80"/>
              <w:right w:type="dxa" w:w="100"/>
            </w:tcMar>
          </w:tcPr>
          <w:p>
            <w:r>
              <w:rPr>
                <w:b w:val="false"/>
                <w:bCs w:val="false"/>
                <w:sz w:val="19"/>
                <w:szCs w:val="19"/>
              </w:rPr>
              <w:t xml:space="preserve">P1 — High, address soon</w:t>
            </w:r>
          </w:p>
        </w:tc>
        <w:tc>
          <w:tcPr>
            <w:tcW w:type="dxa" w:w="2000"/>
            <w:shd w:fill="EAF3EE" w:val="clear"/>
            <w:tcMar>
              <w:top w:type="dxa" w:w="80"/>
              <w:left w:type="dxa" w:w="100"/>
              <w:bottom w:type="dxa" w:w="80"/>
              <w:right w:type="dxa" w:w="100"/>
            </w:tcMar>
          </w:tcPr>
          <w:p>
            <w:r>
              <w:rPr>
                <w:b w:val="false"/>
                <w:bCs w:val="false"/>
                <w:sz w:val="19"/>
                <w:szCs w:val="19"/>
              </w:rPr>
              <w:t xml:space="preserve">6</w:t>
            </w:r>
          </w:p>
        </w:tc>
        <w:tc>
          <w:tcPr>
            <w:tcW w:type="dxa" w:w="3800"/>
            <w:shd w:fill="EAF3EE" w:val="clear"/>
            <w:tcMar>
              <w:top w:type="dxa" w:w="80"/>
              <w:left w:type="dxa" w:w="100"/>
              <w:bottom w:type="dxa" w:w="80"/>
              <w:right w:type="dxa" w:w="100"/>
            </w:tcMar>
          </w:tcPr>
          <w:p>
            <w:r>
              <w:rPr>
                <w:b w:val="false"/>
                <w:bCs w:val="false"/>
                <w:sz w:val="19"/>
                <w:szCs w:val="19"/>
              </w:rPr>
              <w:t xml:space="preserve">First sprint after launch</w:t>
            </w:r>
          </w:p>
        </w:tc>
      </w:tr>
      <w:tr>
        <w:tc>
          <w:tcPr>
            <w:tcW w:type="dxa" w:w="3000"/>
            <w:tcMar>
              <w:top w:type="dxa" w:w="80"/>
              <w:left w:type="dxa" w:w="100"/>
              <w:bottom w:type="dxa" w:w="80"/>
              <w:right w:type="dxa" w:w="100"/>
            </w:tcMar>
          </w:tcPr>
          <w:p>
            <w:r>
              <w:rPr>
                <w:b w:val="false"/>
                <w:bCs w:val="false"/>
                <w:sz w:val="19"/>
                <w:szCs w:val="19"/>
              </w:rPr>
              <w:t xml:space="preserve">P2 — Scheduled improvement</w:t>
            </w:r>
          </w:p>
        </w:tc>
        <w:tc>
          <w:tcPr>
            <w:tcW w:type="dxa" w:w="2000"/>
            <w:tcMar>
              <w:top w:type="dxa" w:w="80"/>
              <w:left w:type="dxa" w:w="100"/>
              <w:bottom w:type="dxa" w:w="80"/>
              <w:right w:type="dxa" w:w="100"/>
            </w:tcMar>
          </w:tcPr>
          <w:p>
            <w:r>
              <w:rPr>
                <w:b w:val="false"/>
                <w:bCs w:val="false"/>
                <w:sz w:val="19"/>
                <w:szCs w:val="19"/>
              </w:rPr>
              <w:t xml:space="preserve">3</w:t>
            </w:r>
          </w:p>
        </w:tc>
        <w:tc>
          <w:tcPr>
            <w:tcW w:type="dxa" w:w="3800"/>
            <w:tcMar>
              <w:top w:type="dxa" w:w="80"/>
              <w:left w:type="dxa" w:w="100"/>
              <w:bottom w:type="dxa" w:w="80"/>
              <w:right w:type="dxa" w:w="100"/>
            </w:tcMar>
          </w:tcPr>
          <w:p>
            <w:r>
              <w:rPr>
                <w:b w:val="false"/>
                <w:bCs w:val="false"/>
                <w:sz w:val="19"/>
                <w:szCs w:val="19"/>
              </w:rPr>
              <w:t xml:space="preserve">Within first quarter of operation</w:t>
            </w:r>
          </w:p>
        </w:tc>
      </w:tr>
    </w:tbl>
    <w:p>
      <w:pPr>
        <w:spacing w:after="140" w:line="300"/>
      </w:pPr>
      <w:r>
        <w:t xml:space="preserve">This audit closes the loop on the four-week project arc: Week 1 defined requirements, Week 2 designed the interface, Week 3 defined how to test it, and this audit verifies the actual staging build against measurable benchmarks rather than assumptions — giving the municipal corporation a concrete, prioritised punch list rather than a vague 'looks good' sign-off before the platform reaches real citizens.</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PashuMitra — Performance, Accessibility &amp; Security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38d3e4487c8cdacc13174b296b6ea371798508f.png"/><Relationship Id="rId10" Type="http://schemas.openxmlformats.org/officeDocument/2006/relationships/image" Target="media/69f20c4a151e624ef0701edc9ee38aaae2dbdaec.png"/><Relationship Id="rId11" Type="http://schemas.openxmlformats.org/officeDocument/2006/relationships/image" Target="media/58bb2cab8a3a0b8b2b9f6fa05d2d8e99c24e9940.png"/><Relationship Id="rId12" Type="http://schemas.openxmlformats.org/officeDocument/2006/relationships/image" Target="media/ca4ad651420b2a0d4efe2018767a8441f711f56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2026-08-23T11:29:17.175Z</dcterms:created>
  <dcterms:modified xsi:type="dcterms:W3CDTF">2026-08-23T11:29:17.187Z</dcterms:modified>
</cp:coreProperties>
</file>

<file path=docProps/custom.xml><?xml version="1.0" encoding="utf-8"?>
<Properties xmlns="http://schemas.openxmlformats.org/officeDocument/2006/custom-properties" xmlns:vt="http://schemas.openxmlformats.org/officeDocument/2006/docPropsVTypes"/>
</file>