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2E5B4C"/>
          <w:sz w:val="56"/>
          <w:szCs w:val="56"/>
        </w:rPr>
        <w:t xml:space="preserve">PashuMitra</w:t>
      </w:r>
    </w:p>
    <w:p>
      <w:pPr>
        <w:spacing w:after="40" w:before="120"/>
        <w:jc w:val="center"/>
      </w:pPr>
      <w:r>
        <w:rPr>
          <w:color w:val="333333"/>
          <w:sz w:val="26"/>
          <w:szCs w:val="26"/>
        </w:rPr>
        <w:t xml:space="preserve">Quality Assurance &amp; Testing Strategy</w:t>
      </w:r>
    </w:p>
    <w:p>
      <w:pPr>
        <w:spacing w:after="400" w:before="40"/>
        <w:jc w:val="center"/>
      </w:pPr>
      <w:r>
        <w:rPr>
          <w:i/>
          <w:iCs/>
          <w:color w:val="666666"/>
          <w:sz w:val="22"/>
          <w:szCs w:val="22"/>
        </w:rPr>
        <w:t xml:space="preserve">Functional, Performance &amp; Security Testing for a Civic Grievance Platform</w:t>
      </w:r>
    </w:p>
    <w:p>
      <w:pPr>
        <w:spacing w:before="700"/>
        <w:jc w:val="center"/>
      </w:pPr>
      <w:r>
        <w:rPr>
          <w:b/>
          <w:bCs/>
          <w:sz w:val="22"/>
          <w:szCs w:val="22"/>
        </w:rPr>
        <w:t xml:space="preserve">Week 3 Submission — QA &amp; Testing Strategy for Digital Services</w:t>
      </w:r>
    </w:p>
    <w:p>
      <w:pPr>
        <w:spacing w:before="80"/>
        <w:jc w:val="center"/>
      </w:pPr>
      <w:r>
        <w:rPr>
          <w:color w:val="666666"/>
          <w:sz w:val="20"/>
          <w:szCs w:val="20"/>
        </w:rPr>
        <w:t xml:space="preserve">Role: Junior Web Developer (Virtual Internship)</w:t>
      </w:r>
    </w:p>
    <w:p>
      <w:pPr>
        <w:spacing w:before="80"/>
        <w:jc w:val="center"/>
      </w:pPr>
      <w:r>
        <w:rPr>
          <w:color w:val="666666"/>
          <w:sz w:val="20"/>
          <w:szCs w:val="20"/>
        </w:rPr>
        <w:t xml:space="preserve">Prepared by: Bhoomi  |  B.Tech CSE, IILM University, Greater Noida</w:t>
      </w:r>
    </w:p>
    <w:p>
      <w:r>
        <w:br w:type="page"/>
      </w:r>
    </w:p>
    <w:p>
      <w:pPr>
        <w:pStyle w:val="Heading1"/>
        <w:spacing w:after="160" w:before="320"/>
      </w:pPr>
      <w:r>
        <w:t xml:space="preserve">1. From Prototype to Verification</w:t>
      </w:r>
    </w:p>
    <w:p>
      <w:pPr>
        <w:spacing w:after="140" w:line="300"/>
      </w:pPr>
      <w:r>
        <w:t xml:space="preserve">Weeks 1 and 2 defined what PashuMitra should do and what it should look like. This document defines how we prove it actually works — reliably, quickly, and securely — before a municipal corporation puts it in front of real citizens filing bite and rescue reports. The scope covers the citizen portal, the case-routing/triage engine, the field-staff status updates, and the public dashboard, tested against the functional and non-functional requirements set in Week 1.</w:t>
      </w:r>
    </w:p>
    <w:p>
      <w:pPr>
        <w:spacing w:after="140" w:line="300"/>
      </w:pPr>
      <w:r>
        <w:t xml:space="preserve">The strategy is deliberately risk-weighted rather than uniform: a missed unit test on a footer link and a missed test on the auto-triage severity classifier are not equally serious, so testing effort is concentrated where a failure would actually hurt someone — case routing, data privacy, and peak-load submission.</w:t>
      </w:r>
    </w:p>
    <w:p>
      <w:pPr>
        <w:pStyle w:val="Heading1"/>
        <w:spacing w:after="160" w:before="320"/>
      </w:pPr>
      <w:r>
        <w:t xml:space="preserve">2. Testing Objectives &amp; Scope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rPr>
          <w:tblHeader/>
        </w:trPr>
        <w:tc>
          <w:tcPr>
            <w:tcW w:type="dxa" w:w="2600"/>
            <w:shd w:fill="2E5B4C" w:val="clear"/>
            <w:tcMar>
              <w:top w:type="dxa" w:w="80"/>
              <w:left w:type="dxa" w:w="100"/>
              <w:bottom w:type="dxa" w:w="80"/>
              <w:right w:type="dxa" w:w="100"/>
            </w:tcMar>
          </w:tcPr>
          <w:p>
            <w:r>
              <w:rPr>
                <w:b/>
                <w:bCs/>
                <w:color w:val="FFFFFF"/>
                <w:sz w:val="19"/>
                <w:szCs w:val="19"/>
              </w:rPr>
              <w:t xml:space="preserve">Objective</w:t>
            </w:r>
          </w:p>
        </w:tc>
        <w:tc>
          <w:tcPr>
            <w:tcW w:type="dxa" w:w="3600"/>
            <w:shd w:fill="2E5B4C" w:val="clear"/>
            <w:tcMar>
              <w:top w:type="dxa" w:w="80"/>
              <w:left w:type="dxa" w:w="100"/>
              <w:bottom w:type="dxa" w:w="80"/>
              <w:right w:type="dxa" w:w="100"/>
            </w:tcMar>
          </w:tcPr>
          <w:p>
            <w:r>
              <w:rPr>
                <w:b/>
                <w:bCs/>
                <w:color w:val="FFFFFF"/>
                <w:sz w:val="19"/>
                <w:szCs w:val="19"/>
              </w:rPr>
              <w:t xml:space="preserve">In scope</w:t>
            </w:r>
          </w:p>
        </w:tc>
        <w:tc>
          <w:tcPr>
            <w:tcW w:type="dxa" w:w="3200"/>
            <w:shd w:fill="2E5B4C" w:val="clear"/>
            <w:tcMar>
              <w:top w:type="dxa" w:w="80"/>
              <w:left w:type="dxa" w:w="100"/>
              <w:bottom w:type="dxa" w:w="80"/>
              <w:right w:type="dxa" w:w="100"/>
            </w:tcMar>
          </w:tcPr>
          <w:p>
            <w:r>
              <w:rPr>
                <w:b/>
                <w:bCs/>
                <w:color w:val="FFFFFF"/>
                <w:sz w:val="19"/>
                <w:szCs w:val="19"/>
              </w:rPr>
              <w:t xml:space="preserve">Out of scope (this phase)</w:t>
            </w:r>
          </w:p>
        </w:tc>
      </w:tr>
      <w:tr>
        <w:tc>
          <w:tcPr>
            <w:tcW w:type="dxa" w:w="2600"/>
            <w:tcMar>
              <w:top w:type="dxa" w:w="80"/>
              <w:left w:type="dxa" w:w="100"/>
              <w:bottom w:type="dxa" w:w="80"/>
              <w:right w:type="dxa" w:w="100"/>
            </w:tcMar>
          </w:tcPr>
          <w:p>
            <w:r>
              <w:rPr>
                <w:b w:val="false"/>
                <w:bCs w:val="false"/>
                <w:sz w:val="19"/>
                <w:szCs w:val="19"/>
              </w:rPr>
              <w:t xml:space="preserve">Functional correctness</w:t>
            </w:r>
          </w:p>
        </w:tc>
        <w:tc>
          <w:tcPr>
            <w:tcW w:type="dxa" w:w="3600"/>
            <w:tcMar>
              <w:top w:type="dxa" w:w="80"/>
              <w:left w:type="dxa" w:w="100"/>
              <w:bottom w:type="dxa" w:w="80"/>
              <w:right w:type="dxa" w:w="100"/>
            </w:tcMar>
          </w:tcPr>
          <w:p>
            <w:r>
              <w:rPr>
                <w:b w:val="false"/>
                <w:bCs w:val="false"/>
                <w:sz w:val="19"/>
                <w:szCs w:val="19"/>
              </w:rPr>
              <w:t xml:space="preserve">Report submission, triage routing, case tracking, feeder registry, public dashboard</w:t>
            </w:r>
          </w:p>
        </w:tc>
        <w:tc>
          <w:tcPr>
            <w:tcW w:type="dxa" w:w="3200"/>
            <w:tcMar>
              <w:top w:type="dxa" w:w="80"/>
              <w:left w:type="dxa" w:w="100"/>
              <w:bottom w:type="dxa" w:w="80"/>
              <w:right w:type="dxa" w:w="100"/>
            </w:tcMar>
          </w:tcPr>
          <w:p>
            <w:r>
              <w:rPr>
                <w:b w:val="false"/>
                <w:bCs w:val="false"/>
                <w:sz w:val="19"/>
                <w:szCs w:val="19"/>
              </w:rPr>
              <w:t xml:space="preserve">Admin console deep workflows (planned Week 4)</w:t>
            </w:r>
          </w:p>
        </w:tc>
      </w:tr>
      <w:tr>
        <w:tc>
          <w:tcPr>
            <w:tcW w:type="dxa" w:w="2600"/>
            <w:shd w:fill="EAF3EE" w:val="clear"/>
            <w:tcMar>
              <w:top w:type="dxa" w:w="80"/>
              <w:left w:type="dxa" w:w="100"/>
              <w:bottom w:type="dxa" w:w="80"/>
              <w:right w:type="dxa" w:w="100"/>
            </w:tcMar>
          </w:tcPr>
          <w:p>
            <w:r>
              <w:rPr>
                <w:b w:val="false"/>
                <w:bCs w:val="false"/>
                <w:sz w:val="19"/>
                <w:szCs w:val="19"/>
              </w:rPr>
              <w:t xml:space="preserve">Performance under load</w:t>
            </w:r>
          </w:p>
        </w:tc>
        <w:tc>
          <w:tcPr>
            <w:tcW w:type="dxa" w:w="3600"/>
            <w:shd w:fill="EAF3EE" w:val="clear"/>
            <w:tcMar>
              <w:top w:type="dxa" w:w="80"/>
              <w:left w:type="dxa" w:w="100"/>
              <w:bottom w:type="dxa" w:w="80"/>
              <w:right w:type="dxa" w:w="100"/>
            </w:tcMar>
          </w:tcPr>
          <w:p>
            <w:r>
              <w:rPr>
                <w:b w:val="false"/>
                <w:bCs w:val="false"/>
                <w:sz w:val="19"/>
                <w:szCs w:val="19"/>
              </w:rPr>
              <w:t xml:space="preserve">Report submission &amp; photo upload during peak (post-monsoon stray surge, festival season)</w:t>
            </w:r>
          </w:p>
        </w:tc>
        <w:tc>
          <w:tcPr>
            <w:tcW w:type="dxa" w:w="3200"/>
            <w:shd w:fill="EAF3EE" w:val="clear"/>
            <w:tcMar>
              <w:top w:type="dxa" w:w="80"/>
              <w:left w:type="dxa" w:w="100"/>
              <w:bottom w:type="dxa" w:w="80"/>
              <w:right w:type="dxa" w:w="100"/>
            </w:tcMar>
          </w:tcPr>
          <w:p>
            <w:r>
              <w:rPr>
                <w:b w:val="false"/>
                <w:bCs w:val="false"/>
                <w:sz w:val="19"/>
                <w:szCs w:val="19"/>
              </w:rPr>
              <w:t xml:space="preserve">State-wide multi-city concurrent load (post-pilot)</w:t>
            </w:r>
          </w:p>
        </w:tc>
      </w:tr>
      <w:tr>
        <w:tc>
          <w:tcPr>
            <w:tcW w:type="dxa" w:w="2600"/>
            <w:tcMar>
              <w:top w:type="dxa" w:w="80"/>
              <w:left w:type="dxa" w:w="100"/>
              <w:bottom w:type="dxa" w:w="80"/>
              <w:right w:type="dxa" w:w="100"/>
            </w:tcMar>
          </w:tcPr>
          <w:p>
            <w:r>
              <w:rPr>
                <w:b w:val="false"/>
                <w:bCs w:val="false"/>
                <w:sz w:val="19"/>
                <w:szCs w:val="19"/>
              </w:rPr>
              <w:t xml:space="preserve">Security &amp; data privacy</w:t>
            </w:r>
          </w:p>
        </w:tc>
        <w:tc>
          <w:tcPr>
            <w:tcW w:type="dxa" w:w="3600"/>
            <w:tcMar>
              <w:top w:type="dxa" w:w="80"/>
              <w:left w:type="dxa" w:w="100"/>
              <w:bottom w:type="dxa" w:w="80"/>
              <w:right w:type="dxa" w:w="100"/>
            </w:tcMar>
          </w:tcPr>
          <w:p>
            <w:r>
              <w:rPr>
                <w:b w:val="false"/>
                <w:bCs w:val="false"/>
                <w:sz w:val="19"/>
                <w:szCs w:val="19"/>
              </w:rPr>
              <w:t xml:space="preserve">Auth, RBAC, PII masking, OWASP Top 10 on citizen-facing endpoints</w:t>
            </w:r>
          </w:p>
        </w:tc>
        <w:tc>
          <w:tcPr>
            <w:tcW w:type="dxa" w:w="3200"/>
            <w:tcMar>
              <w:top w:type="dxa" w:w="80"/>
              <w:left w:type="dxa" w:w="100"/>
              <w:bottom w:type="dxa" w:w="80"/>
              <w:right w:type="dxa" w:w="100"/>
            </w:tcMar>
          </w:tcPr>
          <w:p>
            <w:r>
              <w:rPr>
                <w:b w:val="false"/>
                <w:bCs w:val="false"/>
                <w:sz w:val="19"/>
                <w:szCs w:val="19"/>
              </w:rPr>
              <w:t xml:space="preserve">Physical/network security of municipal data centre (IT infra owns this)</w:t>
            </w:r>
          </w:p>
        </w:tc>
      </w:tr>
      <w:tr>
        <w:tc>
          <w:tcPr>
            <w:tcW w:type="dxa" w:w="2600"/>
            <w:shd w:fill="EAF3EE" w:val="clear"/>
            <w:tcMar>
              <w:top w:type="dxa" w:w="80"/>
              <w:left w:type="dxa" w:w="100"/>
              <w:bottom w:type="dxa" w:w="80"/>
              <w:right w:type="dxa" w:w="100"/>
            </w:tcMar>
          </w:tcPr>
          <w:p>
            <w:r>
              <w:rPr>
                <w:b w:val="false"/>
                <w:bCs w:val="false"/>
                <w:sz w:val="19"/>
                <w:szCs w:val="19"/>
              </w:rPr>
              <w:t xml:space="preserve">Accessibility</w:t>
            </w:r>
          </w:p>
        </w:tc>
        <w:tc>
          <w:tcPr>
            <w:tcW w:type="dxa" w:w="3600"/>
            <w:shd w:fill="EAF3EE" w:val="clear"/>
            <w:tcMar>
              <w:top w:type="dxa" w:w="80"/>
              <w:left w:type="dxa" w:w="100"/>
              <w:bottom w:type="dxa" w:w="80"/>
              <w:right w:type="dxa" w:w="100"/>
            </w:tcMar>
          </w:tcPr>
          <w:p>
            <w:r>
              <w:rPr>
                <w:b w:val="false"/>
                <w:bCs w:val="false"/>
                <w:sz w:val="19"/>
                <w:szCs w:val="19"/>
              </w:rPr>
              <w:t xml:space="preserve">WCAG 2.1 AA regression on all citizen screens from Week 2</w:t>
            </w:r>
          </w:p>
        </w:tc>
        <w:tc>
          <w:tcPr>
            <w:tcW w:type="dxa" w:w="3200"/>
            <w:shd w:fill="EAF3EE" w:val="clear"/>
            <w:tcMar>
              <w:top w:type="dxa" w:w="80"/>
              <w:left w:type="dxa" w:w="100"/>
              <w:bottom w:type="dxa" w:w="80"/>
              <w:right w:type="dxa" w:w="100"/>
            </w:tcMar>
          </w:tcPr>
          <w:p>
            <w:r>
              <w:rPr>
                <w:b w:val="false"/>
                <w:bCs w:val="false"/>
                <w:sz w:val="19"/>
                <w:szCs w:val="19"/>
              </w:rPr>
              <w:t xml:space="preserve">Native app screen-reader certification (web-first launch)</w:t>
            </w:r>
          </w:p>
        </w:tc>
      </w:tr>
      <w:tr>
        <w:tc>
          <w:tcPr>
            <w:tcW w:type="dxa" w:w="2600"/>
            <w:tcMar>
              <w:top w:type="dxa" w:w="80"/>
              <w:left w:type="dxa" w:w="100"/>
              <w:bottom w:type="dxa" w:w="80"/>
              <w:right w:type="dxa" w:w="100"/>
            </w:tcMar>
          </w:tcPr>
          <w:p>
            <w:r>
              <w:rPr>
                <w:b w:val="false"/>
                <w:bCs w:val="false"/>
                <w:sz w:val="19"/>
                <w:szCs w:val="19"/>
              </w:rPr>
              <w:t xml:space="preserve">Compatibility</w:t>
            </w:r>
          </w:p>
        </w:tc>
        <w:tc>
          <w:tcPr>
            <w:tcW w:type="dxa" w:w="3600"/>
            <w:tcMar>
              <w:top w:type="dxa" w:w="80"/>
              <w:left w:type="dxa" w:w="100"/>
              <w:bottom w:type="dxa" w:w="80"/>
              <w:right w:type="dxa" w:w="100"/>
            </w:tcMar>
          </w:tcPr>
          <w:p>
            <w:r>
              <w:rPr>
                <w:b w:val="false"/>
                <w:bCs w:val="false"/>
                <w:sz w:val="19"/>
                <w:szCs w:val="19"/>
              </w:rPr>
              <w:t xml:space="preserve">Chrome, Safari, Edge on last 2 versions; Android 9+, iOS 14+</w:t>
            </w:r>
          </w:p>
        </w:tc>
        <w:tc>
          <w:tcPr>
            <w:tcW w:type="dxa" w:w="3200"/>
            <w:tcMar>
              <w:top w:type="dxa" w:w="80"/>
              <w:left w:type="dxa" w:w="100"/>
              <w:bottom w:type="dxa" w:w="80"/>
              <w:right w:type="dxa" w:w="100"/>
            </w:tcMar>
          </w:tcPr>
          <w:p>
            <w:r>
              <w:rPr>
                <w:b w:val="false"/>
                <w:bCs w:val="false"/>
                <w:sz w:val="19"/>
                <w:szCs w:val="19"/>
              </w:rPr>
              <w:t xml:space="preserve">Legacy browsers (IE11) — not supported per GIGW current guidance</w:t>
            </w:r>
          </w:p>
        </w:tc>
      </w:tr>
    </w:tbl>
    <w:p>
      <w:pPr>
        <w:pStyle w:val="Heading1"/>
        <w:spacing w:after="160" w:before="320"/>
      </w:pPr>
      <w:r>
        <w:t xml:space="preserve">3. Test Strategy Overview</w:t>
      </w:r>
    </w:p>
    <w:p>
      <w:pPr>
        <w:spacing w:after="140" w:line="300"/>
      </w:pPr>
      <w:r>
        <w:t xml:space="preserve">Testing is organised in layers, from fast and narrow to slow and broad, following the test pyramid below. The heaviest investment is in unit and integration tests because they catch the most bugs per rupee of engineering time and run on every commit; UAT and exploratory testing stay manual because judgement about real-world usability doesn't automate well.</w:t>
      </w:r>
    </w:p>
    <w:p>
      <w:pPr>
        <w:spacing w:after="60" w:before="160"/>
        <w:jc w:val="center"/>
      </w:pPr>
      <w:r>
        <w:drawing>
          <wp:inline distT="0" distB="0" distL="0" distR="0">
            <wp:extent cx="5334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67125"/>
                    </a:xfrm>
                    <a:prstGeom prst="rect">
                      <a:avLst/>
                    </a:prstGeom>
                  </pic:spPr>
                </pic:pic>
              </a:graphicData>
            </a:graphic>
          </wp:inline>
        </w:drawing>
      </w:r>
    </w:p>
    <w:p>
      <w:pPr>
        <w:spacing w:after="220"/>
        <w:jc w:val="center"/>
      </w:pPr>
      <w:r>
        <w:rPr>
          <w:i/>
          <w:iCs/>
          <w:color w:val="666666"/>
          <w:sz w:val="18"/>
          <w:szCs w:val="18"/>
        </w:rPr>
        <w:t xml:space="preserve">Figure 1 — Test pyramid: automation weight decreases as test scope broadens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2200"/>
        <w:gridCol w:w="1800"/>
      </w:tblGrid>
      <w:tr>
        <w:trPr>
          <w:tblHeader/>
        </w:trPr>
        <w:tc>
          <w:tcPr>
            <w:tcW w:type="dxa" w:w="2100"/>
            <w:shd w:fill="2E5B4C" w:val="clear"/>
            <w:tcMar>
              <w:top w:type="dxa" w:w="80"/>
              <w:left w:type="dxa" w:w="100"/>
              <w:bottom w:type="dxa" w:w="80"/>
              <w:right w:type="dxa" w:w="100"/>
            </w:tcMar>
          </w:tcPr>
          <w:p>
            <w:r>
              <w:rPr>
                <w:b/>
                <w:bCs/>
                <w:color w:val="FFFFFF"/>
                <w:sz w:val="19"/>
                <w:szCs w:val="19"/>
              </w:rPr>
              <w:t xml:space="preserve">Test type</w:t>
            </w:r>
          </w:p>
        </w:tc>
        <w:tc>
          <w:tcPr>
            <w:tcW w:type="dxa" w:w="3300"/>
            <w:shd w:fill="2E5B4C" w:val="clear"/>
            <w:tcMar>
              <w:top w:type="dxa" w:w="80"/>
              <w:left w:type="dxa" w:w="100"/>
              <w:bottom w:type="dxa" w:w="80"/>
              <w:right w:type="dxa" w:w="100"/>
            </w:tcMar>
          </w:tcPr>
          <w:p>
            <w:r>
              <w:rPr>
                <w:b/>
                <w:bCs/>
                <w:color w:val="FFFFFF"/>
                <w:sz w:val="19"/>
                <w:szCs w:val="19"/>
              </w:rPr>
              <w:t xml:space="preserve">Purpose</w:t>
            </w:r>
          </w:p>
        </w:tc>
        <w:tc>
          <w:tcPr>
            <w:tcW w:type="dxa" w:w="2200"/>
            <w:shd w:fill="2E5B4C" w:val="clear"/>
            <w:tcMar>
              <w:top w:type="dxa" w:w="80"/>
              <w:left w:type="dxa" w:w="100"/>
              <w:bottom w:type="dxa" w:w="80"/>
              <w:right w:type="dxa" w:w="100"/>
            </w:tcMar>
          </w:tcPr>
          <w:p>
            <w:r>
              <w:rPr>
                <w:b/>
                <w:bCs/>
                <w:color w:val="FFFFFF"/>
                <w:sz w:val="19"/>
                <w:szCs w:val="19"/>
              </w:rPr>
              <w:t xml:space="preserve">Primary tooling</w:t>
            </w:r>
          </w:p>
        </w:tc>
        <w:tc>
          <w:tcPr>
            <w:tcW w:type="dxa" w:w="1800"/>
            <w:shd w:fill="2E5B4C" w:val="clear"/>
            <w:tcMar>
              <w:top w:type="dxa" w:w="80"/>
              <w:left w:type="dxa" w:w="100"/>
              <w:bottom w:type="dxa" w:w="80"/>
              <w:right w:type="dxa" w:w="100"/>
            </w:tcMar>
          </w:tcPr>
          <w:p>
            <w:r>
              <w:rPr>
                <w:b/>
                <w:bCs/>
                <w:color w:val="FFFFFF"/>
                <w:sz w:val="19"/>
                <w:szCs w:val="19"/>
              </w:rPr>
              <w:t xml:space="preserve">Executed</w:t>
            </w:r>
          </w:p>
        </w:tc>
      </w:tr>
      <w:tr>
        <w:tc>
          <w:tcPr>
            <w:tcW w:type="dxa" w:w="2100"/>
            <w:tcMar>
              <w:top w:type="dxa" w:w="80"/>
              <w:left w:type="dxa" w:w="100"/>
              <w:bottom w:type="dxa" w:w="80"/>
              <w:right w:type="dxa" w:w="100"/>
            </w:tcMar>
          </w:tcPr>
          <w:p>
            <w:r>
              <w:rPr>
                <w:b w:val="false"/>
                <w:bCs w:val="false"/>
                <w:sz w:val="19"/>
                <w:szCs w:val="19"/>
              </w:rPr>
              <w:t xml:space="preserve">Unit tests</w:t>
            </w:r>
          </w:p>
        </w:tc>
        <w:tc>
          <w:tcPr>
            <w:tcW w:type="dxa" w:w="3300"/>
            <w:tcMar>
              <w:top w:type="dxa" w:w="80"/>
              <w:left w:type="dxa" w:w="100"/>
              <w:bottom w:type="dxa" w:w="80"/>
              <w:right w:type="dxa" w:w="100"/>
            </w:tcMar>
          </w:tcPr>
          <w:p>
            <w:r>
              <w:rPr>
                <w:b w:val="false"/>
                <w:bCs w:val="false"/>
                <w:sz w:val="19"/>
                <w:szCs w:val="19"/>
              </w:rPr>
              <w:t xml:space="preserve">Verify individual functions/components in isolation (e.g., SLA-timer calculation, form validators)</w:t>
            </w:r>
          </w:p>
        </w:tc>
        <w:tc>
          <w:tcPr>
            <w:tcW w:type="dxa" w:w="2200"/>
            <w:tcMar>
              <w:top w:type="dxa" w:w="80"/>
              <w:left w:type="dxa" w:w="100"/>
              <w:bottom w:type="dxa" w:w="80"/>
              <w:right w:type="dxa" w:w="100"/>
            </w:tcMar>
          </w:tcPr>
          <w:p>
            <w:r>
              <w:rPr>
                <w:b w:val="false"/>
                <w:bCs w:val="false"/>
                <w:sz w:val="19"/>
                <w:szCs w:val="19"/>
              </w:rPr>
              <w:t xml:space="preserve">Jest, React Testing Library</w:t>
            </w:r>
          </w:p>
        </w:tc>
        <w:tc>
          <w:tcPr>
            <w:tcW w:type="dxa" w:w="1800"/>
            <w:tcMar>
              <w:top w:type="dxa" w:w="80"/>
              <w:left w:type="dxa" w:w="100"/>
              <w:bottom w:type="dxa" w:w="80"/>
              <w:right w:type="dxa" w:w="100"/>
            </w:tcMar>
          </w:tcPr>
          <w:p>
            <w:r>
              <w:rPr>
                <w:b w:val="false"/>
                <w:bCs w:val="false"/>
                <w:sz w:val="19"/>
                <w:szCs w:val="19"/>
              </w:rPr>
              <w:t xml:space="preserve">Automated — every commit</w:t>
            </w:r>
          </w:p>
        </w:tc>
      </w:tr>
      <w:tr>
        <w:tc>
          <w:tcPr>
            <w:tcW w:type="dxa" w:w="2100"/>
            <w:shd w:fill="EAF3EE" w:val="clear"/>
            <w:tcMar>
              <w:top w:type="dxa" w:w="80"/>
              <w:left w:type="dxa" w:w="100"/>
              <w:bottom w:type="dxa" w:w="80"/>
              <w:right w:type="dxa" w:w="100"/>
            </w:tcMar>
          </w:tcPr>
          <w:p>
            <w:r>
              <w:rPr>
                <w:b w:val="false"/>
                <w:bCs w:val="false"/>
                <w:sz w:val="19"/>
                <w:szCs w:val="19"/>
              </w:rPr>
              <w:t xml:space="preserve">Integration tests</w:t>
            </w:r>
          </w:p>
        </w:tc>
        <w:tc>
          <w:tcPr>
            <w:tcW w:type="dxa" w:w="3300"/>
            <w:shd w:fill="EAF3EE" w:val="clear"/>
            <w:tcMar>
              <w:top w:type="dxa" w:w="80"/>
              <w:left w:type="dxa" w:w="100"/>
              <w:bottom w:type="dxa" w:w="80"/>
              <w:right w:type="dxa" w:w="100"/>
            </w:tcMar>
          </w:tcPr>
          <w:p>
            <w:r>
              <w:rPr>
                <w:b w:val="false"/>
                <w:bCs w:val="false"/>
                <w:sz w:val="19"/>
                <w:szCs w:val="19"/>
              </w:rPr>
              <w:t xml:space="preserve">Verify service-to-service behaviour (triage engine → routing → NGO notification)</w:t>
            </w:r>
          </w:p>
        </w:tc>
        <w:tc>
          <w:tcPr>
            <w:tcW w:type="dxa" w:w="2200"/>
            <w:shd w:fill="EAF3EE" w:val="clear"/>
            <w:tcMar>
              <w:top w:type="dxa" w:w="80"/>
              <w:left w:type="dxa" w:w="100"/>
              <w:bottom w:type="dxa" w:w="80"/>
              <w:right w:type="dxa" w:w="100"/>
            </w:tcMar>
          </w:tcPr>
          <w:p>
            <w:r>
              <w:rPr>
                <w:b w:val="false"/>
                <w:bCs w:val="false"/>
                <w:sz w:val="19"/>
                <w:szCs w:val="19"/>
              </w:rPr>
              <w:t xml:space="preserve">Jest + Supertest, test DB</w:t>
            </w:r>
          </w:p>
        </w:tc>
        <w:tc>
          <w:tcPr>
            <w:tcW w:type="dxa" w:w="1800"/>
            <w:shd w:fill="EAF3EE" w:val="clear"/>
            <w:tcMar>
              <w:top w:type="dxa" w:w="80"/>
              <w:left w:type="dxa" w:w="100"/>
              <w:bottom w:type="dxa" w:w="80"/>
              <w:right w:type="dxa" w:w="100"/>
            </w:tcMar>
          </w:tcPr>
          <w:p>
            <w:r>
              <w:rPr>
                <w:b w:val="false"/>
                <w:bCs w:val="false"/>
                <w:sz w:val="19"/>
                <w:szCs w:val="19"/>
              </w:rPr>
              <w:t xml:space="preserve">Automated — every PR</w:t>
            </w:r>
          </w:p>
        </w:tc>
      </w:tr>
      <w:tr>
        <w:tc>
          <w:tcPr>
            <w:tcW w:type="dxa" w:w="2100"/>
            <w:tcMar>
              <w:top w:type="dxa" w:w="80"/>
              <w:left w:type="dxa" w:w="100"/>
              <w:bottom w:type="dxa" w:w="80"/>
              <w:right w:type="dxa" w:w="100"/>
            </w:tcMar>
          </w:tcPr>
          <w:p>
            <w:r>
              <w:rPr>
                <w:b w:val="false"/>
                <w:bCs w:val="false"/>
                <w:sz w:val="19"/>
                <w:szCs w:val="19"/>
              </w:rPr>
              <w:t xml:space="preserve">System / API tests</w:t>
            </w:r>
          </w:p>
        </w:tc>
        <w:tc>
          <w:tcPr>
            <w:tcW w:type="dxa" w:w="3300"/>
            <w:tcMar>
              <w:top w:type="dxa" w:w="80"/>
              <w:left w:type="dxa" w:w="100"/>
              <w:bottom w:type="dxa" w:w="80"/>
              <w:right w:type="dxa" w:w="100"/>
            </w:tcMar>
          </w:tcPr>
          <w:p>
            <w:r>
              <w:rPr>
                <w:b w:val="false"/>
                <w:bCs w:val="false"/>
                <w:sz w:val="19"/>
                <w:szCs w:val="19"/>
              </w:rPr>
              <w:t xml:space="preserve">Verify full REST API contract, auth, and role-based access</w:t>
            </w:r>
          </w:p>
        </w:tc>
        <w:tc>
          <w:tcPr>
            <w:tcW w:type="dxa" w:w="2200"/>
            <w:tcMar>
              <w:top w:type="dxa" w:w="80"/>
              <w:left w:type="dxa" w:w="100"/>
              <w:bottom w:type="dxa" w:w="80"/>
              <w:right w:type="dxa" w:w="100"/>
            </w:tcMar>
          </w:tcPr>
          <w:p>
            <w:r>
              <w:rPr>
                <w:b w:val="false"/>
                <w:bCs w:val="false"/>
                <w:sz w:val="19"/>
                <w:szCs w:val="19"/>
              </w:rPr>
              <w:t xml:space="preserve">Postman/Newman</w:t>
            </w:r>
          </w:p>
        </w:tc>
        <w:tc>
          <w:tcPr>
            <w:tcW w:type="dxa" w:w="1800"/>
            <w:tcMar>
              <w:top w:type="dxa" w:w="80"/>
              <w:left w:type="dxa" w:w="100"/>
              <w:bottom w:type="dxa" w:w="80"/>
              <w:right w:type="dxa" w:w="100"/>
            </w:tcMar>
          </w:tcPr>
          <w:p>
            <w:r>
              <w:rPr>
                <w:b w:val="false"/>
                <w:bCs w:val="false"/>
                <w:sz w:val="19"/>
                <w:szCs w:val="19"/>
              </w:rPr>
              <w:t xml:space="preserve">Automated — nightly + every PR</w:t>
            </w:r>
          </w:p>
        </w:tc>
      </w:tr>
      <w:tr>
        <w:tc>
          <w:tcPr>
            <w:tcW w:type="dxa" w:w="2100"/>
            <w:shd w:fill="EAF3EE" w:val="clear"/>
            <w:tcMar>
              <w:top w:type="dxa" w:w="80"/>
              <w:left w:type="dxa" w:w="100"/>
              <w:bottom w:type="dxa" w:w="80"/>
              <w:right w:type="dxa" w:w="100"/>
            </w:tcMar>
          </w:tcPr>
          <w:p>
            <w:r>
              <w:rPr>
                <w:b w:val="false"/>
                <w:bCs w:val="false"/>
                <w:sz w:val="19"/>
                <w:szCs w:val="19"/>
              </w:rPr>
              <w:t xml:space="preserve">End-to-end (E2E) tests</w:t>
            </w:r>
          </w:p>
        </w:tc>
        <w:tc>
          <w:tcPr>
            <w:tcW w:type="dxa" w:w="3300"/>
            <w:shd w:fill="EAF3EE" w:val="clear"/>
            <w:tcMar>
              <w:top w:type="dxa" w:w="80"/>
              <w:left w:type="dxa" w:w="100"/>
              <w:bottom w:type="dxa" w:w="80"/>
              <w:right w:type="dxa" w:w="100"/>
            </w:tcMar>
          </w:tcPr>
          <w:p>
            <w:r>
              <w:rPr>
                <w:b w:val="false"/>
                <w:bCs w:val="false"/>
                <w:sz w:val="19"/>
                <w:szCs w:val="19"/>
              </w:rPr>
              <w:t xml:space="preserve">Simulate full citizen journeys in a real browser</w:t>
            </w:r>
          </w:p>
        </w:tc>
        <w:tc>
          <w:tcPr>
            <w:tcW w:type="dxa" w:w="2200"/>
            <w:shd w:fill="EAF3EE" w:val="clear"/>
            <w:tcMar>
              <w:top w:type="dxa" w:w="80"/>
              <w:left w:type="dxa" w:w="100"/>
              <w:bottom w:type="dxa" w:w="80"/>
              <w:right w:type="dxa" w:w="100"/>
            </w:tcMar>
          </w:tcPr>
          <w:p>
            <w:r>
              <w:rPr>
                <w:b w:val="false"/>
                <w:bCs w:val="false"/>
                <w:sz w:val="19"/>
                <w:szCs w:val="19"/>
              </w:rPr>
              <w:t xml:space="preserve">Cypress / Playwright</w:t>
            </w:r>
          </w:p>
        </w:tc>
        <w:tc>
          <w:tcPr>
            <w:tcW w:type="dxa" w:w="1800"/>
            <w:shd w:fill="EAF3EE" w:val="clear"/>
            <w:tcMar>
              <w:top w:type="dxa" w:w="80"/>
              <w:left w:type="dxa" w:w="100"/>
              <w:bottom w:type="dxa" w:w="80"/>
              <w:right w:type="dxa" w:w="100"/>
            </w:tcMar>
          </w:tcPr>
          <w:p>
            <w:r>
              <w:rPr>
                <w:b w:val="false"/>
                <w:bCs w:val="false"/>
                <w:sz w:val="19"/>
                <w:szCs w:val="19"/>
              </w:rPr>
              <w:t xml:space="preserve">Automated — pre-deploy to staging</w:t>
            </w:r>
          </w:p>
        </w:tc>
      </w:tr>
      <w:tr>
        <w:tc>
          <w:tcPr>
            <w:tcW w:type="dxa" w:w="2100"/>
            <w:tcMar>
              <w:top w:type="dxa" w:w="80"/>
              <w:left w:type="dxa" w:w="100"/>
              <w:bottom w:type="dxa" w:w="80"/>
              <w:right w:type="dxa" w:w="100"/>
            </w:tcMar>
          </w:tcPr>
          <w:p>
            <w:r>
              <w:rPr>
                <w:b w:val="false"/>
                <w:bCs w:val="false"/>
                <w:sz w:val="19"/>
                <w:szCs w:val="19"/>
              </w:rPr>
              <w:t xml:space="preserve">Performance / stress tests</w:t>
            </w:r>
          </w:p>
        </w:tc>
        <w:tc>
          <w:tcPr>
            <w:tcW w:type="dxa" w:w="3300"/>
            <w:tcMar>
              <w:top w:type="dxa" w:w="80"/>
              <w:left w:type="dxa" w:w="100"/>
              <w:bottom w:type="dxa" w:w="80"/>
              <w:right w:type="dxa" w:w="100"/>
            </w:tcMar>
          </w:tcPr>
          <w:p>
            <w:r>
              <w:rPr>
                <w:b w:val="false"/>
                <w:bCs w:val="false"/>
                <w:sz w:val="19"/>
                <w:szCs w:val="19"/>
              </w:rPr>
              <w:t xml:space="preserve">Validate response time and stability under peak concurrent load</w:t>
            </w:r>
          </w:p>
        </w:tc>
        <w:tc>
          <w:tcPr>
            <w:tcW w:type="dxa" w:w="2200"/>
            <w:tcMar>
              <w:top w:type="dxa" w:w="80"/>
              <w:left w:type="dxa" w:w="100"/>
              <w:bottom w:type="dxa" w:w="80"/>
              <w:right w:type="dxa" w:w="100"/>
            </w:tcMar>
          </w:tcPr>
          <w:p>
            <w:r>
              <w:rPr>
                <w:b w:val="false"/>
                <w:bCs w:val="false"/>
                <w:sz w:val="19"/>
                <w:szCs w:val="19"/>
              </w:rPr>
              <w:t xml:space="preserve">k6 / Apache JMeter</w:t>
            </w:r>
          </w:p>
        </w:tc>
        <w:tc>
          <w:tcPr>
            <w:tcW w:type="dxa" w:w="1800"/>
            <w:tcMar>
              <w:top w:type="dxa" w:w="80"/>
              <w:left w:type="dxa" w:w="100"/>
              <w:bottom w:type="dxa" w:w="80"/>
              <w:right w:type="dxa" w:w="100"/>
            </w:tcMar>
          </w:tcPr>
          <w:p>
            <w:r>
              <w:rPr>
                <w:b w:val="false"/>
                <w:bCs w:val="false"/>
                <w:sz w:val="19"/>
                <w:szCs w:val="19"/>
              </w:rPr>
              <w:t xml:space="preserve">Scheduled — weekly + before major releases</w:t>
            </w:r>
          </w:p>
        </w:tc>
      </w:tr>
      <w:tr>
        <w:tc>
          <w:tcPr>
            <w:tcW w:type="dxa" w:w="2100"/>
            <w:shd w:fill="EAF3EE" w:val="clear"/>
            <w:tcMar>
              <w:top w:type="dxa" w:w="80"/>
              <w:left w:type="dxa" w:w="100"/>
              <w:bottom w:type="dxa" w:w="80"/>
              <w:right w:type="dxa" w:w="100"/>
            </w:tcMar>
          </w:tcPr>
          <w:p>
            <w:r>
              <w:rPr>
                <w:b w:val="false"/>
                <w:bCs w:val="false"/>
                <w:sz w:val="19"/>
                <w:szCs w:val="19"/>
              </w:rPr>
              <w:t xml:space="preserve">Security tests</w:t>
            </w:r>
          </w:p>
        </w:tc>
        <w:tc>
          <w:tcPr>
            <w:tcW w:type="dxa" w:w="3300"/>
            <w:shd w:fill="EAF3EE" w:val="clear"/>
            <w:tcMar>
              <w:top w:type="dxa" w:w="80"/>
              <w:left w:type="dxa" w:w="100"/>
              <w:bottom w:type="dxa" w:w="80"/>
              <w:right w:type="dxa" w:w="100"/>
            </w:tcMar>
          </w:tcPr>
          <w:p>
            <w:r>
              <w:rPr>
                <w:b w:val="false"/>
                <w:bCs w:val="false"/>
                <w:sz w:val="19"/>
                <w:szCs w:val="19"/>
              </w:rPr>
              <w:t xml:space="preserve">Probe for OWASP Top 10 vulnerabilities and data-exposure risks</w:t>
            </w:r>
          </w:p>
        </w:tc>
        <w:tc>
          <w:tcPr>
            <w:tcW w:type="dxa" w:w="2200"/>
            <w:shd w:fill="EAF3EE" w:val="clear"/>
            <w:tcMar>
              <w:top w:type="dxa" w:w="80"/>
              <w:left w:type="dxa" w:w="100"/>
              <w:bottom w:type="dxa" w:w="80"/>
              <w:right w:type="dxa" w:w="100"/>
            </w:tcMar>
          </w:tcPr>
          <w:p>
            <w:r>
              <w:rPr>
                <w:b w:val="false"/>
                <w:bCs w:val="false"/>
                <w:sz w:val="19"/>
                <w:szCs w:val="19"/>
              </w:rPr>
              <w:t xml:space="preserve">OWASP ZAP, manual pen-test checklist</w:t>
            </w:r>
          </w:p>
        </w:tc>
        <w:tc>
          <w:tcPr>
            <w:tcW w:type="dxa" w:w="1800"/>
            <w:shd w:fill="EAF3EE" w:val="clear"/>
            <w:tcMar>
              <w:top w:type="dxa" w:w="80"/>
              <w:left w:type="dxa" w:w="100"/>
              <w:bottom w:type="dxa" w:w="80"/>
              <w:right w:type="dxa" w:w="100"/>
            </w:tcMar>
          </w:tcPr>
          <w:p>
            <w:r>
              <w:rPr>
                <w:b w:val="false"/>
                <w:bCs w:val="false"/>
                <w:sz w:val="19"/>
                <w:szCs w:val="19"/>
              </w:rPr>
              <w:t xml:space="preserve">Automated scan every build + manual audit pre-launch</w:t>
            </w:r>
          </w:p>
        </w:tc>
      </w:tr>
      <w:tr>
        <w:tc>
          <w:tcPr>
            <w:tcW w:type="dxa" w:w="2100"/>
            <w:tcMar>
              <w:top w:type="dxa" w:w="80"/>
              <w:left w:type="dxa" w:w="100"/>
              <w:bottom w:type="dxa" w:w="80"/>
              <w:right w:type="dxa" w:w="100"/>
            </w:tcMar>
          </w:tcPr>
          <w:p>
            <w:r>
              <w:rPr>
                <w:b w:val="false"/>
                <w:bCs w:val="false"/>
                <w:sz w:val="19"/>
                <w:szCs w:val="19"/>
              </w:rPr>
              <w:t xml:space="preserve">Accessibility tests</w:t>
            </w:r>
          </w:p>
        </w:tc>
        <w:tc>
          <w:tcPr>
            <w:tcW w:type="dxa" w:w="3300"/>
            <w:tcMar>
              <w:top w:type="dxa" w:w="80"/>
              <w:left w:type="dxa" w:w="100"/>
              <w:bottom w:type="dxa" w:w="80"/>
              <w:right w:type="dxa" w:w="100"/>
            </w:tcMar>
          </w:tcPr>
          <w:p>
            <w:r>
              <w:rPr>
                <w:b w:val="false"/>
                <w:bCs w:val="false"/>
                <w:sz w:val="19"/>
                <w:szCs w:val="19"/>
              </w:rPr>
              <w:t xml:space="preserve">Validate WCAG 2.1 AA compliance</w:t>
            </w:r>
          </w:p>
        </w:tc>
        <w:tc>
          <w:tcPr>
            <w:tcW w:type="dxa" w:w="2200"/>
            <w:tcMar>
              <w:top w:type="dxa" w:w="80"/>
              <w:left w:type="dxa" w:w="100"/>
              <w:bottom w:type="dxa" w:w="80"/>
              <w:right w:type="dxa" w:w="100"/>
            </w:tcMar>
          </w:tcPr>
          <w:p>
            <w:r>
              <w:rPr>
                <w:b w:val="false"/>
                <w:bCs w:val="false"/>
                <w:sz w:val="19"/>
                <w:szCs w:val="19"/>
              </w:rPr>
              <w:t xml:space="preserve">axe-core (automated) + manual screen-reader pass</w:t>
            </w:r>
          </w:p>
        </w:tc>
        <w:tc>
          <w:tcPr>
            <w:tcW w:type="dxa" w:w="1800"/>
            <w:tcMar>
              <w:top w:type="dxa" w:w="80"/>
              <w:left w:type="dxa" w:w="100"/>
              <w:bottom w:type="dxa" w:w="80"/>
              <w:right w:type="dxa" w:w="100"/>
            </w:tcMar>
          </w:tcPr>
          <w:p>
            <w:r>
              <w:rPr>
                <w:b w:val="false"/>
                <w:bCs w:val="false"/>
                <w:sz w:val="19"/>
                <w:szCs w:val="19"/>
              </w:rPr>
              <w:t xml:space="preserve">Automated in CI + manual before each release</w:t>
            </w:r>
          </w:p>
        </w:tc>
      </w:tr>
      <w:tr>
        <w:tc>
          <w:tcPr>
            <w:tcW w:type="dxa" w:w="2100"/>
            <w:shd w:fill="EAF3EE" w:val="clear"/>
            <w:tcMar>
              <w:top w:type="dxa" w:w="80"/>
              <w:left w:type="dxa" w:w="100"/>
              <w:bottom w:type="dxa" w:w="80"/>
              <w:right w:type="dxa" w:w="100"/>
            </w:tcMar>
          </w:tcPr>
          <w:p>
            <w:r>
              <w:rPr>
                <w:b w:val="false"/>
                <w:bCs w:val="false"/>
                <w:sz w:val="19"/>
                <w:szCs w:val="19"/>
              </w:rPr>
              <w:t xml:space="preserve">Manual UAT / exploratory</w:t>
            </w:r>
          </w:p>
        </w:tc>
        <w:tc>
          <w:tcPr>
            <w:tcW w:type="dxa" w:w="3300"/>
            <w:shd w:fill="EAF3EE" w:val="clear"/>
            <w:tcMar>
              <w:top w:type="dxa" w:w="80"/>
              <w:left w:type="dxa" w:w="100"/>
              <w:bottom w:type="dxa" w:w="80"/>
              <w:right w:type="dxa" w:w="100"/>
            </w:tcMar>
          </w:tcPr>
          <w:p>
            <w:r>
              <w:rPr>
                <w:b w:val="false"/>
                <w:bCs w:val="false"/>
                <w:sz w:val="19"/>
                <w:szCs w:val="19"/>
              </w:rPr>
              <w:t xml:space="preserve">Real ward-officer and citizen sign-off on usability and edge cases</w:t>
            </w:r>
          </w:p>
        </w:tc>
        <w:tc>
          <w:tcPr>
            <w:tcW w:type="dxa" w:w="2200"/>
            <w:shd w:fill="EAF3EE" w:val="clear"/>
            <w:tcMar>
              <w:top w:type="dxa" w:w="80"/>
              <w:left w:type="dxa" w:w="100"/>
              <w:bottom w:type="dxa" w:w="80"/>
              <w:right w:type="dxa" w:w="100"/>
            </w:tcMar>
          </w:tcPr>
          <w:p>
            <w:r>
              <w:rPr>
                <w:b w:val="false"/>
                <w:bCs w:val="false"/>
                <w:sz w:val="19"/>
                <w:szCs w:val="19"/>
              </w:rPr>
              <w:t xml:space="preserve">Structured UAT script + free-form exploratory session</w:t>
            </w:r>
          </w:p>
        </w:tc>
        <w:tc>
          <w:tcPr>
            <w:tcW w:type="dxa" w:w="1800"/>
            <w:shd w:fill="EAF3EE" w:val="clear"/>
            <w:tcMar>
              <w:top w:type="dxa" w:w="80"/>
              <w:left w:type="dxa" w:w="100"/>
              <w:bottom w:type="dxa" w:w="80"/>
              <w:right w:type="dxa" w:w="100"/>
            </w:tcMar>
          </w:tcPr>
          <w:p>
            <w:r>
              <w:rPr>
                <w:b w:val="false"/>
                <w:bCs w:val="false"/>
                <w:sz w:val="19"/>
                <w:szCs w:val="19"/>
              </w:rPr>
              <w:t xml:space="preserve">Manual — before each pilot rollout</w:t>
            </w:r>
          </w:p>
        </w:tc>
      </w:tr>
    </w:tbl>
    <w:p>
      <w:pPr>
        <w:pStyle w:val="Heading1"/>
        <w:spacing w:after="160" w:before="320"/>
      </w:pPr>
      <w:r>
        <w:t xml:space="preserve">4. Automation vs. Manual Testing Approach</w:t>
      </w:r>
    </w:p>
    <w:p>
      <w:pPr>
        <w:spacing w:after="140" w:line="300"/>
      </w:pPr>
      <w:r>
        <w:t xml:space="preserve">The guiding rule: automate anything that will be run more than a handful of times, or that guards a requirement where a regression would be serious (payment-adjacent logic doesn't exist here, but SLA correctness and auth do). Keep manual anything that depends on human judgement about real-world context — like whether a ward officer actually finds the dashboard usable during a hectic Monday morning.</w:t>
      </w:r>
    </w:p>
    <w:p>
      <w:pPr>
        <w:spacing w:after="60" w:before="16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81250"/>
                    </a:xfrm>
                    <a:prstGeom prst="rect">
                      <a:avLst/>
                    </a:prstGeom>
                  </pic:spPr>
                </pic:pic>
              </a:graphicData>
            </a:graphic>
          </wp:inline>
        </w:drawing>
      </w:r>
    </w:p>
    <w:p>
      <w:pPr>
        <w:spacing w:after="220"/>
        <w:jc w:val="center"/>
      </w:pPr>
      <w:r>
        <w:rPr>
          <w:i/>
          <w:iCs/>
          <w:color w:val="666666"/>
          <w:sz w:val="18"/>
          <w:szCs w:val="18"/>
        </w:rPr>
        <w:t xml:space="preserve">Figure 2 — Continuous testing pipeline: a failing stage blocks the pull request automatically</w:t>
      </w:r>
    </w:p>
    <w:p>
      <w:pPr>
        <w:pStyle w:val="ListParagraph"/>
        <w:numPr>
          <w:ilvl w:val="0"/>
          <w:numId w:val="2"/>
        </w:numPr>
        <w:spacing w:after="60"/>
      </w:pPr>
      <w:r>
        <w:t xml:space="preserve">Every pull request triggers unit, lint, and integration tests automatically before a human reviewer even looks at the code.</w:t>
      </w:r>
    </w:p>
    <w:p>
      <w:pPr>
        <w:pStyle w:val="ListParagraph"/>
        <w:numPr>
          <w:ilvl w:val="0"/>
          <w:numId w:val="2"/>
        </w:numPr>
        <w:spacing w:after="60"/>
      </w:pPr>
      <w:r>
        <w:t xml:space="preserve">E2E tests run against a staging deployment, not production, and cover the three critical journeys: report → triage → close, feeder registration → ID issuance, and SLA breach → auto-escalation.</w:t>
      </w:r>
    </w:p>
    <w:p>
      <w:pPr>
        <w:pStyle w:val="ListParagraph"/>
        <w:numPr>
          <w:ilvl w:val="0"/>
          <w:numId w:val="2"/>
        </w:numPr>
        <w:spacing w:after="60"/>
      </w:pPr>
      <w:r>
        <w:t xml:space="preserve">Security scanning (OWASP ZAP) runs on every build; a manual penetration-test pass happens before each pilot ward goes live, not just once at project start.</w:t>
      </w:r>
    </w:p>
    <w:p>
      <w:pPr>
        <w:pStyle w:val="ListParagraph"/>
        <w:numPr>
          <w:ilvl w:val="0"/>
          <w:numId w:val="2"/>
        </w:numPr>
        <w:spacing w:after="60"/>
      </w:pPr>
      <w:r>
        <w:t xml:space="preserve">Manual UAT is scripted (a fixed checklist a ward officer works through) plus a 30-minute unscripted exploratory session, since scripted testing alone tends to miss the odd real-world case (e.g., a photo taken sideways, a case filed with no network and synced later).</w:t>
      </w:r>
    </w:p>
    <w:p>
      <w:pPr>
        <w:pStyle w:val="Heading1"/>
        <w:spacing w:after="160" w:before="320"/>
      </w:pPr>
      <w:r>
        <w:t xml:space="preserve">5. Detailed Test Cases</w:t>
      </w:r>
    </w:p>
    <w:p>
      <w:pPr>
        <w:spacing w:after="140" w:line="300"/>
      </w:pPr>
      <w:r>
        <w:t xml:space="preserve">Seven representative test cases are detailed below, covering functional, performance, security, and accessibility concerns across the core citizen journeys defined in Week 1 and Week 2.</w:t>
      </w:r>
    </w:p>
    <w:p>
      <w:pPr>
        <w:spacing w:after="40" w:before="260"/>
      </w:pPr>
      <w:r>
        <w:rPr>
          <w:b/>
          <w:bCs/>
          <w:color w:val="2E5B4C"/>
          <w:sz w:val="22"/>
          <w:szCs w:val="22"/>
        </w:rPr>
        <w:t xml:space="preserve">TC-01 — Submit a case with photo and geo-tag</w:t>
      </w:r>
      <w:r>
        <w:rPr>
          <w:i/>
          <w:iCs/>
          <w:color w:val="666666"/>
          <w:sz w:val="17"/>
          <w:szCs w:val="17"/>
        </w:rPr>
        <w:t xml:space="preserve">   [Report a Case (FR-01) · Priority: Critical · Automated (E2E)]</w:t>
      </w:r>
    </w:p>
    <w:p>
      <w:pPr>
        <w:spacing w:after="60"/>
      </w:pPr>
      <w:r>
        <w:rPr>
          <w:b/>
          <w:bCs/>
          <w:sz w:val="19"/>
          <w:szCs w:val="19"/>
        </w:rPr>
        <w:t xml:space="preserve">Precondition: </w:t>
      </w:r>
      <w:r>
        <w:rPr>
          <w:sz w:val="19"/>
          <w:szCs w:val="19"/>
        </w:rPr>
        <w:t xml:space="preserve">Citizen is on the Report a Case screen with location permission granted; network connection is stable (4G/Wi-Fi)</w:t>
      </w:r>
    </w:p>
    <w:p>
      <w:pPr>
        <w:spacing w:after="60"/>
      </w:pPr>
      <w:r>
        <w:rPr>
          <w:b/>
          <w:bCs/>
          <w:sz w:val="19"/>
          <w:szCs w:val="19"/>
        </w:rPr>
        <w:t xml:space="preserve">Steps: </w:t>
      </w:r>
      <w:r>
        <w:rPr>
          <w:sz w:val="19"/>
          <w:szCs w:val="19"/>
        </w:rPr>
        <w:t xml:space="preserve">1) Tap 'Add Photo' and capture/upload an image  2) Select category 'Injured'  3) Confirm auto-detected ward  4) Enter optional description  5) Tap Submit Report</w:t>
      </w:r>
    </w:p>
    <w:p>
      <w:pPr>
        <w:spacing w:after="60"/>
      </w:pPr>
      <w:r>
        <w:rPr>
          <w:b/>
          <w:bCs/>
          <w:sz w:val="19"/>
          <w:szCs w:val="19"/>
        </w:rPr>
        <w:t xml:space="preserve">Expected result: </w:t>
      </w:r>
      <w:r>
        <w:rPr>
          <w:sz w:val="19"/>
          <w:szCs w:val="19"/>
        </w:rPr>
        <w:t xml:space="preserve">Case is created within 8 seconds, a case number is returned, and an SMS confirmation is received within 2 minutes with the case ID</w:t>
      </w:r>
    </w:p>
    <w:p>
      <w:pPr>
        <w:spacing w:after="60"/>
      </w:pPr>
      <w:r>
        <w:rPr>
          <w:b/>
          <w:bCs/>
          <w:sz w:val="19"/>
          <w:szCs w:val="19"/>
        </w:rPr>
        <w:t xml:space="preserve">Pass/Fail criteria: </w:t>
      </w:r>
      <w:r>
        <w:rPr>
          <w:sz w:val="19"/>
          <w:szCs w:val="19"/>
        </w:rPr>
        <w:t xml:space="preserve">Fail if submission exceeds 8 seconds on a throttled 3G profile, or if no case ID is returned</w:t>
      </w:r>
    </w:p>
    <w:p>
      <w:pPr>
        <w:spacing w:after="40" w:before="260"/>
      </w:pPr>
      <w:r>
        <w:rPr>
          <w:b/>
          <w:bCs/>
          <w:color w:val="2E5B4C"/>
          <w:sz w:val="22"/>
          <w:szCs w:val="22"/>
        </w:rPr>
        <w:t xml:space="preserve">TC-02 — AI triage correctly classifies severity</w:t>
      </w:r>
      <w:r>
        <w:rPr>
          <w:i/>
          <w:iCs/>
          <w:color w:val="666666"/>
          <w:sz w:val="17"/>
          <w:szCs w:val="17"/>
        </w:rPr>
        <w:t xml:space="preserve">   [Auto-Triage (FR-02) · Priority: Critical · Automated (Integration)]</w:t>
      </w:r>
    </w:p>
    <w:p>
      <w:pPr>
        <w:spacing w:after="60"/>
      </w:pPr>
      <w:r>
        <w:rPr>
          <w:b/>
          <w:bCs/>
          <w:sz w:val="19"/>
          <w:szCs w:val="19"/>
        </w:rPr>
        <w:t xml:space="preserve">Precondition: </w:t>
      </w:r>
      <w:r>
        <w:rPr>
          <w:sz w:val="19"/>
          <w:szCs w:val="19"/>
        </w:rPr>
        <w:t xml:space="preserve">Triage service is deployed to staging with the trained classification model</w:t>
      </w:r>
    </w:p>
    <w:p>
      <w:pPr>
        <w:spacing w:after="60"/>
      </w:pPr>
      <w:r>
        <w:rPr>
          <w:b/>
          <w:bCs/>
          <w:sz w:val="19"/>
          <w:szCs w:val="19"/>
        </w:rPr>
        <w:t xml:space="preserve">Steps: </w:t>
      </w:r>
      <w:r>
        <w:rPr>
          <w:sz w:val="19"/>
          <w:szCs w:val="19"/>
        </w:rPr>
        <w:t xml:space="preserve">1) Submit a case tagged 'Aggressive' with a bite-related description  2) Submit a separate case tagged 'Feeding dispute' with a routine description  3) Inspect the severity field returned by the triage service for both</w:t>
      </w:r>
    </w:p>
    <w:p>
      <w:pPr>
        <w:spacing w:after="60"/>
      </w:pPr>
      <w:r>
        <w:rPr>
          <w:b/>
          <w:bCs/>
          <w:sz w:val="19"/>
          <w:szCs w:val="19"/>
        </w:rPr>
        <w:t xml:space="preserve">Expected result: </w:t>
      </w:r>
      <w:r>
        <w:rPr>
          <w:sz w:val="19"/>
          <w:szCs w:val="19"/>
        </w:rPr>
        <w:t xml:space="preserve">The aggressive/bite case is classified 'Urgent' and routed with a shorter SLA; the feeding dispute is classified 'Routine'</w:t>
      </w:r>
    </w:p>
    <w:p>
      <w:pPr>
        <w:spacing w:after="60"/>
      </w:pPr>
      <w:r>
        <w:rPr>
          <w:b/>
          <w:bCs/>
          <w:sz w:val="19"/>
          <w:szCs w:val="19"/>
        </w:rPr>
        <w:t xml:space="preserve">Pass/Fail criteria: </w:t>
      </w:r>
      <w:r>
        <w:rPr>
          <w:sz w:val="19"/>
          <w:szCs w:val="19"/>
        </w:rPr>
        <w:t xml:space="preserve">Fail if an urgent case (bite/aggression keywords or category) is ever classified as routine — this is treated as a Severity-1 defect given public-health risk</w:t>
      </w:r>
    </w:p>
    <w:p>
      <w:pPr>
        <w:spacing w:after="40" w:before="260"/>
      </w:pPr>
      <w:r>
        <w:rPr>
          <w:b/>
          <w:bCs/>
          <w:color w:val="2E5B4C"/>
          <w:sz w:val="22"/>
          <w:szCs w:val="22"/>
        </w:rPr>
        <w:t xml:space="preserve">TC-03 — Case status updates and citizen notification</w:t>
      </w:r>
      <w:r>
        <w:rPr>
          <w:i/>
          <w:iCs/>
          <w:color w:val="666666"/>
          <w:sz w:val="17"/>
          <w:szCs w:val="17"/>
        </w:rPr>
        <w:t xml:space="preserve">   [Track My Case (FR-04, FR-05) · Priority: High · Automated (E2E) + Manual]</w:t>
      </w:r>
    </w:p>
    <w:p>
      <w:pPr>
        <w:spacing w:after="60"/>
      </w:pPr>
      <w:r>
        <w:rPr>
          <w:b/>
          <w:bCs/>
          <w:sz w:val="19"/>
          <w:szCs w:val="19"/>
        </w:rPr>
        <w:t xml:space="preserve">Precondition: </w:t>
      </w:r>
      <w:r>
        <w:rPr>
          <w:sz w:val="19"/>
          <w:szCs w:val="19"/>
        </w:rPr>
        <w:t xml:space="preserve">A case exists in 'Assigned' state with a linked NGO partner</w:t>
      </w:r>
    </w:p>
    <w:p>
      <w:pPr>
        <w:spacing w:after="60"/>
      </w:pPr>
      <w:r>
        <w:rPr>
          <w:b/>
          <w:bCs/>
          <w:sz w:val="19"/>
          <w:szCs w:val="19"/>
        </w:rPr>
        <w:t xml:space="preserve">Steps: </w:t>
      </w:r>
      <w:r>
        <w:rPr>
          <w:sz w:val="19"/>
          <w:szCs w:val="19"/>
        </w:rPr>
        <w:t xml:space="preserve">1) NGO field app marks case as 'In Progress'  2) NGO field app marks case as 'Treated' with photo proof  3) Citizen opens the Track My Case screen</w:t>
      </w:r>
    </w:p>
    <w:p>
      <w:pPr>
        <w:spacing w:after="60"/>
      </w:pPr>
      <w:r>
        <w:rPr>
          <w:b/>
          <w:bCs/>
          <w:sz w:val="19"/>
          <w:szCs w:val="19"/>
        </w:rPr>
        <w:t xml:space="preserve">Expected result: </w:t>
      </w:r>
      <w:r>
        <w:rPr>
          <w:sz w:val="19"/>
          <w:szCs w:val="19"/>
        </w:rPr>
        <w:t xml:space="preserve">Citizen sees the updated status timeline within 30 seconds and receives a push/SMS notification at each transition</w:t>
      </w:r>
    </w:p>
    <w:p>
      <w:pPr>
        <w:spacing w:after="60"/>
      </w:pPr>
      <w:r>
        <w:rPr>
          <w:b/>
          <w:bCs/>
          <w:sz w:val="19"/>
          <w:szCs w:val="19"/>
        </w:rPr>
        <w:t xml:space="preserve">Pass/Fail criteria: </w:t>
      </w:r>
      <w:r>
        <w:rPr>
          <w:sz w:val="19"/>
          <w:szCs w:val="19"/>
        </w:rPr>
        <w:t xml:space="preserve">Fail if any status transition is not reflected on the citizen's screen within 1 minute, or if a notification is not sent</w:t>
      </w:r>
    </w:p>
    <w:p>
      <w:pPr>
        <w:spacing w:after="40" w:before="260"/>
      </w:pPr>
      <w:r>
        <w:rPr>
          <w:b/>
          <w:bCs/>
          <w:color w:val="2E5B4C"/>
          <w:sz w:val="22"/>
          <w:szCs w:val="22"/>
        </w:rPr>
        <w:t xml:space="preserve">TC-04 — Feeder registration issues a valid digital ID</w:t>
      </w:r>
      <w:r>
        <w:rPr>
          <w:i/>
          <w:iCs/>
          <w:color w:val="666666"/>
          <w:sz w:val="17"/>
          <w:szCs w:val="17"/>
        </w:rPr>
        <w:t xml:space="preserve">   [Feeder Registry (FR-06) · Priority: Medium · Automated (Integration) + Manual]</w:t>
      </w:r>
    </w:p>
    <w:p>
      <w:pPr>
        <w:spacing w:after="60"/>
      </w:pPr>
      <w:r>
        <w:rPr>
          <w:b/>
          <w:bCs/>
          <w:sz w:val="19"/>
          <w:szCs w:val="19"/>
        </w:rPr>
        <w:t xml:space="preserve">Precondition: </w:t>
      </w:r>
      <w:r>
        <w:rPr>
          <w:sz w:val="19"/>
          <w:szCs w:val="19"/>
        </w:rPr>
        <w:t xml:space="preserve">Citizen is logged in with a verified phone number</w:t>
      </w:r>
    </w:p>
    <w:p>
      <w:pPr>
        <w:spacing w:after="60"/>
      </w:pPr>
      <w:r>
        <w:rPr>
          <w:b/>
          <w:bCs/>
          <w:sz w:val="19"/>
          <w:szCs w:val="19"/>
        </w:rPr>
        <w:t xml:space="preserve">Steps: </w:t>
      </w:r>
      <w:r>
        <w:rPr>
          <w:sz w:val="19"/>
          <w:szCs w:val="19"/>
        </w:rPr>
        <w:t xml:space="preserve">1) Navigate to Feeder Registry  2) Submit name, designated feeding spot, and photo  3) Confirm submission</w:t>
      </w:r>
    </w:p>
    <w:p>
      <w:pPr>
        <w:spacing w:after="60"/>
      </w:pPr>
      <w:r>
        <w:rPr>
          <w:b/>
          <w:bCs/>
          <w:sz w:val="19"/>
          <w:szCs w:val="19"/>
        </w:rPr>
        <w:t xml:space="preserve">Expected result: </w:t>
      </w:r>
      <w:r>
        <w:rPr>
          <w:sz w:val="19"/>
          <w:szCs w:val="19"/>
        </w:rPr>
        <w:t xml:space="preserve">A QR-coded digital feeder ID is generated and downloadable; the feeding spot appears on the ward's registry within 24 hours after municipal review</w:t>
      </w:r>
    </w:p>
    <w:p>
      <w:pPr>
        <w:spacing w:after="60"/>
      </w:pPr>
      <w:r>
        <w:rPr>
          <w:b/>
          <w:bCs/>
          <w:sz w:val="19"/>
          <w:szCs w:val="19"/>
        </w:rPr>
        <w:t xml:space="preserve">Pass/Fail criteria: </w:t>
      </w:r>
      <w:r>
        <w:rPr>
          <w:sz w:val="19"/>
          <w:szCs w:val="19"/>
        </w:rPr>
        <w:t xml:space="preserve">Fail if the ID is issued without the 24-hour review gate, or if duplicate registrations for the same spot are not flagged</w:t>
      </w:r>
    </w:p>
    <w:p>
      <w:pPr>
        <w:spacing w:after="40" w:before="260"/>
      </w:pPr>
      <w:r>
        <w:rPr>
          <w:b/>
          <w:bCs/>
          <w:color w:val="2E5B4C"/>
          <w:sz w:val="22"/>
          <w:szCs w:val="22"/>
        </w:rPr>
        <w:t xml:space="preserve">TC-05 — Peak-load stress test on report submission</w:t>
      </w:r>
      <w:r>
        <w:rPr>
          <w:i/>
          <w:iCs/>
          <w:color w:val="666666"/>
          <w:sz w:val="17"/>
          <w:szCs w:val="17"/>
        </w:rPr>
        <w:t xml:space="preserve">   [Performance (NFR — Performance) · Priority: Critical · Automated (Load test)]</w:t>
      </w:r>
    </w:p>
    <w:p>
      <w:pPr>
        <w:spacing w:after="60"/>
      </w:pPr>
      <w:r>
        <w:rPr>
          <w:b/>
          <w:bCs/>
          <w:sz w:val="19"/>
          <w:szCs w:val="19"/>
        </w:rPr>
        <w:t xml:space="preserve">Precondition: </w:t>
      </w:r>
      <w:r>
        <w:rPr>
          <w:sz w:val="19"/>
          <w:szCs w:val="19"/>
        </w:rPr>
        <w:t xml:space="preserve">Staging environment scaled to match production sizing</w:t>
      </w:r>
    </w:p>
    <w:p>
      <w:pPr>
        <w:spacing w:after="60"/>
      </w:pPr>
      <w:r>
        <w:rPr>
          <w:b/>
          <w:bCs/>
          <w:sz w:val="19"/>
          <w:szCs w:val="19"/>
        </w:rPr>
        <w:t xml:space="preserve">Steps: </w:t>
      </w:r>
      <w:r>
        <w:rPr>
          <w:sz w:val="19"/>
          <w:szCs w:val="19"/>
        </w:rPr>
        <w:t xml:space="preserve">1) Simulate 500 concurrent citizens submitting reports with photo uploads over a 10-minute window using k6  2) Monitor response time, error rate, and DB connection pool</w:t>
      </w:r>
    </w:p>
    <w:p>
      <w:pPr>
        <w:spacing w:after="60"/>
      </w:pPr>
      <w:r>
        <w:rPr>
          <w:b/>
          <w:bCs/>
          <w:sz w:val="19"/>
          <w:szCs w:val="19"/>
        </w:rPr>
        <w:t xml:space="preserve">Expected result: </w:t>
      </w:r>
      <w:r>
        <w:rPr>
          <w:sz w:val="19"/>
          <w:szCs w:val="19"/>
        </w:rPr>
        <w:t xml:space="preserve">95th-percentile response time stays under 8 seconds; error rate stays under 1%; no dropped connections</w:t>
      </w:r>
    </w:p>
    <w:p>
      <w:pPr>
        <w:spacing w:after="60"/>
      </w:pPr>
      <w:r>
        <w:rPr>
          <w:b/>
          <w:bCs/>
          <w:sz w:val="19"/>
          <w:szCs w:val="19"/>
        </w:rPr>
        <w:t xml:space="preserve">Pass/Fail criteria: </w:t>
      </w:r>
      <w:r>
        <w:rPr>
          <w:sz w:val="19"/>
          <w:szCs w:val="19"/>
        </w:rPr>
        <w:t xml:space="preserve">Fail if error rate exceeds 1% or the 95th-percentile response time exceeds 8 seconds</w:t>
      </w:r>
    </w:p>
    <w:p>
      <w:pPr>
        <w:spacing w:after="40" w:before="260"/>
      </w:pPr>
      <w:r>
        <w:rPr>
          <w:b/>
          <w:bCs/>
          <w:color w:val="2E5B4C"/>
          <w:sz w:val="22"/>
          <w:szCs w:val="22"/>
        </w:rPr>
        <w:t xml:space="preserve">TC-06 — Authentication and role-based access control</w:t>
      </w:r>
      <w:r>
        <w:rPr>
          <w:i/>
          <w:iCs/>
          <w:color w:val="666666"/>
          <w:sz w:val="17"/>
          <w:szCs w:val="17"/>
        </w:rPr>
        <w:t xml:space="preserve">   [Security (NFR — Security) · Priority: Critical · Automated (Security scan) + Manual pen-test]</w:t>
      </w:r>
    </w:p>
    <w:p>
      <w:pPr>
        <w:spacing w:after="60"/>
      </w:pPr>
      <w:r>
        <w:rPr>
          <w:b/>
          <w:bCs/>
          <w:sz w:val="19"/>
          <w:szCs w:val="19"/>
        </w:rPr>
        <w:t xml:space="preserve">Precondition: </w:t>
      </w:r>
      <w:r>
        <w:rPr>
          <w:sz w:val="19"/>
          <w:szCs w:val="19"/>
        </w:rPr>
        <w:t xml:space="preserve">Test accounts exist for citizen, NGO field staff, ward officer, and admin roles</w:t>
      </w:r>
    </w:p>
    <w:p>
      <w:pPr>
        <w:spacing w:after="60"/>
      </w:pPr>
      <w:r>
        <w:rPr>
          <w:b/>
          <w:bCs/>
          <w:sz w:val="19"/>
          <w:szCs w:val="19"/>
        </w:rPr>
        <w:t xml:space="preserve">Steps: </w:t>
      </w:r>
      <w:r>
        <w:rPr>
          <w:sz w:val="19"/>
          <w:szCs w:val="19"/>
        </w:rPr>
        <w:t xml:space="preserve">1) Attempt to access the admin console using a citizen-role token  2) Attempt SQL injection via the case-description field  3) Attempt to view another citizen's phone number via the NGO field app</w:t>
      </w:r>
    </w:p>
    <w:p>
      <w:pPr>
        <w:spacing w:after="60"/>
      </w:pPr>
      <w:r>
        <w:rPr>
          <w:b/>
          <w:bCs/>
          <w:sz w:val="19"/>
          <w:szCs w:val="19"/>
        </w:rPr>
        <w:t xml:space="preserve">Expected result: </w:t>
      </w:r>
      <w:r>
        <w:rPr>
          <w:sz w:val="19"/>
          <w:szCs w:val="19"/>
        </w:rPr>
        <w:t xml:space="preserve">Admin console access is denied (403) for the citizen role; injection payloads are sanitised/rejected; phone numbers remain masked to the NGO role</w:t>
      </w:r>
    </w:p>
    <w:p>
      <w:pPr>
        <w:spacing w:after="60"/>
      </w:pPr>
      <w:r>
        <w:rPr>
          <w:b/>
          <w:bCs/>
          <w:sz w:val="19"/>
          <w:szCs w:val="19"/>
        </w:rPr>
        <w:t xml:space="preserve">Pass/Fail criteria: </w:t>
      </w:r>
      <w:r>
        <w:rPr>
          <w:sz w:val="19"/>
          <w:szCs w:val="19"/>
        </w:rPr>
        <w:t xml:space="preserve">Fail (Severity-1) if any unauthorised access, injection success, or PII exposure occurs</w:t>
      </w:r>
    </w:p>
    <w:p>
      <w:pPr>
        <w:spacing w:after="40" w:before="260"/>
      </w:pPr>
      <w:r>
        <w:rPr>
          <w:b/>
          <w:bCs/>
          <w:color w:val="2E5B4C"/>
          <w:sz w:val="22"/>
          <w:szCs w:val="22"/>
        </w:rPr>
        <w:t xml:space="preserve">TC-07 — Accessibility — screen reader and keyboard navigation</w:t>
      </w:r>
      <w:r>
        <w:rPr>
          <w:i/>
          <w:iCs/>
          <w:color w:val="666666"/>
          <w:sz w:val="17"/>
          <w:szCs w:val="17"/>
        </w:rPr>
        <w:t xml:space="preserve">   [Accessibility (FR-10, NFR — Accessibility) · Priority: High · Automated (axe-core) + Manual]</w:t>
      </w:r>
    </w:p>
    <w:p>
      <w:pPr>
        <w:spacing w:after="60"/>
      </w:pPr>
      <w:r>
        <w:rPr>
          <w:b/>
          <w:bCs/>
          <w:sz w:val="19"/>
          <w:szCs w:val="19"/>
        </w:rPr>
        <w:t xml:space="preserve">Precondition: </w:t>
      </w:r>
      <w:r>
        <w:rPr>
          <w:sz w:val="19"/>
          <w:szCs w:val="19"/>
        </w:rPr>
        <w:t xml:space="preserve">Latest staging build of the citizen portal, tested with NVDA/VoiceOver</w:t>
      </w:r>
    </w:p>
    <w:p>
      <w:pPr>
        <w:spacing w:after="60"/>
      </w:pPr>
      <w:r>
        <w:rPr>
          <w:b/>
          <w:bCs/>
          <w:sz w:val="19"/>
          <w:szCs w:val="19"/>
        </w:rPr>
        <w:t xml:space="preserve">Steps: </w:t>
      </w:r>
      <w:r>
        <w:rPr>
          <w:sz w:val="19"/>
          <w:szCs w:val="19"/>
        </w:rPr>
        <w:t xml:space="preserve">1) Navigate the Report a Case form using only the keyboard (Tab/Enter)  2) Run a screen reader through the form and submit flow  3) Zoom browser to 200%</w:t>
      </w:r>
    </w:p>
    <w:p>
      <w:pPr>
        <w:spacing w:after="60"/>
      </w:pPr>
      <w:r>
        <w:rPr>
          <w:b/>
          <w:bCs/>
          <w:sz w:val="19"/>
          <w:szCs w:val="19"/>
        </w:rPr>
        <w:t xml:space="preserve">Expected result: </w:t>
      </w:r>
      <w:r>
        <w:rPr>
          <w:sz w:val="19"/>
          <w:szCs w:val="19"/>
        </w:rPr>
        <w:t xml:space="preserve">Every field is reachable and labelled via keyboard and screen reader; layout remains usable at 200% zoom with no horizontal scroll</w:t>
      </w:r>
    </w:p>
    <w:p>
      <w:pPr>
        <w:spacing w:after="60"/>
      </w:pPr>
      <w:r>
        <w:rPr>
          <w:b/>
          <w:bCs/>
          <w:sz w:val="19"/>
          <w:szCs w:val="19"/>
        </w:rPr>
        <w:t xml:space="preserve">Pass/Fail criteria: </w:t>
      </w:r>
      <w:r>
        <w:rPr>
          <w:sz w:val="19"/>
          <w:szCs w:val="19"/>
        </w:rPr>
        <w:t xml:space="preserve">Fail if any interactive element is unreachable by keyboard or unlabelled for screen readers</w:t>
      </w:r>
    </w:p>
    <w:p>
      <w:pPr>
        <w:pStyle w:val="Heading1"/>
        <w:spacing w:after="160" w:before="320"/>
      </w:pPr>
      <w:r>
        <w:t xml:space="preserve">6. Risk Analysis &amp; Mitigation</w:t>
      </w:r>
    </w:p>
    <w:p>
      <w:pPr>
        <w:spacing w:after="140" w:line="300"/>
      </w:pPr>
      <w:r>
        <w:t xml:space="preserve">Risks are plotted by likelihood and impact to prioritise mitigation effort — the upper-right of the matrix gets fixed before pilot launch; the lower-left is monitored but not gold-plated.</w:t>
      </w:r>
    </w:p>
    <w:p>
      <w:pPr>
        <w:spacing w:after="60" w:before="160"/>
        <w:jc w:val="center"/>
      </w:pPr>
      <w:r>
        <w:drawing>
          <wp:inline distT="0" distB="0" distL="0" distR="0">
            <wp:extent cx="4572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667125"/>
                    </a:xfrm>
                    <a:prstGeom prst="rect">
                      <a:avLst/>
                    </a:prstGeom>
                  </pic:spPr>
                </pic:pic>
              </a:graphicData>
            </a:graphic>
          </wp:inline>
        </w:drawing>
      </w:r>
    </w:p>
    <w:p>
      <w:pPr>
        <w:spacing w:after="220"/>
        <w:jc w:val="center"/>
      </w:pPr>
      <w:r>
        <w:rPr>
          <w:i/>
          <w:iCs/>
          <w:color w:val="666666"/>
          <w:sz w:val="18"/>
          <w:szCs w:val="18"/>
        </w:rPr>
        <w:t xml:space="preserve">Figure 3 — Risk heatmap across the seven highest-priority risks identified for PashuMitra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2900"/>
        <w:gridCol w:w="2100"/>
      </w:tblGrid>
      <w:tr>
        <w:trPr>
          <w:tblHeader/>
        </w:trPr>
        <w:tc>
          <w:tcPr>
            <w:tcW w:type="dxa" w:w="2600"/>
            <w:shd w:fill="2E5B4C" w:val="clear"/>
            <w:tcMar>
              <w:top w:type="dxa" w:w="80"/>
              <w:left w:type="dxa" w:w="100"/>
              <w:bottom w:type="dxa" w:w="80"/>
              <w:right w:type="dxa" w:w="100"/>
            </w:tcMar>
          </w:tcPr>
          <w:p>
            <w:r>
              <w:rPr>
                <w:b/>
                <w:bCs/>
                <w:color w:val="FFFFFF"/>
                <w:sz w:val="19"/>
                <w:szCs w:val="19"/>
              </w:rPr>
              <w:t xml:space="preserve">Risk</w:t>
            </w:r>
          </w:p>
        </w:tc>
        <w:tc>
          <w:tcPr>
            <w:tcW w:type="dxa" w:w="1100"/>
            <w:shd w:fill="2E5B4C" w:val="clear"/>
            <w:tcMar>
              <w:top w:type="dxa" w:w="80"/>
              <w:left w:type="dxa" w:w="100"/>
              <w:bottom w:type="dxa" w:w="80"/>
              <w:right w:type="dxa" w:w="100"/>
            </w:tcMar>
          </w:tcPr>
          <w:p>
            <w:r>
              <w:rPr>
                <w:b/>
                <w:bCs/>
                <w:color w:val="FFFFFF"/>
                <w:sz w:val="19"/>
                <w:szCs w:val="19"/>
              </w:rPr>
              <w:t xml:space="preserve">Likelihood</w:t>
            </w:r>
          </w:p>
        </w:tc>
        <w:tc>
          <w:tcPr>
            <w:tcW w:type="dxa" w:w="1100"/>
            <w:shd w:fill="2E5B4C" w:val="clear"/>
            <w:tcMar>
              <w:top w:type="dxa" w:w="80"/>
              <w:left w:type="dxa" w:w="100"/>
              <w:bottom w:type="dxa" w:w="80"/>
              <w:right w:type="dxa" w:w="100"/>
            </w:tcMar>
          </w:tcPr>
          <w:p>
            <w:r>
              <w:rPr>
                <w:b/>
                <w:bCs/>
                <w:color w:val="FFFFFF"/>
                <w:sz w:val="19"/>
                <w:szCs w:val="19"/>
              </w:rPr>
              <w:t xml:space="preserve">Impact</w:t>
            </w:r>
          </w:p>
        </w:tc>
        <w:tc>
          <w:tcPr>
            <w:tcW w:type="dxa" w:w="2900"/>
            <w:shd w:fill="2E5B4C" w:val="clear"/>
            <w:tcMar>
              <w:top w:type="dxa" w:w="80"/>
              <w:left w:type="dxa" w:w="100"/>
              <w:bottom w:type="dxa" w:w="80"/>
              <w:right w:type="dxa" w:w="100"/>
            </w:tcMar>
          </w:tcPr>
          <w:p>
            <w:r>
              <w:rPr>
                <w:b/>
                <w:bCs/>
                <w:color w:val="FFFFFF"/>
                <w:sz w:val="19"/>
                <w:szCs w:val="19"/>
              </w:rPr>
              <w:t xml:space="preserve">Mitigation</w:t>
            </w:r>
          </w:p>
        </w:tc>
        <w:tc>
          <w:tcPr>
            <w:tcW w:type="dxa" w:w="2100"/>
            <w:shd w:fill="2E5B4C" w:val="clear"/>
            <w:tcMar>
              <w:top w:type="dxa" w:w="80"/>
              <w:left w:type="dxa" w:w="100"/>
              <w:bottom w:type="dxa" w:w="80"/>
              <w:right w:type="dxa" w:w="100"/>
            </w:tcMar>
          </w:tcPr>
          <w:p>
            <w:r>
              <w:rPr>
                <w:b/>
                <w:bCs/>
                <w:color w:val="FFFFFF"/>
                <w:sz w:val="19"/>
                <w:szCs w:val="19"/>
              </w:rPr>
              <w:t xml:space="preserve">Contingency</w:t>
            </w:r>
          </w:p>
        </w:tc>
      </w:tr>
      <w:tr>
        <w:tc>
          <w:tcPr>
            <w:tcW w:type="dxa" w:w="2600"/>
            <w:tcMar>
              <w:top w:type="dxa" w:w="80"/>
              <w:left w:type="dxa" w:w="100"/>
              <w:bottom w:type="dxa" w:w="80"/>
              <w:right w:type="dxa" w:w="100"/>
            </w:tcMar>
          </w:tcPr>
          <w:p>
            <w:r>
              <w:rPr>
                <w:b w:val="false"/>
                <w:bCs w:val="false"/>
                <w:sz w:val="19"/>
                <w:szCs w:val="19"/>
              </w:rPr>
              <w:t xml:space="preserve">R1 — Peak-load submission failure during a rabies-scare surge</w:t>
            </w:r>
          </w:p>
        </w:tc>
        <w:tc>
          <w:tcPr>
            <w:tcW w:type="dxa" w:w="1100"/>
            <w:tcMar>
              <w:top w:type="dxa" w:w="80"/>
              <w:left w:type="dxa" w:w="100"/>
              <w:bottom w:type="dxa" w:w="80"/>
              <w:right w:type="dxa" w:w="100"/>
            </w:tcMar>
          </w:tcPr>
          <w:p>
            <w:r>
              <w:rPr>
                <w:b w:val="false"/>
                <w:bCs w:val="false"/>
                <w:sz w:val="19"/>
                <w:szCs w:val="19"/>
              </w:rPr>
              <w:t xml:space="preserve">High</w:t>
            </w:r>
          </w:p>
        </w:tc>
        <w:tc>
          <w:tcPr>
            <w:tcW w:type="dxa" w:w="1100"/>
            <w:tcMar>
              <w:top w:type="dxa" w:w="80"/>
              <w:left w:type="dxa" w:w="100"/>
              <w:bottom w:type="dxa" w:w="80"/>
              <w:right w:type="dxa" w:w="100"/>
            </w:tcMar>
          </w:tcPr>
          <w:p>
            <w:r>
              <w:rPr>
                <w:b w:val="false"/>
                <w:bCs w:val="false"/>
                <w:sz w:val="19"/>
                <w:szCs w:val="19"/>
              </w:rPr>
              <w:t xml:space="preserve">High</w:t>
            </w:r>
          </w:p>
        </w:tc>
        <w:tc>
          <w:tcPr>
            <w:tcW w:type="dxa" w:w="2900"/>
            <w:tcMar>
              <w:top w:type="dxa" w:w="80"/>
              <w:left w:type="dxa" w:w="100"/>
              <w:bottom w:type="dxa" w:w="80"/>
              <w:right w:type="dxa" w:w="100"/>
            </w:tcMar>
          </w:tcPr>
          <w:p>
            <w:r>
              <w:rPr>
                <w:b w:val="false"/>
                <w:bCs w:val="false"/>
                <w:sz w:val="19"/>
                <w:szCs w:val="19"/>
              </w:rPr>
              <w:t xml:space="preserve">Load testing (TC-05) before every release; auto-scaling on the submission service</w:t>
            </w:r>
          </w:p>
        </w:tc>
        <w:tc>
          <w:tcPr>
            <w:tcW w:type="dxa" w:w="2100"/>
            <w:tcMar>
              <w:top w:type="dxa" w:w="80"/>
              <w:left w:type="dxa" w:w="100"/>
              <w:bottom w:type="dxa" w:w="80"/>
              <w:right w:type="dxa" w:w="100"/>
            </w:tcMar>
          </w:tcPr>
          <w:p>
            <w:r>
              <w:rPr>
                <w:b w:val="false"/>
                <w:bCs w:val="false"/>
                <w:sz w:val="19"/>
                <w:szCs w:val="19"/>
              </w:rPr>
              <w:t xml:space="preserve">Queue-based fallback: accept the report and photo, process triage asynchronously if load spikes</w:t>
            </w:r>
          </w:p>
        </w:tc>
      </w:tr>
      <w:tr>
        <w:tc>
          <w:tcPr>
            <w:tcW w:type="dxa" w:w="2600"/>
            <w:shd w:fill="EAF3EE" w:val="clear"/>
            <w:tcMar>
              <w:top w:type="dxa" w:w="80"/>
              <w:left w:type="dxa" w:w="100"/>
              <w:bottom w:type="dxa" w:w="80"/>
              <w:right w:type="dxa" w:w="100"/>
            </w:tcMar>
          </w:tcPr>
          <w:p>
            <w:r>
              <w:rPr>
                <w:b w:val="false"/>
                <w:bCs w:val="false"/>
                <w:sz w:val="19"/>
                <w:szCs w:val="19"/>
              </w:rPr>
              <w:t xml:space="preserve">R2 — SQL injection / auth bypass</w:t>
            </w:r>
          </w:p>
        </w:tc>
        <w:tc>
          <w:tcPr>
            <w:tcW w:type="dxa" w:w="1100"/>
            <w:shd w:fill="EAF3EE" w:val="clear"/>
            <w:tcMar>
              <w:top w:type="dxa" w:w="80"/>
              <w:left w:type="dxa" w:w="100"/>
              <w:bottom w:type="dxa" w:w="80"/>
              <w:right w:type="dxa" w:w="100"/>
            </w:tcMar>
          </w:tcPr>
          <w:p>
            <w:r>
              <w:rPr>
                <w:b w:val="false"/>
                <w:bCs w:val="false"/>
                <w:sz w:val="19"/>
                <w:szCs w:val="19"/>
              </w:rPr>
              <w:t xml:space="preserve">Medium</w:t>
            </w:r>
          </w:p>
        </w:tc>
        <w:tc>
          <w:tcPr>
            <w:tcW w:type="dxa" w:w="1100"/>
            <w:shd w:fill="EAF3EE" w:val="clear"/>
            <w:tcMar>
              <w:top w:type="dxa" w:w="80"/>
              <w:left w:type="dxa" w:w="100"/>
              <w:bottom w:type="dxa" w:w="80"/>
              <w:right w:type="dxa" w:w="100"/>
            </w:tcMar>
          </w:tcPr>
          <w:p>
            <w:r>
              <w:rPr>
                <w:b w:val="false"/>
                <w:bCs w:val="false"/>
                <w:sz w:val="19"/>
                <w:szCs w:val="19"/>
              </w:rPr>
              <w:t xml:space="preserve">High</w:t>
            </w:r>
          </w:p>
        </w:tc>
        <w:tc>
          <w:tcPr>
            <w:tcW w:type="dxa" w:w="2900"/>
            <w:shd w:fill="EAF3EE" w:val="clear"/>
            <w:tcMar>
              <w:top w:type="dxa" w:w="80"/>
              <w:left w:type="dxa" w:w="100"/>
              <w:bottom w:type="dxa" w:w="80"/>
              <w:right w:type="dxa" w:w="100"/>
            </w:tcMar>
          </w:tcPr>
          <w:p>
            <w:r>
              <w:rPr>
                <w:b w:val="false"/>
                <w:bCs w:val="false"/>
                <w:sz w:val="19"/>
                <w:szCs w:val="19"/>
              </w:rPr>
              <w:t xml:space="preserve">Parameterised queries, input sanitisation, RBAC enforced server-side, automated OWASP ZAP scans</w:t>
            </w:r>
          </w:p>
        </w:tc>
        <w:tc>
          <w:tcPr>
            <w:tcW w:type="dxa" w:w="2100"/>
            <w:shd w:fill="EAF3EE" w:val="clear"/>
            <w:tcMar>
              <w:top w:type="dxa" w:w="80"/>
              <w:left w:type="dxa" w:w="100"/>
              <w:bottom w:type="dxa" w:w="80"/>
              <w:right w:type="dxa" w:w="100"/>
            </w:tcMar>
          </w:tcPr>
          <w:p>
            <w:r>
              <w:rPr>
                <w:b w:val="false"/>
                <w:bCs w:val="false"/>
                <w:sz w:val="19"/>
                <w:szCs w:val="19"/>
              </w:rPr>
              <w:t xml:space="preserve">Web application firewall (WAF) as a second layer; incident response runbook</w:t>
            </w:r>
          </w:p>
        </w:tc>
      </w:tr>
      <w:tr>
        <w:tc>
          <w:tcPr>
            <w:tcW w:type="dxa" w:w="2600"/>
            <w:tcMar>
              <w:top w:type="dxa" w:w="80"/>
              <w:left w:type="dxa" w:w="100"/>
              <w:bottom w:type="dxa" w:w="80"/>
              <w:right w:type="dxa" w:w="100"/>
            </w:tcMar>
          </w:tcPr>
          <w:p>
            <w:r>
              <w:rPr>
                <w:b w:val="false"/>
                <w:bCs w:val="false"/>
                <w:sz w:val="19"/>
                <w:szCs w:val="19"/>
              </w:rPr>
              <w:t xml:space="preserve">R3 — Photo upload timeout on poor 3G</w:t>
            </w:r>
          </w:p>
        </w:tc>
        <w:tc>
          <w:tcPr>
            <w:tcW w:type="dxa" w:w="1100"/>
            <w:tcMar>
              <w:top w:type="dxa" w:w="80"/>
              <w:left w:type="dxa" w:w="100"/>
              <w:bottom w:type="dxa" w:w="80"/>
              <w:right w:type="dxa" w:w="100"/>
            </w:tcMar>
          </w:tcPr>
          <w:p>
            <w:r>
              <w:rPr>
                <w:b w:val="false"/>
                <w:bCs w:val="false"/>
                <w:sz w:val="19"/>
                <w:szCs w:val="19"/>
              </w:rPr>
              <w:t xml:space="preserve">High</w:t>
            </w:r>
          </w:p>
        </w:tc>
        <w:tc>
          <w:tcPr>
            <w:tcW w:type="dxa" w:w="1100"/>
            <w:tcMar>
              <w:top w:type="dxa" w:w="80"/>
              <w:left w:type="dxa" w:w="100"/>
              <w:bottom w:type="dxa" w:w="80"/>
              <w:right w:type="dxa" w:w="100"/>
            </w:tcMar>
          </w:tcPr>
          <w:p>
            <w:r>
              <w:rPr>
                <w:b w:val="false"/>
                <w:bCs w:val="false"/>
                <w:sz w:val="19"/>
                <w:szCs w:val="19"/>
              </w:rPr>
              <w:t xml:space="preserve">Medium</w:t>
            </w:r>
          </w:p>
        </w:tc>
        <w:tc>
          <w:tcPr>
            <w:tcW w:type="dxa" w:w="2900"/>
            <w:tcMar>
              <w:top w:type="dxa" w:w="80"/>
              <w:left w:type="dxa" w:w="100"/>
              <w:bottom w:type="dxa" w:w="80"/>
              <w:right w:type="dxa" w:w="100"/>
            </w:tcMar>
          </w:tcPr>
          <w:p>
            <w:r>
              <w:rPr>
                <w:b w:val="false"/>
                <w:bCs w:val="false"/>
                <w:sz w:val="19"/>
                <w:szCs w:val="19"/>
              </w:rPr>
              <w:t xml:space="preserve">Client-side image compression before upload; resumable upload with retry</w:t>
            </w:r>
          </w:p>
        </w:tc>
        <w:tc>
          <w:tcPr>
            <w:tcW w:type="dxa" w:w="2100"/>
            <w:tcMar>
              <w:top w:type="dxa" w:w="80"/>
              <w:left w:type="dxa" w:w="100"/>
              <w:bottom w:type="dxa" w:w="80"/>
              <w:right w:type="dxa" w:w="100"/>
            </w:tcMar>
          </w:tcPr>
          <w:p>
            <w:r>
              <w:rPr>
                <w:b w:val="false"/>
                <w:bCs w:val="false"/>
                <w:sz w:val="19"/>
                <w:szCs w:val="19"/>
              </w:rPr>
              <w:t xml:space="preserve">Allow report submission without photo, flagged for follow-up photo request via SMS link</w:t>
            </w:r>
          </w:p>
        </w:tc>
      </w:tr>
      <w:tr>
        <w:tc>
          <w:tcPr>
            <w:tcW w:type="dxa" w:w="2600"/>
            <w:shd w:fill="EAF3EE" w:val="clear"/>
            <w:tcMar>
              <w:top w:type="dxa" w:w="80"/>
              <w:left w:type="dxa" w:w="100"/>
              <w:bottom w:type="dxa" w:w="80"/>
              <w:right w:type="dxa" w:w="100"/>
            </w:tcMar>
          </w:tcPr>
          <w:p>
            <w:r>
              <w:rPr>
                <w:b w:val="false"/>
                <w:bCs w:val="false"/>
                <w:sz w:val="19"/>
                <w:szCs w:val="19"/>
              </w:rPr>
              <w:t xml:space="preserve">R4 — False triage severity classification</w:t>
            </w:r>
          </w:p>
        </w:tc>
        <w:tc>
          <w:tcPr>
            <w:tcW w:type="dxa" w:w="1100"/>
            <w:shd w:fill="EAF3EE" w:val="clear"/>
            <w:tcMar>
              <w:top w:type="dxa" w:w="80"/>
              <w:left w:type="dxa" w:w="100"/>
              <w:bottom w:type="dxa" w:w="80"/>
              <w:right w:type="dxa" w:w="100"/>
            </w:tcMar>
          </w:tcPr>
          <w:p>
            <w:r>
              <w:rPr>
                <w:b w:val="false"/>
                <w:bCs w:val="false"/>
                <w:sz w:val="19"/>
                <w:szCs w:val="19"/>
              </w:rPr>
              <w:t xml:space="preserve">Medium</w:t>
            </w:r>
          </w:p>
        </w:tc>
        <w:tc>
          <w:tcPr>
            <w:tcW w:type="dxa" w:w="1100"/>
            <w:shd w:fill="EAF3EE" w:val="clear"/>
            <w:tcMar>
              <w:top w:type="dxa" w:w="80"/>
              <w:left w:type="dxa" w:w="100"/>
              <w:bottom w:type="dxa" w:w="80"/>
              <w:right w:type="dxa" w:w="100"/>
            </w:tcMar>
          </w:tcPr>
          <w:p>
            <w:r>
              <w:rPr>
                <w:b w:val="false"/>
                <w:bCs w:val="false"/>
                <w:sz w:val="19"/>
                <w:szCs w:val="19"/>
              </w:rPr>
              <w:t xml:space="preserve">High</w:t>
            </w:r>
          </w:p>
        </w:tc>
        <w:tc>
          <w:tcPr>
            <w:tcW w:type="dxa" w:w="2900"/>
            <w:shd w:fill="EAF3EE" w:val="clear"/>
            <w:tcMar>
              <w:top w:type="dxa" w:w="80"/>
              <w:left w:type="dxa" w:w="100"/>
              <w:bottom w:type="dxa" w:w="80"/>
              <w:right w:type="dxa" w:w="100"/>
            </w:tcMar>
          </w:tcPr>
          <w:p>
            <w:r>
              <w:rPr>
                <w:b w:val="false"/>
                <w:bCs w:val="false"/>
                <w:sz w:val="19"/>
                <w:szCs w:val="19"/>
              </w:rPr>
              <w:t xml:space="preserve">Conservative bias in the classifier (when uncertain, escalate to Urgent, never downgrade); human ward-officer review for Urgent queue</w:t>
            </w:r>
          </w:p>
        </w:tc>
        <w:tc>
          <w:tcPr>
            <w:tcW w:type="dxa" w:w="2100"/>
            <w:shd w:fill="EAF3EE" w:val="clear"/>
            <w:tcMar>
              <w:top w:type="dxa" w:w="80"/>
              <w:left w:type="dxa" w:w="100"/>
              <w:bottom w:type="dxa" w:w="80"/>
              <w:right w:type="dxa" w:w="100"/>
            </w:tcMar>
          </w:tcPr>
          <w:p>
            <w:r>
              <w:rPr>
                <w:b w:val="false"/>
                <w:bCs w:val="false"/>
                <w:sz w:val="19"/>
                <w:szCs w:val="19"/>
              </w:rPr>
              <w:t xml:space="preserve">Manual override always available to ward officer; classifier logic reviewed monthly against real outcomes</w:t>
            </w:r>
          </w:p>
        </w:tc>
      </w:tr>
      <w:tr>
        <w:tc>
          <w:tcPr>
            <w:tcW w:type="dxa" w:w="2600"/>
            <w:tcMar>
              <w:top w:type="dxa" w:w="80"/>
              <w:left w:type="dxa" w:w="100"/>
              <w:bottom w:type="dxa" w:w="80"/>
              <w:right w:type="dxa" w:w="100"/>
            </w:tcMar>
          </w:tcPr>
          <w:p>
            <w:r>
              <w:rPr>
                <w:b w:val="false"/>
                <w:bCs w:val="false"/>
                <w:sz w:val="19"/>
                <w:szCs w:val="19"/>
              </w:rPr>
              <w:t xml:space="preserve">R5 — SLA notification (SMS) not delivered</w:t>
            </w:r>
          </w:p>
        </w:tc>
        <w:tc>
          <w:tcPr>
            <w:tcW w:type="dxa" w:w="1100"/>
            <w:tcMar>
              <w:top w:type="dxa" w:w="80"/>
              <w:left w:type="dxa" w:w="100"/>
              <w:bottom w:type="dxa" w:w="80"/>
              <w:right w:type="dxa" w:w="100"/>
            </w:tcMar>
          </w:tcPr>
          <w:p>
            <w:r>
              <w:rPr>
                <w:b w:val="false"/>
                <w:bCs w:val="false"/>
                <w:sz w:val="19"/>
                <w:szCs w:val="19"/>
              </w:rPr>
              <w:t xml:space="preserve">Medium</w:t>
            </w:r>
          </w:p>
        </w:tc>
        <w:tc>
          <w:tcPr>
            <w:tcW w:type="dxa" w:w="1100"/>
            <w:tcMar>
              <w:top w:type="dxa" w:w="80"/>
              <w:left w:type="dxa" w:w="100"/>
              <w:bottom w:type="dxa" w:w="80"/>
              <w:right w:type="dxa" w:w="100"/>
            </w:tcMar>
          </w:tcPr>
          <w:p>
            <w:r>
              <w:rPr>
                <w:b w:val="false"/>
                <w:bCs w:val="false"/>
                <w:sz w:val="19"/>
                <w:szCs w:val="19"/>
              </w:rPr>
              <w:t xml:space="preserve">Medium</w:t>
            </w:r>
          </w:p>
        </w:tc>
        <w:tc>
          <w:tcPr>
            <w:tcW w:type="dxa" w:w="2900"/>
            <w:tcMar>
              <w:top w:type="dxa" w:w="80"/>
              <w:left w:type="dxa" w:w="100"/>
              <w:bottom w:type="dxa" w:w="80"/>
              <w:right w:type="dxa" w:w="100"/>
            </w:tcMar>
          </w:tcPr>
          <w:p>
            <w:r>
              <w:rPr>
                <w:b w:val="false"/>
                <w:bCs w:val="false"/>
                <w:sz w:val="19"/>
                <w:szCs w:val="19"/>
              </w:rPr>
              <w:t xml:space="preserve">Dual-channel notification (SMS + push); delivery receipts monitored</w:t>
            </w:r>
          </w:p>
        </w:tc>
        <w:tc>
          <w:tcPr>
            <w:tcW w:type="dxa" w:w="2100"/>
            <w:tcMar>
              <w:top w:type="dxa" w:w="80"/>
              <w:left w:type="dxa" w:w="100"/>
              <w:bottom w:type="dxa" w:w="80"/>
              <w:right w:type="dxa" w:w="100"/>
            </w:tcMar>
          </w:tcPr>
          <w:p>
            <w:r>
              <w:rPr>
                <w:b w:val="false"/>
                <w:bCs w:val="false"/>
                <w:sz w:val="19"/>
                <w:szCs w:val="19"/>
              </w:rPr>
              <w:t xml:space="preserve">In-app status always available even if SMS fails; retry queue for failed sends</w:t>
            </w:r>
          </w:p>
        </w:tc>
      </w:tr>
      <w:tr>
        <w:tc>
          <w:tcPr>
            <w:tcW w:type="dxa" w:w="2600"/>
            <w:shd w:fill="EAF3EE" w:val="clear"/>
            <w:tcMar>
              <w:top w:type="dxa" w:w="80"/>
              <w:left w:type="dxa" w:w="100"/>
              <w:bottom w:type="dxa" w:w="80"/>
              <w:right w:type="dxa" w:w="100"/>
            </w:tcMar>
          </w:tcPr>
          <w:p>
            <w:r>
              <w:rPr>
                <w:b w:val="false"/>
                <w:bCs w:val="false"/>
                <w:sz w:val="19"/>
                <w:szCs w:val="19"/>
              </w:rPr>
              <w:t xml:space="preserve">R6 — PII leak via admin console or logs</w:t>
            </w:r>
          </w:p>
        </w:tc>
        <w:tc>
          <w:tcPr>
            <w:tcW w:type="dxa" w:w="1100"/>
            <w:shd w:fill="EAF3EE" w:val="clear"/>
            <w:tcMar>
              <w:top w:type="dxa" w:w="80"/>
              <w:left w:type="dxa" w:w="100"/>
              <w:bottom w:type="dxa" w:w="80"/>
              <w:right w:type="dxa" w:w="100"/>
            </w:tcMar>
          </w:tcPr>
          <w:p>
            <w:r>
              <w:rPr>
                <w:b w:val="false"/>
                <w:bCs w:val="false"/>
                <w:sz w:val="19"/>
                <w:szCs w:val="19"/>
              </w:rPr>
              <w:t xml:space="preserve">Low</w:t>
            </w:r>
          </w:p>
        </w:tc>
        <w:tc>
          <w:tcPr>
            <w:tcW w:type="dxa" w:w="1100"/>
            <w:shd w:fill="EAF3EE" w:val="clear"/>
            <w:tcMar>
              <w:top w:type="dxa" w:w="80"/>
              <w:left w:type="dxa" w:w="100"/>
              <w:bottom w:type="dxa" w:w="80"/>
              <w:right w:type="dxa" w:w="100"/>
            </w:tcMar>
          </w:tcPr>
          <w:p>
            <w:r>
              <w:rPr>
                <w:b w:val="false"/>
                <w:bCs w:val="false"/>
                <w:sz w:val="19"/>
                <w:szCs w:val="19"/>
              </w:rPr>
              <w:t xml:space="preserve">High</w:t>
            </w:r>
          </w:p>
        </w:tc>
        <w:tc>
          <w:tcPr>
            <w:tcW w:type="dxa" w:w="2900"/>
            <w:shd w:fill="EAF3EE" w:val="clear"/>
            <w:tcMar>
              <w:top w:type="dxa" w:w="80"/>
              <w:left w:type="dxa" w:w="100"/>
              <w:bottom w:type="dxa" w:w="80"/>
              <w:right w:type="dxa" w:w="100"/>
            </w:tcMar>
          </w:tcPr>
          <w:p>
            <w:r>
              <w:rPr>
                <w:b w:val="false"/>
                <w:bCs w:val="false"/>
                <w:sz w:val="19"/>
                <w:szCs w:val="19"/>
              </w:rPr>
              <w:t xml:space="preserve">Field-level masking, access logging, no PII in application logs</w:t>
            </w:r>
          </w:p>
        </w:tc>
        <w:tc>
          <w:tcPr>
            <w:tcW w:type="dxa" w:w="2100"/>
            <w:shd w:fill="EAF3EE" w:val="clear"/>
            <w:tcMar>
              <w:top w:type="dxa" w:w="80"/>
              <w:left w:type="dxa" w:w="100"/>
              <w:bottom w:type="dxa" w:w="80"/>
              <w:right w:type="dxa" w:w="100"/>
            </w:tcMar>
          </w:tcPr>
          <w:p>
            <w:r>
              <w:rPr>
                <w:b w:val="false"/>
                <w:bCs w:val="false"/>
                <w:sz w:val="19"/>
                <w:szCs w:val="19"/>
              </w:rPr>
              <w:t xml:space="preserve">Automated log-scanning for accidental PII; breach-notification runbook per IT Act requirements</w:t>
            </w:r>
          </w:p>
        </w:tc>
      </w:tr>
      <w:tr>
        <w:tc>
          <w:tcPr>
            <w:tcW w:type="dxa" w:w="2600"/>
            <w:tcMar>
              <w:top w:type="dxa" w:w="80"/>
              <w:left w:type="dxa" w:w="100"/>
              <w:bottom w:type="dxa" w:w="80"/>
              <w:right w:type="dxa" w:w="100"/>
            </w:tcMar>
          </w:tcPr>
          <w:p>
            <w:r>
              <w:rPr>
                <w:b w:val="false"/>
                <w:bCs w:val="false"/>
                <w:sz w:val="19"/>
                <w:szCs w:val="19"/>
              </w:rPr>
              <w:t xml:space="preserve">R7 — Duplicate-case detection false positive suppresses a real case</w:t>
            </w:r>
          </w:p>
        </w:tc>
        <w:tc>
          <w:tcPr>
            <w:tcW w:type="dxa" w:w="1100"/>
            <w:tcMar>
              <w:top w:type="dxa" w:w="80"/>
              <w:left w:type="dxa" w:w="100"/>
              <w:bottom w:type="dxa" w:w="80"/>
              <w:right w:type="dxa" w:w="100"/>
            </w:tcMar>
          </w:tcPr>
          <w:p>
            <w:r>
              <w:rPr>
                <w:b w:val="false"/>
                <w:bCs w:val="false"/>
                <w:sz w:val="19"/>
                <w:szCs w:val="19"/>
              </w:rPr>
              <w:t xml:space="preserve">Medium</w:t>
            </w:r>
          </w:p>
        </w:tc>
        <w:tc>
          <w:tcPr>
            <w:tcW w:type="dxa" w:w="1100"/>
            <w:tcMar>
              <w:top w:type="dxa" w:w="80"/>
              <w:left w:type="dxa" w:w="100"/>
              <w:bottom w:type="dxa" w:w="80"/>
              <w:right w:type="dxa" w:w="100"/>
            </w:tcMar>
          </w:tcPr>
          <w:p>
            <w:r>
              <w:rPr>
                <w:b w:val="false"/>
                <w:bCs w:val="false"/>
                <w:sz w:val="19"/>
                <w:szCs w:val="19"/>
              </w:rPr>
              <w:t xml:space="preserve">Medium</w:t>
            </w:r>
          </w:p>
        </w:tc>
        <w:tc>
          <w:tcPr>
            <w:tcW w:type="dxa" w:w="2900"/>
            <w:tcMar>
              <w:top w:type="dxa" w:w="80"/>
              <w:left w:type="dxa" w:w="100"/>
              <w:bottom w:type="dxa" w:w="80"/>
              <w:right w:type="dxa" w:w="100"/>
            </w:tcMar>
          </w:tcPr>
          <w:p>
            <w:r>
              <w:rPr>
                <w:b w:val="false"/>
                <w:bCs w:val="false"/>
                <w:sz w:val="19"/>
                <w:szCs w:val="19"/>
              </w:rPr>
              <w:t xml:space="preserve">De-duplication requires both geo-tag proximity and time-window match, not either alone</w:t>
            </w:r>
          </w:p>
        </w:tc>
        <w:tc>
          <w:tcPr>
            <w:tcW w:type="dxa" w:w="2100"/>
            <w:tcMar>
              <w:top w:type="dxa" w:w="80"/>
              <w:left w:type="dxa" w:w="100"/>
              <w:bottom w:type="dxa" w:w="80"/>
              <w:right w:type="dxa" w:w="100"/>
            </w:tcMar>
          </w:tcPr>
          <w:p>
            <w:r>
              <w:rPr>
                <w:b w:val="false"/>
                <w:bCs w:val="false"/>
                <w:sz w:val="19"/>
                <w:szCs w:val="19"/>
              </w:rPr>
              <w:t xml:space="preserve">Citizen can explicitly mark 'this is a new/different case' to force a fresh entry</w:t>
            </w:r>
          </w:p>
        </w:tc>
      </w:tr>
    </w:tbl>
    <w:p>
      <w:pPr>
        <w:pStyle w:val="Heading1"/>
        <w:spacing w:after="160" w:before="320"/>
      </w:pPr>
      <w:r>
        <w:t xml:space="preserve">7. Defect Management &amp; Reporting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000"/>
      </w:tblGrid>
      <w:tr>
        <w:trPr>
          <w:tblHeader/>
        </w:trPr>
        <w:tc>
          <w:tcPr>
            <w:tcW w:type="dxa" w:w="2400"/>
            <w:shd w:fill="2E5B4C" w:val="clear"/>
            <w:tcMar>
              <w:top w:type="dxa" w:w="80"/>
              <w:left w:type="dxa" w:w="100"/>
              <w:bottom w:type="dxa" w:w="80"/>
              <w:right w:type="dxa" w:w="100"/>
            </w:tcMar>
          </w:tcPr>
          <w:p>
            <w:r>
              <w:rPr>
                <w:b/>
                <w:bCs/>
                <w:color w:val="FFFFFF"/>
                <w:sz w:val="19"/>
                <w:szCs w:val="19"/>
              </w:rPr>
              <w:t xml:space="preserve">Severity</w:t>
            </w:r>
          </w:p>
        </w:tc>
        <w:tc>
          <w:tcPr>
            <w:tcW w:type="dxa" w:w="4400"/>
            <w:shd w:fill="2E5B4C" w:val="clear"/>
            <w:tcMar>
              <w:top w:type="dxa" w:w="80"/>
              <w:left w:type="dxa" w:w="100"/>
              <w:bottom w:type="dxa" w:w="80"/>
              <w:right w:type="dxa" w:w="100"/>
            </w:tcMar>
          </w:tcPr>
          <w:p>
            <w:r>
              <w:rPr>
                <w:b/>
                <w:bCs/>
                <w:color w:val="FFFFFF"/>
                <w:sz w:val="19"/>
                <w:szCs w:val="19"/>
              </w:rPr>
              <w:t xml:space="preserve">Definition</w:t>
            </w:r>
          </w:p>
        </w:tc>
        <w:tc>
          <w:tcPr>
            <w:tcW w:type="dxa" w:w="3000"/>
            <w:shd w:fill="2E5B4C" w:val="clear"/>
            <w:tcMar>
              <w:top w:type="dxa" w:w="80"/>
              <w:left w:type="dxa" w:w="100"/>
              <w:bottom w:type="dxa" w:w="80"/>
              <w:right w:type="dxa" w:w="100"/>
            </w:tcMar>
          </w:tcPr>
          <w:p>
            <w:r>
              <w:rPr>
                <w:b/>
                <w:bCs/>
                <w:color w:val="FFFFFF"/>
                <w:sz w:val="19"/>
                <w:szCs w:val="19"/>
              </w:rPr>
              <w:t xml:space="preserve">Response target</w:t>
            </w:r>
          </w:p>
        </w:tc>
      </w:tr>
      <w:tr>
        <w:tc>
          <w:tcPr>
            <w:tcW w:type="dxa" w:w="2400"/>
            <w:tcMar>
              <w:top w:type="dxa" w:w="80"/>
              <w:left w:type="dxa" w:w="100"/>
              <w:bottom w:type="dxa" w:w="80"/>
              <w:right w:type="dxa" w:w="100"/>
            </w:tcMar>
          </w:tcPr>
          <w:p>
            <w:r>
              <w:rPr>
                <w:b w:val="false"/>
                <w:bCs w:val="false"/>
                <w:sz w:val="19"/>
                <w:szCs w:val="19"/>
              </w:rPr>
              <w:t xml:space="preserve">Severity 1 — Critical</w:t>
            </w:r>
          </w:p>
        </w:tc>
        <w:tc>
          <w:tcPr>
            <w:tcW w:type="dxa" w:w="4400"/>
            <w:tcMar>
              <w:top w:type="dxa" w:w="80"/>
              <w:left w:type="dxa" w:w="100"/>
              <w:bottom w:type="dxa" w:w="80"/>
              <w:right w:type="dxa" w:w="100"/>
            </w:tcMar>
          </w:tcPr>
          <w:p>
            <w:r>
              <w:rPr>
                <w:b w:val="false"/>
                <w:bCs w:val="false"/>
                <w:sz w:val="19"/>
                <w:szCs w:val="19"/>
              </w:rPr>
              <w:t xml:space="preserve">Data breach, incorrect urgent-case triage, complete submission failure</w:t>
            </w:r>
          </w:p>
        </w:tc>
        <w:tc>
          <w:tcPr>
            <w:tcW w:type="dxa" w:w="3000"/>
            <w:tcMar>
              <w:top w:type="dxa" w:w="80"/>
              <w:left w:type="dxa" w:w="100"/>
              <w:bottom w:type="dxa" w:w="80"/>
              <w:right w:type="dxa" w:w="100"/>
            </w:tcMar>
          </w:tcPr>
          <w:p>
            <w:r>
              <w:rPr>
                <w:b w:val="false"/>
                <w:bCs w:val="false"/>
                <w:sz w:val="19"/>
                <w:szCs w:val="19"/>
              </w:rPr>
              <w:t xml:space="preserve">Fix within 4 hours, hotfix deployed same day</w:t>
            </w:r>
          </w:p>
        </w:tc>
      </w:tr>
      <w:tr>
        <w:tc>
          <w:tcPr>
            <w:tcW w:type="dxa" w:w="2400"/>
            <w:shd w:fill="EAF3EE" w:val="clear"/>
            <w:tcMar>
              <w:top w:type="dxa" w:w="80"/>
              <w:left w:type="dxa" w:w="100"/>
              <w:bottom w:type="dxa" w:w="80"/>
              <w:right w:type="dxa" w:w="100"/>
            </w:tcMar>
          </w:tcPr>
          <w:p>
            <w:r>
              <w:rPr>
                <w:b w:val="false"/>
                <w:bCs w:val="false"/>
                <w:sz w:val="19"/>
                <w:szCs w:val="19"/>
              </w:rPr>
              <w:t xml:space="preserve">Severity 2 — High</w:t>
            </w:r>
          </w:p>
        </w:tc>
        <w:tc>
          <w:tcPr>
            <w:tcW w:type="dxa" w:w="4400"/>
            <w:shd w:fill="EAF3EE" w:val="clear"/>
            <w:tcMar>
              <w:top w:type="dxa" w:w="80"/>
              <w:left w:type="dxa" w:w="100"/>
              <w:bottom w:type="dxa" w:w="80"/>
              <w:right w:type="dxa" w:w="100"/>
            </w:tcMar>
          </w:tcPr>
          <w:p>
            <w:r>
              <w:rPr>
                <w:b w:val="false"/>
                <w:bCs w:val="false"/>
                <w:sz w:val="19"/>
                <w:szCs w:val="19"/>
              </w:rPr>
              <w:t xml:space="preserve">Feature broken for a subset of users (e.g., one device type), incorrect SLA display</w:t>
            </w:r>
          </w:p>
        </w:tc>
        <w:tc>
          <w:tcPr>
            <w:tcW w:type="dxa" w:w="3000"/>
            <w:shd w:fill="EAF3EE" w:val="clear"/>
            <w:tcMar>
              <w:top w:type="dxa" w:w="80"/>
              <w:left w:type="dxa" w:w="100"/>
              <w:bottom w:type="dxa" w:w="80"/>
              <w:right w:type="dxa" w:w="100"/>
            </w:tcMar>
          </w:tcPr>
          <w:p>
            <w:r>
              <w:rPr>
                <w:b w:val="false"/>
                <w:bCs w:val="false"/>
                <w:sz w:val="19"/>
                <w:szCs w:val="19"/>
              </w:rPr>
              <w:t xml:space="preserve">Fix within 2 business days</w:t>
            </w:r>
          </w:p>
        </w:tc>
      </w:tr>
      <w:tr>
        <w:tc>
          <w:tcPr>
            <w:tcW w:type="dxa" w:w="2400"/>
            <w:tcMar>
              <w:top w:type="dxa" w:w="80"/>
              <w:left w:type="dxa" w:w="100"/>
              <w:bottom w:type="dxa" w:w="80"/>
              <w:right w:type="dxa" w:w="100"/>
            </w:tcMar>
          </w:tcPr>
          <w:p>
            <w:r>
              <w:rPr>
                <w:b w:val="false"/>
                <w:bCs w:val="false"/>
                <w:sz w:val="19"/>
                <w:szCs w:val="19"/>
              </w:rPr>
              <w:t xml:space="preserve">Severity 3 — Medium</w:t>
            </w:r>
          </w:p>
        </w:tc>
        <w:tc>
          <w:tcPr>
            <w:tcW w:type="dxa" w:w="4400"/>
            <w:tcMar>
              <w:top w:type="dxa" w:w="80"/>
              <w:left w:type="dxa" w:w="100"/>
              <w:bottom w:type="dxa" w:w="80"/>
              <w:right w:type="dxa" w:w="100"/>
            </w:tcMar>
          </w:tcPr>
          <w:p>
            <w:r>
              <w:rPr>
                <w:b w:val="false"/>
                <w:bCs w:val="false"/>
                <w:sz w:val="19"/>
                <w:szCs w:val="19"/>
              </w:rPr>
              <w:t xml:space="preserve">Usability issue, non-blocking visual bug</w:t>
            </w:r>
          </w:p>
        </w:tc>
        <w:tc>
          <w:tcPr>
            <w:tcW w:type="dxa" w:w="3000"/>
            <w:tcMar>
              <w:top w:type="dxa" w:w="80"/>
              <w:left w:type="dxa" w:w="100"/>
              <w:bottom w:type="dxa" w:w="80"/>
              <w:right w:type="dxa" w:w="100"/>
            </w:tcMar>
          </w:tcPr>
          <w:p>
            <w:r>
              <w:rPr>
                <w:b w:val="false"/>
                <w:bCs w:val="false"/>
                <w:sz w:val="19"/>
                <w:szCs w:val="19"/>
              </w:rPr>
              <w:t xml:space="preserve">Fixed in next sprint</w:t>
            </w:r>
          </w:p>
        </w:tc>
      </w:tr>
      <w:tr>
        <w:tc>
          <w:tcPr>
            <w:tcW w:type="dxa" w:w="2400"/>
            <w:shd w:fill="EAF3EE" w:val="clear"/>
            <w:tcMar>
              <w:top w:type="dxa" w:w="80"/>
              <w:left w:type="dxa" w:w="100"/>
              <w:bottom w:type="dxa" w:w="80"/>
              <w:right w:type="dxa" w:w="100"/>
            </w:tcMar>
          </w:tcPr>
          <w:p>
            <w:r>
              <w:rPr>
                <w:b w:val="false"/>
                <w:bCs w:val="false"/>
                <w:sz w:val="19"/>
                <w:szCs w:val="19"/>
              </w:rPr>
              <w:t xml:space="preserve">Severity 4 — Low</w:t>
            </w:r>
          </w:p>
        </w:tc>
        <w:tc>
          <w:tcPr>
            <w:tcW w:type="dxa" w:w="4400"/>
            <w:shd w:fill="EAF3EE" w:val="clear"/>
            <w:tcMar>
              <w:top w:type="dxa" w:w="80"/>
              <w:left w:type="dxa" w:w="100"/>
              <w:bottom w:type="dxa" w:w="80"/>
              <w:right w:type="dxa" w:w="100"/>
            </w:tcMar>
          </w:tcPr>
          <w:p>
            <w:r>
              <w:rPr>
                <w:b w:val="false"/>
                <w:bCs w:val="false"/>
                <w:sz w:val="19"/>
                <w:szCs w:val="19"/>
              </w:rPr>
              <w:t xml:space="preserve">Cosmetic issue, copy/text correction</w:t>
            </w:r>
          </w:p>
        </w:tc>
        <w:tc>
          <w:tcPr>
            <w:tcW w:type="dxa" w:w="3000"/>
            <w:shd w:fill="EAF3EE" w:val="clear"/>
            <w:tcMar>
              <w:top w:type="dxa" w:w="80"/>
              <w:left w:type="dxa" w:w="100"/>
              <w:bottom w:type="dxa" w:w="80"/>
              <w:right w:type="dxa" w:w="100"/>
            </w:tcMar>
          </w:tcPr>
          <w:p>
            <w:r>
              <w:rPr>
                <w:b w:val="false"/>
                <w:bCs w:val="false"/>
                <w:sz w:val="19"/>
                <w:szCs w:val="19"/>
              </w:rPr>
              <w:t xml:space="preserve">Backlog, batched into a future release</w:t>
            </w:r>
          </w:p>
        </w:tc>
      </w:tr>
    </w:tbl>
    <w:p>
      <w:pPr>
        <w:spacing w:after="140" w:line="300"/>
      </w:pPr>
      <w:r>
        <w:t xml:space="preserve">Defects are logged with reproduction steps, environment, and severity in the team's issue tracker (Jira/GitHub Issues), linked back to the originating test case ID where applicable, so a fix can be verified by re-running the exact test that caught it rather than a fresh manual check.</w:t>
      </w:r>
    </w:p>
    <w:p>
      <w:pPr>
        <w:pStyle w:val="Heading1"/>
        <w:spacing w:after="160" w:before="320"/>
      </w:pPr>
      <w:r>
        <w:t xml:space="preserve">8. Conclusion &amp; Next Steps</w:t>
      </w:r>
    </w:p>
    <w:p>
      <w:pPr>
        <w:spacing w:after="140" w:line="300"/>
      </w:pPr>
      <w:r>
        <w:t xml:space="preserve">This testing strategy closes the loop on the first three weeks: Week 1 defined what to build, Week 2 defined how it should look and behave, and this document defines how we'll know it's actually safe and reliable to hand to a municipal corporation. The risk-weighted approach means engineering effort goes first toward the failures that would hurt someone — a missed urgent case, a data leak, a submission outage during a genuine emergency — rather than spreading testing evenly across every feature regardless of consequence.</w:t>
      </w:r>
    </w:p>
    <w:p>
      <w:pPr>
        <w:spacing w:after="140" w:line="300"/>
      </w:pPr>
      <w:r>
        <w:t xml:space="preserve">Week 4 would move into implementation: standing up the CI pipeline described in Figure 2, writing the first batch of unit and integration tests against the case-engine API, and scheduling the first ward-officer UAT session using the TC-01 through TC-07 scripts as the walkthrough guide.</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PashuMitra — QA &amp; Testing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04f3d64c04df4783f61a90c032c2b6cf1322b5a.png"/><Relationship Id="rId10" Type="http://schemas.openxmlformats.org/officeDocument/2006/relationships/image" Target="media/d815f7463dead502721a5b6ead64cd5e26da75ef.png"/><Relationship Id="rId11" Type="http://schemas.openxmlformats.org/officeDocument/2006/relationships/image" Target="media/d8812856237535e0af6faec5422459379a4a1b5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2026-08-23T11:03:14.582Z</dcterms:created>
  <dcterms:modified xsi:type="dcterms:W3CDTF">2026-08-23T11:03:14.583Z</dcterms:modified>
</cp:coreProperties>
</file>

<file path=docProps/custom.xml><?xml version="1.0" encoding="utf-8"?>
<Properties xmlns="http://schemas.openxmlformats.org/officeDocument/2006/custom-properties" xmlns:vt="http://schemas.openxmlformats.org/officeDocument/2006/docPropsVTypes"/>
</file>