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2E5B4C"/>
          <w:sz w:val="56"/>
          <w:szCs w:val="56"/>
        </w:rPr>
        <w:t xml:space="preserve">PashuMitra</w:t>
      </w:r>
    </w:p>
    <w:p>
      <w:pPr>
        <w:spacing w:after="40" w:before="120"/>
        <w:jc w:val="center"/>
      </w:pPr>
      <w:r>
        <w:rPr>
          <w:color w:val="333333"/>
          <w:sz w:val="26"/>
          <w:szCs w:val="26"/>
        </w:rPr>
        <w:t xml:space="preserve">A Ward-Level Stray Animal Grievance &amp; Care Coordination Platform</w:t>
      </w:r>
    </w:p>
    <w:p>
      <w:pPr>
        <w:spacing w:after="400" w:before="40"/>
        <w:jc w:val="center"/>
      </w:pPr>
      <w:r>
        <w:rPr>
          <w:i/>
          <w:iCs/>
          <w:color w:val="666666"/>
          <w:sz w:val="22"/>
          <w:szCs w:val="22"/>
        </w:rPr>
        <w:t xml:space="preserve">An E-Governance Digital Service for Urban Local Bodies</w:t>
      </w:r>
    </w:p>
    <w:p>
      <w:pPr>
        <w:spacing w:before="700"/>
        <w:jc w:val="center"/>
      </w:pPr>
      <w:r>
        <w:rPr>
          <w:b/>
          <w:bCs/>
          <w:sz w:val="22"/>
          <w:szCs w:val="22"/>
        </w:rPr>
        <w:t xml:space="preserve">Week 1 Submission — Planning &amp; Requirements Analysis</w:t>
      </w:r>
    </w:p>
    <w:p>
      <w:pPr>
        <w:spacing w:before="80"/>
        <w:jc w:val="center"/>
      </w:pPr>
      <w:r>
        <w:rPr>
          <w:color w:val="666666"/>
          <w:sz w:val="20"/>
          <w:szCs w:val="20"/>
        </w:rPr>
        <w:t xml:space="preserve">Role: Junior Web Developer (Virtual Internship)</w:t>
      </w:r>
    </w:p>
    <w:p>
      <w:pPr>
        <w:spacing w:before="80"/>
        <w:jc w:val="center"/>
      </w:pPr>
      <w:r>
        <w:rPr>
          <w:color w:val="666666"/>
          <w:sz w:val="20"/>
          <w:szCs w:val="20"/>
        </w:rPr>
        <w:t xml:space="preserve">Prepared by: Bhoomi  |  B.Tech CSE, IILM University, Greater Noida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Project Overview</w:t>
      </w:r>
    </w:p>
    <w:p>
      <w:pPr>
        <w:spacing w:after="140" w:line="300"/>
      </w:pPr>
      <w:r>
        <w:t xml:space="preserve">Most Indian city grievance apps treat every civic complaint the same way — a pothole, a garbage pile, and a dog bite all end up in one generic queue. Stray animal management is different: it involves a live, moving subject, a legal framework (the Animal Birth Control Rules, 2023), multiple actors who don't normally talk to each other (municipal ward staff, AWBI-recognised NGOs, veterinary teams, and residents who feed or foster the animals), and a Supreme Court-driven urgency around dog-bite and rabies incidents. This project scopes a focused e-governance platform — PashuMitra ("friend of animals") — that a municipal corporation could deploy as a dedicated module within its existing citizen-services stack.</w:t>
      </w:r>
    </w:p>
    <w:p>
      <w:pPr>
        <w:spacing w:after="140" w:line="300"/>
      </w:pPr>
      <w:r>
        <w:t xml:space="preserve">PashuMitra sits at the intersection of two things I already care about: writing production-grade backend systems, and a long-standing idea I've had for a stray-dog rescue coordination tool. Rather than design "a generic government portal," this plan treats the ABC Rules, 2023 workflow — capture, sterilise, vaccinate, release/shelter — as the actual backbone of the system, because that is the legal process local bodies are already required to follow.</w:t>
      </w:r>
    </w:p>
    <w:p>
      <w:pPr>
        <w:pStyle w:val="Heading2"/>
        <w:spacing w:after="120" w:before="240"/>
      </w:pPr>
      <w:r>
        <w:t xml:space="preserve">1.1 Why this problem, and why 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India has an estimated tens of millions of stray dogs, and rabies deaths from bites remain a serious public-health concern — which is why the Central Government replaced the 2001 rules with the ABC Rules, 2023 and pushed local bodies to formalise complaint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municipal corporations (Panvel, Chandigarh, Delhi/MCD) have separately been asked to set up helplines, feeding-point registries, and shelters — but each is doing it as a one-off app or phone line, not a shared, replicable digital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Residents who feed community dogs are legally protected but frequently harassed; a transparent, logged system protects both feeders and complainants.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a realistic first e-governance module for a Tier-2/3 municipal corporation to pilot, because the workflow is bounded (one animal, one case, one legal process) compared to something like full property-tax digitisation.</w:t>
      </w:r>
    </w:p>
    <w:p>
      <w:pPr>
        <w:pStyle w:val="Heading1"/>
        <w:spacing w:after="160" w:before="320"/>
      </w:pPr>
      <w:r>
        <w:t xml:space="preserve">2. Goals &amp; Objectives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800"/>
      </w:tblGrid>
      <w:tr>
        <w:trPr>
          <w:tblHeader/>
        </w:trPr>
        <w:tc>
          <w:tcPr>
            <w:tcW w:type="dxa" w:w="46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48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Success Measure (Year 1 target)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Cut average case-closure time for stray animal complaints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From ~10–15 days (informal helpline) to under 4 days</w:t>
            </w:r>
          </w:p>
        </w:tc>
      </w:tr>
      <w:tr>
        <w:tc>
          <w:tcPr>
            <w:tcW w:type="dxa" w:w="46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Give every case a transparent, trackable status</w:t>
            </w:r>
          </w:p>
        </w:tc>
        <w:tc>
          <w:tcPr>
            <w:tcW w:type="dxa" w:w="48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 of cases visible to the reporting citizen with live SLA timer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Make ABC Rules, 2023 compliance auditable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sterilisation/vaccination event logged with photo + vet ID</w:t>
            </w:r>
          </w:p>
        </w:tc>
      </w:tr>
      <w:tr>
        <w:tc>
          <w:tcPr>
            <w:tcW w:type="dxa" w:w="46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Protect registered feeders from harassment complaints</w:t>
            </w:r>
          </w:p>
        </w:tc>
        <w:tc>
          <w:tcPr>
            <w:tcW w:type="dxa" w:w="48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Feeding-spot registry cross-checked automatically before a harassment case is escalated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Reduce duplicate/false reports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+ geo-tag de-duplication reduces repeat tickets by 30%</w:t>
            </w:r>
          </w:p>
        </w:tc>
      </w:tr>
      <w:tr>
        <w:tc>
          <w:tcPr>
            <w:tcW w:type="dxa" w:w="46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reusable digital infrastructure</w:t>
            </w:r>
          </w:p>
        </w:tc>
        <w:tc>
          <w:tcPr>
            <w:tcW w:type="dxa" w:w="48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case-engine reused for 2 more civic modules (e.g., garbage, streetlights) within 18 months</w:t>
            </w:r>
          </w:p>
        </w:tc>
      </w:tr>
    </w:tbl>
    <w:p>
      <w:pPr>
        <w:pStyle w:val="Heading1"/>
        <w:spacing w:after="160" w:before="320"/>
      </w:pPr>
      <w:r>
        <w:t xml:space="preserve">3. Research &amp; Benchmarking</w:t>
      </w:r>
    </w:p>
    <w:p>
      <w:pPr>
        <w:spacing w:after="140" w:line="300"/>
      </w:pPr>
      <w:r>
        <w:t xml:space="preserve">Before designing features, I looked at what municipal bodies are already doing, both to avoid reinventing something and to borrow what already works for citizens.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100"/>
      </w:tblGrid>
      <w:tr>
        <w:trPr>
          <w:tblHeader/>
        </w:trPr>
        <w:tc>
          <w:tcPr>
            <w:tcW w:type="dxa" w:w="30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Existing initiative</w:t>
            </w:r>
          </w:p>
        </w:tc>
        <w:tc>
          <w:tcPr>
            <w:tcW w:type="dxa" w:w="33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well</w:t>
            </w:r>
          </w:p>
        </w:tc>
        <w:tc>
          <w:tcPr>
            <w:tcW w:type="dxa" w:w="31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Gap PashuMitra addresses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Panvel Connect App + ABC Helpline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Dedicated helpline number and app-based complaint entry; mobile vet clinics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public status tracking or SLA visibility for the citizen after filing</w:t>
            </w:r>
          </w:p>
        </w:tc>
      </w:tr>
      <w:tr>
        <w:tc>
          <w:tcPr>
            <w:tcW w:type="dxa" w:w="30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MCD ward-wise feeding points</w:t>
            </w:r>
          </w:p>
        </w:tc>
        <w:tc>
          <w:tcPr>
            <w:tcW w:type="dxa" w:w="33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Formal registry of feeding locations to reduce conflict</w:t>
            </w:r>
          </w:p>
        </w:tc>
        <w:tc>
          <w:tcPr>
            <w:tcW w:type="dxa" w:w="31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Feeding registry not linked to the complaint/harassment workflow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Chandigarh Pet &amp; Community Dog Byelaws (draft)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Residents explicitly demanded a shelter + complaint mechanism in public consultation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Confirms citizen demand for exactly this kind of digital service</w:t>
            </w:r>
          </w:p>
        </w:tc>
      </w:tr>
      <w:tr>
        <w:tc>
          <w:tcPr>
            <w:tcW w:type="dxa" w:w="30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UMANG / DigiLocker (national e-gov apps)</w:t>
            </w:r>
          </w:p>
        </w:tc>
        <w:tc>
          <w:tcPr>
            <w:tcW w:type="dxa" w:w="33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sign-on, document wallet, multi-department access from one app</w:t>
            </w:r>
          </w:p>
        </w:tc>
        <w:tc>
          <w:tcPr>
            <w:tcW w:type="dxa" w:w="31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Pattern to reuse for auth and identity, not animal-specific workflow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MyGov citizen engagement portal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Structured public consultation and feedback loops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Pattern to reuse for policy feedback on byelaws, not case tracking</w:t>
            </w:r>
          </w:p>
        </w:tc>
      </w:tr>
    </w:tbl>
    <w:p>
      <w:pPr>
        <w:spacing w:after="140" w:line="300"/>
      </w:pPr>
      <w:r>
        <w:t xml:space="preserve">Common failure pattern across the smaller municipal tools: they are built as a single mobile app front-end with no backend workflow engine behind it, so a filed complaint disappears into a WhatsApp group or a spreadsheet. The technical plan in Section 7 is designed specifically to avoid that failure mode.</w:t>
      </w:r>
    </w:p>
    <w:p>
      <w:pPr>
        <w:pStyle w:val="Heading1"/>
        <w:spacing w:after="160" w:before="320"/>
      </w:pPr>
      <w:r>
        <w:t xml:space="preserve">4. Stakeholder Analysis &amp; Personas</w:t>
      </w:r>
    </w:p>
    <w:p>
      <w:pPr>
        <w:spacing w:after="140" w:line="300"/>
      </w:pPr>
      <w:r>
        <w:t xml:space="preserve">Four personas cover the realistic range of people who would touch this system.</w:t>
      </w:r>
    </w:p>
    <w:p>
      <w:pPr>
        <w:pStyle w:val="Heading3"/>
        <w:spacing w:after="100" w:before="180"/>
      </w:pPr>
      <w:r>
        <w:t xml:space="preserve">Persona 1 — Renu, the Resident Reporter (age 34, RWA member)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Goal: report an injured or aggressive dog quickly and know someone is actually coming.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Pain point: has stopped calling the ward office because complaints "go nowhere."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Needs: one-tap photo report, visible case number, SLA countdown.</w:t>
      </w:r>
    </w:p>
    <w:p>
      <w:pPr>
        <w:pStyle w:val="Heading3"/>
        <w:spacing w:after="100" w:before="180"/>
      </w:pPr>
      <w:r>
        <w:t xml:space="preserve">Persona 2 — Iqbal, the Community Feeder (age 52, retired, feeds 6 dogs daily)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Goal: continue feeding without being reported or threatened by neighbours.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Pain point: no proof he is an "authorised" feeder under local byelaws.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Needs: a feeder registration with a digital ID/QR he can show if challenged.</w:t>
      </w:r>
    </w:p>
    <w:p>
      <w:pPr>
        <w:pStyle w:val="Heading3"/>
        <w:spacing w:after="100" w:before="180"/>
      </w:pPr>
      <w:r>
        <w:t xml:space="preserve">Persona 3 — Dr. Meenal, Veterinary Officer, ABC Centre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Goal: track which animals are due for sterilisation/vaccination and which cases are field emergencies.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Pain point: paper registers, no link between the case that came in and the animal treated.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Needs: a queue view by ward, photo-based animal ID, one-tap status update.</w:t>
      </w:r>
    </w:p>
    <w:p>
      <w:pPr>
        <w:pStyle w:val="Heading3"/>
        <w:spacing w:after="100" w:before="180"/>
      </w:pPr>
      <w:r>
        <w:t xml:space="preserve">Persona 4 — Mr. Saxena, Ward Sanitary/Executive Officer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Goal: close cases within his SLA and avoid escalation to the Commissioner's office.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Pain point: juggling animal complaints alongside garbage, drainage, and streetlight complaints in the same inbox.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Needs: auto-routing to the right NGO/vet partner, and a dashboard that separates urgent (bite/aggression) from routine (feeding dispute) cases.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1 — Stakeholder ecosystem around the PashuMitra platform</w:t>
      </w:r>
    </w:p>
    <w:p>
      <w:pPr>
        <w:pStyle w:val="Heading1"/>
        <w:spacing w:after="160" w:before="320"/>
      </w:pPr>
      <w:r>
        <w:t xml:space="preserve">5. Functional Requirements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00"/>
        <w:gridCol w:w="1600"/>
      </w:tblGrid>
      <w:tr>
        <w:trPr>
          <w:tblHeader/>
        </w:trPr>
        <w:tc>
          <w:tcPr>
            <w:tcW w:type="dxa" w:w="12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Citizen can submit a case with photo, category, geo-tag, and optional description via app, web, or IVR helpline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FR-02</w:t>
            </w:r>
          </w:p>
        </w:tc>
        <w:tc>
          <w:tcPr>
            <w:tcW w:type="dxa" w:w="66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auto-triages severity (bite/aggressive = urgent; feeding dispute/general = routine) using rule-based + basic AI classification</w:t>
            </w:r>
          </w:p>
        </w:tc>
        <w:tc>
          <w:tcPr>
            <w:tcW w:type="dxa" w:w="16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 auto-routes to the correct ward officer and nearest AWBI-recognised NGO/ABC centre based on geo-location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FR-04</w:t>
            </w:r>
          </w:p>
        </w:tc>
        <w:tc>
          <w:tcPr>
            <w:tcW w:type="dxa" w:w="66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 staff/NGO can update case status (assigned → in-progress → treated → released/sheltered → closed) with photo proof</w:t>
            </w:r>
          </w:p>
        </w:tc>
        <w:tc>
          <w:tcPr>
            <w:tcW w:type="dxa" w:w="16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FR-05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Citizen receives SMS/app notification at each status change and can rate the resolution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FR-06</w:t>
            </w:r>
          </w:p>
        </w:tc>
        <w:tc>
          <w:tcPr>
            <w:tcW w:type="dxa" w:w="66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Feeder registration module: residents can register as authorised feeders with a designated spot, generating a digital ID</w:t>
            </w:r>
          </w:p>
        </w:tc>
        <w:tc>
          <w:tcPr>
            <w:tcW w:type="dxa" w:w="16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FR-07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ward-wise dashboard showing open/closed cases, average SLA, and sterilisation counts (open data, no personal info)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FR-08</w:t>
            </w:r>
          </w:p>
        </w:tc>
        <w:tc>
          <w:tcPr>
            <w:tcW w:type="dxa" w:w="66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Duplicate-case detection using geo-tag + time-window + photo similarity</w:t>
            </w:r>
          </w:p>
        </w:tc>
        <w:tc>
          <w:tcPr>
            <w:tcW w:type="dxa" w:w="16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FR-09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console for the Commissioner's office to reassign cases, view NGO performance, and export AWBI compliance reports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FR-10</w:t>
            </w:r>
          </w:p>
        </w:tc>
        <w:tc>
          <w:tcPr>
            <w:tcW w:type="dxa" w:w="66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Multi-language interface (Hindi + English at minimum) and voice-based reporting for low-literacy users</w:t>
            </w:r>
          </w:p>
        </w:tc>
        <w:tc>
          <w:tcPr>
            <w:tcW w:type="dxa" w:w="16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FR-11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Escalation workflow: case auto-escalates to Commissioner's office if SLA is breached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FR-12</w:t>
            </w:r>
          </w:p>
        </w:tc>
        <w:tc>
          <w:tcPr>
            <w:tcW w:type="dxa" w:w="66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Integration hook for state/central AWBI reporting so sterilisation counts can feed the ₹800/dog reimbursement claim process</w:t>
            </w:r>
          </w:p>
        </w:tc>
        <w:tc>
          <w:tcPr>
            <w:tcW w:type="dxa" w:w="16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Could</w:t>
            </w:r>
          </w:p>
        </w:tc>
      </w:tr>
    </w:tbl>
    <w:p>
      <w:pPr>
        <w:pStyle w:val="Heading1"/>
        <w:spacing w:after="160" w:before="320"/>
      </w:pPr>
      <w:r>
        <w:t xml:space="preserve">6. Non-Functional Requirements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8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99.5% uptime for the citizen-facing app; helpline IVR must degrade gracefully during outages</w:t>
            </w:r>
          </w:p>
        </w:tc>
      </w:tr>
      <w:tr>
        <w:tc>
          <w:tcPr>
            <w:tcW w:type="dxa" w:w="26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8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 submission (with photo upload) completes in under 8 seconds on a 3G connection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Architecture must support one municipal corporation (≈50–100 wards) at launch, scaling to a state-wide deployment</w:t>
            </w:r>
          </w:p>
        </w:tc>
      </w:tr>
      <w:tr>
        <w:tc>
          <w:tcPr>
            <w:tcW w:type="dxa" w:w="26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 &amp; Privacy</w:t>
            </w:r>
          </w:p>
        </w:tc>
        <w:tc>
          <w:tcPr>
            <w:tcW w:type="dxa" w:w="68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Reporter phone numbers masked from NGOs/field staff; role-based access control for admin console; data encrypted in transit and at rest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WCAG 2.1 AA compliance on the web portal; screen-reader support; large-touch-target mobile UI</w:t>
            </w:r>
          </w:p>
        </w:tc>
      </w:tr>
      <w:tr>
        <w:tc>
          <w:tcPr>
            <w:tcW w:type="dxa" w:w="26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68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status change is immutably logged with timestamp and actor ID for RTI/audit requests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Interoperability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Exposes a documented REST API so the case engine can later plug into other civic modules or the state UMANG-style super-app</w:t>
            </w:r>
          </w:p>
        </w:tc>
      </w:tr>
      <w:tr>
        <w:tc>
          <w:tcPr>
            <w:tcW w:type="dxa" w:w="26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Localisation</w:t>
            </w:r>
          </w:p>
        </w:tc>
        <w:tc>
          <w:tcPr>
            <w:tcW w:type="dxa" w:w="68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 and forms available in the state's official language plus Hindi and English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Offline resilience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 staff app supports offline data capture in low-network wards, syncing when connectivity returns</w:t>
            </w:r>
          </w:p>
        </w:tc>
      </w:tr>
    </w:tbl>
    <w:p>
      <w:pPr>
        <w:pStyle w:val="Heading1"/>
        <w:spacing w:after="160" w:before="320"/>
      </w:pPr>
      <w:r>
        <w:t xml:space="preserve">7. Strategy &amp; Technical Roadmap</w:t>
      </w:r>
    </w:p>
    <w:p>
      <w:pPr>
        <w:pStyle w:val="Heading2"/>
        <w:spacing w:after="120" w:before="240"/>
      </w:pPr>
      <w:r>
        <w:t xml:space="preserve">7.1 Proposed technology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800"/>
      </w:tblGrid>
      <w:tr>
        <w:trPr>
          <w:tblHeader/>
        </w:trPr>
        <w:tc>
          <w:tcPr>
            <w:tcW w:type="dxa" w:w="24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8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Reasoning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(citizen app + web)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 Native (mobile) + React.js (web/admin)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codebase logic shared between citizen mobile app and ward-officer web console</w:t>
            </w:r>
          </w:p>
        </w:tc>
      </w:tr>
      <w:tr>
        <w:tc>
          <w:tcPr>
            <w:tcW w:type="dxa" w:w="24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3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38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Lightweight REST services, matches skillset already used for the ResumeAI project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 + PostGIS extension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Relational integrity for case records; PostGIS needed for ward/geo-fence routing</w:t>
            </w:r>
          </w:p>
        </w:tc>
      </w:tr>
      <w:tr>
        <w:tc>
          <w:tcPr>
            <w:tcW w:type="dxa" w:w="24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File/photo storage</w:t>
            </w:r>
          </w:p>
        </w:tc>
        <w:tc>
          <w:tcPr>
            <w:tcW w:type="dxa" w:w="3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 storage (S3-compatible)</w:t>
            </w:r>
          </w:p>
        </w:tc>
        <w:tc>
          <w:tcPr>
            <w:tcW w:type="dxa" w:w="38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Cheap, scalable storage for case and treatment photos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SMS gateway (for non-smartphone users) + push notifications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Reaches both smartphone and feature-phone users</w:t>
            </w:r>
          </w:p>
        </w:tc>
      </w:tr>
      <w:tr>
        <w:tc>
          <w:tcPr>
            <w:tcW w:type="dxa" w:w="24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Hosting</w:t>
            </w:r>
          </w:p>
        </w:tc>
        <w:tc>
          <w:tcPr>
            <w:tcW w:type="dxa" w:w="3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State/NIC data centre or empanelled cloud (MeitY GI Cloud "MeghRaj" panel)</w:t>
            </w:r>
          </w:p>
        </w:tc>
        <w:tc>
          <w:tcPr>
            <w:tcW w:type="dxa" w:w="38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Mandatory for most Indian government digital services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Aadhaar-linked OTP login for citizens; SSO-ready for staff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Consistent with DigiLocker/UMANG identity patterns</w:t>
            </w:r>
          </w:p>
        </w:tc>
      </w:tr>
    </w:tbl>
    <w:p>
      <w:pPr>
        <w:pStyle w:val="Heading2"/>
        <w:spacing w:after="120" w:before="240"/>
      </w:pPr>
      <w:r>
        <w:t xml:space="preserve">7.2 Phased delivery plan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200"/>
      </w:tblGrid>
      <w:tr>
        <w:trPr>
          <w:tblHeader/>
        </w:trPr>
        <w:tc>
          <w:tcPr>
            <w:tcW w:type="dxa" w:w="34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8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42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outcomes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0 — Discovery (this submission)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Weeks 1–2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Requirements, personas, wireframes, stakeholder sign-off</w:t>
            </w:r>
          </w:p>
        </w:tc>
      </w:tr>
      <w:tr>
        <w:tc>
          <w:tcPr>
            <w:tcW w:type="dxa" w:w="34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1 — Core case engine</w:t>
            </w:r>
          </w:p>
        </w:tc>
        <w:tc>
          <w:tcPr>
            <w:tcW w:type="dxa" w:w="18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Weeks 3–6</w:t>
            </w:r>
          </w:p>
        </w:tc>
        <w:tc>
          <w:tcPr>
            <w:tcW w:type="dxa" w:w="4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 → triage → route → close workflow live for one pilot ward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2 — Field &amp; NGO tools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Weeks 7–9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NGO/vet mobile app, offline sync, feeder registration</w:t>
            </w:r>
          </w:p>
        </w:tc>
      </w:tr>
      <w:tr>
        <w:tc>
          <w:tcPr>
            <w:tcW w:type="dxa" w:w="34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3 — Public dashboard &amp; escalation</w:t>
            </w:r>
          </w:p>
        </w:tc>
        <w:tc>
          <w:tcPr>
            <w:tcW w:type="dxa" w:w="18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Weeks 10–11</w:t>
            </w:r>
          </w:p>
        </w:tc>
        <w:tc>
          <w:tcPr>
            <w:tcW w:type="dxa" w:w="4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dashboard, SLA escalation, admin console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4 — Pilot rollout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Weeks 12–14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deployment across all wards of one municipal corporation</w:t>
            </w:r>
          </w:p>
        </w:tc>
      </w:tr>
      <w:tr>
        <w:tc>
          <w:tcPr>
            <w:tcW w:type="dxa" w:w="34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5 — Scale &amp; AWBI integration</w:t>
            </w:r>
          </w:p>
        </w:tc>
        <w:tc>
          <w:tcPr>
            <w:tcW w:type="dxa" w:w="18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week 14</w:t>
            </w:r>
          </w:p>
        </w:tc>
        <w:tc>
          <w:tcPr>
            <w:tcW w:type="dxa" w:w="42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Multi-city rollout, AWBI reimbursement data hook</w:t>
            </w:r>
          </w:p>
        </w:tc>
      </w:tr>
    </w:tbl>
    <w:p>
      <w:pPr>
        <w:pStyle w:val="Heading2"/>
        <w:spacing w:after="120" w:before="240"/>
      </w:pPr>
      <w:r>
        <w:t xml:space="preserve">7.3 Grievance lifecycle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2 — End-to-end case flow from citizen report to verified closure</w:t>
      </w:r>
    </w:p>
    <w:p>
      <w:pPr>
        <w:pStyle w:val="Heading2"/>
        <w:spacing w:after="120" w:before="240"/>
      </w:pPr>
      <w:r>
        <w:t xml:space="preserve">7.4 Illustrative wireframes</w:t>
      </w:r>
    </w:p>
    <w:p>
      <w:pPr>
        <w:spacing w:after="140" w:line="300"/>
      </w:pPr>
      <w:r>
        <w:t xml:space="preserve">Two low-fidelity screens sketched below illustrate the core loop a citizen goes through: filing a report, and tracking it. Both prioritise a one-tap, photo-first flow because most reporters will be using this on the street, not at a desk.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3 — Wireframes: report submission (left) and case tracker (right)</w:t>
      </w:r>
    </w:p>
    <w:p>
      <w:pPr>
        <w:pStyle w:val="Heading1"/>
        <w:spacing w:after="160" w:before="320"/>
      </w:pPr>
      <w:r>
        <w:t xml:space="preserve">8. Risk Analysis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3800"/>
      </w:tblGrid>
      <w:tr>
        <w:trPr>
          <w:tblHeader/>
        </w:trPr>
        <w:tc>
          <w:tcPr>
            <w:tcW w:type="dxa" w:w="30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3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3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800"/>
            <w:shd w:fill="2E5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NGO/ABC partner capacity is lower than case volume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rollout ward-by-ward; publish capacity-adjusted SLAs rather than a fixed number</w:t>
            </w:r>
          </w:p>
        </w:tc>
      </w:tr>
      <w:tr>
        <w:tc>
          <w:tcPr>
            <w:tcW w:type="dxa" w:w="30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 smartphone penetration among some reporters</w:t>
            </w:r>
          </w:p>
        </w:tc>
        <w:tc>
          <w:tcPr>
            <w:tcW w:type="dxa" w:w="13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8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IVR helpline + SMS fallback kept as first-class channels, not an afterthought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False or malicious reports (e.g., against a legitimate feeder)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Feeder registry cross-check + mandatory photo/geo-tag before a case can be escalated</w:t>
            </w:r>
          </w:p>
        </w:tc>
      </w:tr>
      <w:tr>
        <w:tc>
          <w:tcPr>
            <w:tcW w:type="dxa" w:w="30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privacy concerns (citizen location, phone number)</w:t>
            </w:r>
          </w:p>
        </w:tc>
        <w:tc>
          <w:tcPr>
            <w:tcW w:type="dxa" w:w="13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8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Role-based access, phone masking, encryption at rest, RTI-compliant audit logs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Inter-departmental coordination failure (municipal vs. state AWBI)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Formal MoU + API integration hook built in from Phase 5, not bolted on later</w:t>
            </w:r>
          </w:p>
        </w:tc>
      </w:tr>
      <w:tr>
        <w:tc>
          <w:tcPr>
            <w:tcW w:type="dxa" w:w="30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Budget/funding delay for shelter infrastructure</w:t>
            </w:r>
          </w:p>
        </w:tc>
        <w:tc>
          <w:tcPr>
            <w:tcW w:type="dxa" w:w="13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800"/>
            <w:shd w:fill="EA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Software rollout decoupled from physical shelter construction timeline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backlash if SLA targets are missed publicly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shows ward-level trend lines, not shaming individual officers</w:t>
            </w:r>
          </w:p>
        </w:tc>
      </w:tr>
    </w:tbl>
    <w:p>
      <w:pPr>
        <w:pStyle w:val="Heading1"/>
        <w:spacing w:after="160" w:before="320"/>
      </w:pPr>
      <w:r>
        <w:t xml:space="preserve">9. Conclusion &amp; Next Steps</w:t>
      </w:r>
    </w:p>
    <w:p>
      <w:pPr>
        <w:spacing w:after="140" w:line="300"/>
      </w:pPr>
      <w:r>
        <w:t xml:space="preserve">PashuMitra is deliberately scoped as one well-defined civic workflow rather than a sprawling "smart city" platform, because that is what actually gets piloted and approved by a municipal corporation in a realistic timeframe. The ABC Rules, 2023 already define the legal process; this plan simply gives that process a shared, transparent, and auditable digital backbone — reusing patterns from DigiLocker/UMANG for identity and MyGov for public feedback, while addressing the specific coordination gap between citizens, ward officers, and NGOs that the benchmarking in Section 3 surfaced.</w:t>
      </w:r>
    </w:p>
    <w:p>
      <w:pPr>
        <w:spacing w:after="140" w:line="300"/>
      </w:pPr>
      <w:r>
        <w:t xml:space="preserve">Immediate next steps for Week 2 would be: validating FR-01 through FR-05 with an actual ward office, converting the wireframes in Figure 3 into a clickable prototype, and finalising the PostGIS ward-boundary data needed for auto-routing (FR-03).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PashuMitra — E-Governance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4775d475f0c7fe76c1a0ba1ba99aef10812fae4.png"/><Relationship Id="rId10" Type="http://schemas.openxmlformats.org/officeDocument/2006/relationships/image" Target="media/15af775abab15813f800216a3ec8fe3578482e4c.png"/><Relationship Id="rId11" Type="http://schemas.openxmlformats.org/officeDocument/2006/relationships/image" Target="media/34cd0bbe8130288fd9422a37243641a4fbea099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2026-07-29T15:57:12.065Z</dcterms:created>
  <dcterms:modified xsi:type="dcterms:W3CDTF">2026-07-29T15:57:12.085Z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