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6236"/>
        <w:gridCol w:w="3402"/>
      </w:tblGrid>
      <w:tr>
        <w:tc>
          <w:tcPr>
            <w:tcW w:type="dxa" w:w="4819"/>
            <w:tcMar>
              <w:top w:w="0" w:type="dxa"/>
              <w:bottom w:w="0" w:type="dxa"/>
              <w:start w:w="0" w:type="dxa"/>
              <w:end w:w="0" w:type="dxa"/>
              <w:left w:w="0" w:type="dxa"/>
              <w:right w:w="0" w:type="dxa"/>
            </w:tcMar>
          </w:tcPr>
          <w:p>
            <w:pPr>
              <w:spacing w:after="0"/>
            </w:pPr>
            <w:r>
              <w:drawing>
                <wp:inline xmlns:a="http://schemas.openxmlformats.org/drawingml/2006/main" xmlns:pic="http://schemas.openxmlformats.org/drawingml/2006/picture">
                  <wp:extent cx="849338" cy="342000"/>
                  <wp:docPr id="1" name="Picture 1"/>
                  <wp:cNvGraphicFramePr>
                    <a:graphicFrameLocks noChangeAspect="1"/>
                  </wp:cNvGraphicFramePr>
                  <a:graphic>
                    <a:graphicData uri="http://schemas.openxmlformats.org/drawingml/2006/picture">
                      <pic:pic>
                        <pic:nvPicPr>
                          <pic:cNvPr id="0" name="bubu_logo.png"/>
                          <pic:cNvPicPr/>
                        </pic:nvPicPr>
                        <pic:blipFill>
                          <a:blip r:embed="rId9"/>
                          <a:stretch>
                            <a:fillRect/>
                          </a:stretch>
                        </pic:blipFill>
                        <pic:spPr>
                          <a:xfrm>
                            <a:off x="0" y="0"/>
                            <a:ext cx="849338" cy="342000"/>
                          </a:xfrm>
                          <a:prstGeom prst="rect"/>
                        </pic:spPr>
                      </pic:pic>
                    </a:graphicData>
                  </a:graphic>
                </wp:inline>
              </w:drawing>
            </w:r>
          </w:p>
        </w:tc>
        <w:tc>
          <w:tcPr>
            <w:tcW w:type="dxa" w:w="4819"/>
            <w:vAlign w:val="center"/>
            <w:tcMar>
              <w:top w:w="0" w:type="dxa"/>
              <w:bottom w:w="0" w:type="dxa"/>
              <w:start w:w="0" w:type="dxa"/>
              <w:end w:w="0" w:type="dxa"/>
              <w:left w:w="0" w:type="dxa"/>
              <w:right w:w="0" w:type="dxa"/>
            </w:tcMar>
          </w:tcPr>
          <w:p>
            <w:pPr>
              <w:spacing w:after="0"/>
              <w:jc w:val="right"/>
            </w:pPr>
            <w:r>
              <w:rPr>
                <w:rFonts w:ascii="Bebas Neue" w:hAnsi="Bebas Neue" w:cs="Bebas Neue"/>
                <w:b w:val="0"/>
                <w:caps w:val="0"/>
                <w:color w:val="FF5900"/>
                <w:sz w:val="26"/>
                <w:spacing w:val="20"/>
              </w:rPr>
              <w:t>EXTERNAL MEETING</w:t>
            </w:r>
          </w:p>
        </w:tc>
      </w:tr>
    </w:tbl>
    <w:p>
      <w:pPr>
        <w:spacing w:before="0" w:after="0" w:line="200" w:lineRule="exact"/>
      </w:pP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FF5900"/>
            <w:tcMar>
              <w:top w:w="150" w:type="dxa"/>
              <w:bottom w:w="150" w:type="dxa"/>
              <w:start w:w="220" w:type="dxa"/>
              <w:end w:w="160" w:type="dxa"/>
              <w:left w:w="220" w:type="dxa"/>
              <w:right w:w="160" w:type="dxa"/>
            </w:tcMar>
          </w:tcPr>
          <w:p>
            <w:pPr>
              <w:spacing w:after="0" w:line="228" w:lineRule="auto"/>
            </w:pPr>
            <w:r>
              <w:rPr>
                <w:rFonts w:ascii="Bebas Neue" w:hAnsi="Bebas Neue" w:cs="Bebas Neue"/>
                <w:b w:val="0"/>
                <w:caps w:val="0"/>
                <w:color w:val="FFFFFF"/>
                <w:sz w:val="60"/>
                <w:spacing w:val="20"/>
              </w:rPr>
              <w:t>MINUTES OF MEETING</w:t>
            </w:r>
          </w:p>
        </w:tc>
      </w:tr>
    </w:tbl>
    <w:p>
      <w:pPr>
        <w:spacing w:before="0" w:after="120" w:line="269"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2409"/>
        <w:gridCol w:w="2409"/>
        <w:gridCol w:w="2409"/>
        <w:gridCol w:w="2409"/>
      </w:tblGrid>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CATEGORY</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Discovery &amp; Strategic</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MEETING</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Strategic Alignment – MyPertamina Urban Stamp Rally Loyalty Program</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DATE</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TBC</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LOCATION / PLATFORM</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TBC</w:t>
            </w:r>
          </w:p>
        </w:tc>
      </w:tr>
      <w:tr>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CLIENT</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MyPertamina (PT Pertamina Patra Niaga)</w:t>
            </w:r>
          </w:p>
        </w:tc>
        <w:tc>
          <w:tcPr>
            <w:tcW w:type="dxa" w:w="1928"/>
            <w:tcMar>
              <w:top w:w="70" w:type="dxa"/>
              <w:bottom w:w="70" w:type="dxa"/>
              <w:start w:w="40" w:type="dxa"/>
              <w:end w:w="80" w:type="dxa"/>
              <w:left w:w="40" w:type="dxa"/>
              <w:right w:w="80" w:type="dxa"/>
            </w:tcMar>
            <w:shd w:val="clear" w:color="auto" w:fill="F5F4F2"/>
          </w:tcPr>
          <w:p>
            <w:pPr>
              <w:spacing w:after="0"/>
            </w:pPr>
            <w:r>
              <w:rPr>
                <w:rFonts w:ascii="Arial" w:hAnsi="Arial" w:cs="Arial"/>
                <w:b/>
                <w:caps w:val="0"/>
                <w:color w:val="707074"/>
                <w:sz w:val="16"/>
                <w:spacing w:val="8"/>
              </w:rPr>
              <w:t>PREPARED BY</w:t>
            </w:r>
          </w:p>
        </w:tc>
        <w:tc>
          <w:tcPr>
            <w:tcW w:type="dxa" w:w="2891"/>
            <w:tcMar>
              <w:top w:w="70" w:type="dxa"/>
              <w:bottom w:w="70" w:type="dxa"/>
              <w:start w:w="40" w:type="dxa"/>
              <w:end w:w="120" w:type="dxa"/>
              <w:left w:w="40" w:type="dxa"/>
              <w:right w:w="120" w:type="dxa"/>
            </w:tcMar>
            <w:shd w:val="clear" w:color="auto" w:fill="F5F4F2"/>
          </w:tcPr>
          <w:p>
            <w:pPr>
              <w:spacing w:after="0"/>
            </w:pPr>
            <w:r>
              <w:rPr>
                <w:rFonts w:ascii="Arial" w:hAnsi="Arial" w:cs="Arial"/>
                <w:b w:val="0"/>
                <w:caps w:val="0"/>
                <w:color w:val="141416"/>
                <w:sz w:val="20"/>
              </w:rPr>
              <w:t>BUBU</w:t>
            </w: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PARTICIPANTS</w:t>
      </w: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10"/>
        <w:gridCol w:w="3175"/>
        <w:gridCol w:w="3118"/>
        <w:gridCol w:w="2835"/>
      </w:tblGrid>
      <w:tr>
        <w:tc>
          <w:tcPr>
            <w:tcW w:type="dxa" w:w="510"/>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3175"/>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NAME</w:t>
            </w:r>
          </w:p>
        </w:tc>
        <w:tc>
          <w:tcPr>
            <w:tcW w:type="dxa" w:w="3118"/>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ROLE</w:t>
            </w:r>
          </w:p>
        </w:tc>
        <w:tc>
          <w:tcPr>
            <w:tcW w:type="dxa" w:w="2835"/>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ORGANIZATION</w:t>
            </w:r>
          </w:p>
        </w:tc>
      </w:tr>
      <w:tr>
        <w:tc>
          <w:tcPr>
            <w:tcW w:type="dxa" w:w="510"/>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1</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Pungkas Riandika</w:t>
            </w:r>
          </w:p>
        </w:tc>
        <w:tc>
          <w:tcPr>
            <w:tcW w:type="dxa" w:w="311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Cultural Intelligence Officer</w:t>
            </w:r>
          </w:p>
        </w:tc>
        <w:tc>
          <w:tcPr>
            <w:tcW w:type="dxa" w:w="283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BUBU</w:t>
            </w:r>
          </w:p>
        </w:tc>
      </w:tr>
      <w:tr>
        <w:tc>
          <w:tcPr>
            <w:tcW w:type="dxa" w:w="510"/>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2</w:t>
            </w:r>
          </w:p>
        </w:tc>
        <w:tc>
          <w:tcPr>
            <w:tcW w:type="dxa" w:w="317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Fauzan Hammy</w:t>
            </w:r>
          </w:p>
        </w:tc>
        <w:tc>
          <w:tcPr>
            <w:tcW w:type="dxa" w:w="3118"/>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Lead Business &amp; Innovation</w:t>
            </w:r>
          </w:p>
        </w:tc>
        <w:tc>
          <w:tcPr>
            <w:tcW w:type="dxa" w:w="283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BUBU</w:t>
            </w: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EXECUTIVE SUMMARY</w:t>
      </w:r>
    </w:p>
    <w:p>
      <w:pPr>
        <w:spacing w:before="0" w:after="0" w:line="336" w:lineRule="auto"/>
      </w:pPr>
      <w:r>
        <w:rPr>
          <w:rFonts w:ascii="Arial" w:hAnsi="Arial" w:cs="Arial"/>
          <w:b w:val="0"/>
          <w:caps w:val="0"/>
          <w:color w:val="141416"/>
          <w:sz w:val="21"/>
        </w:rPr>
        <w:t>MyPertamina dan BUBU sepakat mengembangkan Urban Stamp Rally, yaitu program kumpul stamp di aplikasi MyPertamina yang dibuat lebih seru lewat unsur permainan, dan diposisikan sebagai fitur tambahan, bukan pengganti program loyalty yang sudah berjalan. Ada tiga kesepakatan utama: setiap pengguna dibatasi maksimal 2 stamp per hari agar adil, hadiah dihubungkan dengan Road to MotoGP Mandalika supaya lebih menarik daripada sekadar promo, dan fitur review pelanggan diperluas hingga ke tenant di area SPBU. Dua hal yang perlu dibereskan lebih dulu adalah cara memvalidasi transaksi BBM non-subsidi (motor vs mobil) dan koordinasi dengan tenant di SPBU pilot, yang ditindaklanjuti lewat rangkaian workshop selama empat minggu sampai menghasilkan blueprint untuk program pilot.</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AGENDA</w:t>
      </w:r>
    </w:p>
    <w:p>
      <w:pPr>
        <w:spacing w:after="100" w:line="317" w:lineRule="auto"/>
        <w:ind w:left="397"/>
      </w:pPr>
      <w:r>
        <w:rPr>
          <w:rFonts w:ascii="Arial" w:hAnsi="Arial" w:cs="Arial"/>
          <w:b/>
          <w:caps w:val="0"/>
          <w:color w:val="FF5900"/>
          <w:sz w:val="21"/>
        </w:rPr>
        <w:t xml:space="preserve">1.  </w:t>
      </w:r>
      <w:r>
        <w:rPr>
          <w:rFonts w:ascii="Arial" w:hAnsi="Arial" w:cs="Arial"/>
          <w:b w:val="0"/>
          <w:caps w:val="0"/>
          <w:color w:val="141416"/>
          <w:sz w:val="21"/>
        </w:rPr>
        <w:t>Program Vision &amp; Strategic Direction</w:t>
      </w:r>
    </w:p>
    <w:p>
      <w:pPr>
        <w:spacing w:after="100" w:line="317" w:lineRule="auto"/>
        <w:ind w:left="397"/>
      </w:pPr>
      <w:r>
        <w:rPr>
          <w:rFonts w:ascii="Arial" w:hAnsi="Arial" w:cs="Arial"/>
          <w:b/>
          <w:caps w:val="0"/>
          <w:color w:val="FF5900"/>
          <w:sz w:val="21"/>
        </w:rPr>
        <w:t xml:space="preserve">2.  </w:t>
      </w:r>
      <w:r>
        <w:rPr>
          <w:rFonts w:ascii="Arial" w:hAnsi="Arial" w:cs="Arial"/>
          <w:b w:val="0"/>
          <w:caps w:val="0"/>
          <w:color w:val="141416"/>
          <w:sz w:val="21"/>
        </w:rPr>
        <w:t>Customer Journey &amp; Participation Flow</w:t>
      </w:r>
    </w:p>
    <w:p>
      <w:pPr>
        <w:spacing w:after="100" w:line="317" w:lineRule="auto"/>
        <w:ind w:left="397"/>
      </w:pPr>
      <w:r>
        <w:rPr>
          <w:rFonts w:ascii="Arial" w:hAnsi="Arial" w:cs="Arial"/>
          <w:b/>
          <w:caps w:val="0"/>
          <w:color w:val="FF5900"/>
          <w:sz w:val="21"/>
        </w:rPr>
        <w:t xml:space="preserve">3.  </w:t>
      </w:r>
      <w:r>
        <w:rPr>
          <w:rFonts w:ascii="Arial" w:hAnsi="Arial" w:cs="Arial"/>
          <w:b w:val="0"/>
          <w:caps w:val="0"/>
          <w:color w:val="141416"/>
          <w:sz w:val="21"/>
        </w:rPr>
        <w:t>Transaction Validation Framework</w:t>
      </w:r>
    </w:p>
    <w:p>
      <w:pPr>
        <w:spacing w:after="100" w:line="317" w:lineRule="auto"/>
        <w:ind w:left="397"/>
      </w:pPr>
      <w:r>
        <w:rPr>
          <w:rFonts w:ascii="Arial" w:hAnsi="Arial" w:cs="Arial"/>
          <w:b/>
          <w:caps w:val="0"/>
          <w:color w:val="FF5900"/>
          <w:sz w:val="21"/>
        </w:rPr>
        <w:t xml:space="preserve">4.  </w:t>
      </w:r>
      <w:r>
        <w:rPr>
          <w:rFonts w:ascii="Arial" w:hAnsi="Arial" w:cs="Arial"/>
          <w:b w:val="0"/>
          <w:caps w:val="0"/>
          <w:color w:val="141416"/>
          <w:sz w:val="21"/>
        </w:rPr>
        <w:t>Stamp System &amp; Gamification</w:t>
      </w:r>
    </w:p>
    <w:p>
      <w:pPr>
        <w:spacing w:after="100" w:line="317" w:lineRule="auto"/>
        <w:ind w:left="397"/>
      </w:pPr>
      <w:r>
        <w:rPr>
          <w:rFonts w:ascii="Arial" w:hAnsi="Arial" w:cs="Arial"/>
          <w:b/>
          <w:caps w:val="0"/>
          <w:color w:val="FF5900"/>
          <w:sz w:val="21"/>
        </w:rPr>
        <w:t xml:space="preserve">5.  </w:t>
      </w:r>
      <w:r>
        <w:rPr>
          <w:rFonts w:ascii="Arial" w:hAnsi="Arial" w:cs="Arial"/>
          <w:b w:val="0"/>
          <w:caps w:val="0"/>
          <w:color w:val="141416"/>
          <w:sz w:val="21"/>
        </w:rPr>
        <w:t>Customer Experience Integration</w:t>
      </w:r>
    </w:p>
    <w:p>
      <w:pPr>
        <w:spacing w:after="100" w:line="317" w:lineRule="auto"/>
        <w:ind w:left="397"/>
      </w:pPr>
      <w:r>
        <w:rPr>
          <w:rFonts w:ascii="Arial" w:hAnsi="Arial" w:cs="Arial"/>
          <w:b/>
          <w:caps w:val="0"/>
          <w:color w:val="FF5900"/>
          <w:sz w:val="21"/>
        </w:rPr>
        <w:t xml:space="preserve">6.  </w:t>
      </w:r>
      <w:r>
        <w:rPr>
          <w:rFonts w:ascii="Arial" w:hAnsi="Arial" w:cs="Arial"/>
          <w:b w:val="0"/>
          <w:caps w:val="0"/>
          <w:color w:val="141416"/>
          <w:sz w:val="21"/>
        </w:rPr>
        <w:t>SPBU Discovery &amp; Hidden Gem Strategy</w:t>
      </w:r>
    </w:p>
    <w:p>
      <w:pPr>
        <w:spacing w:after="100" w:line="317" w:lineRule="auto"/>
        <w:ind w:left="397"/>
      </w:pPr>
      <w:r>
        <w:rPr>
          <w:rFonts w:ascii="Arial" w:hAnsi="Arial" w:cs="Arial"/>
          <w:b/>
          <w:caps w:val="0"/>
          <w:color w:val="FF5900"/>
          <w:sz w:val="21"/>
        </w:rPr>
        <w:t xml:space="preserve">7.  </w:t>
      </w:r>
      <w:r>
        <w:rPr>
          <w:rFonts w:ascii="Arial" w:hAnsi="Arial" w:cs="Arial"/>
          <w:b w:val="0"/>
          <w:caps w:val="0"/>
          <w:color w:val="141416"/>
          <w:sz w:val="21"/>
        </w:rPr>
        <w:t>Road to MotoGP Mandalika Opportunity</w:t>
      </w:r>
    </w:p>
    <w:p>
      <w:pPr>
        <w:spacing w:after="100" w:line="317" w:lineRule="auto"/>
        <w:ind w:left="397"/>
      </w:pPr>
      <w:r>
        <w:rPr>
          <w:rFonts w:ascii="Arial" w:hAnsi="Arial" w:cs="Arial"/>
          <w:b/>
          <w:caps w:val="0"/>
          <w:color w:val="FF5900"/>
          <w:sz w:val="21"/>
        </w:rPr>
        <w:t xml:space="preserve">8.  </w:t>
      </w:r>
      <w:r>
        <w:rPr>
          <w:rFonts w:ascii="Arial" w:hAnsi="Arial" w:cs="Arial"/>
          <w:b w:val="0"/>
          <w:caps w:val="0"/>
          <w:color w:val="141416"/>
          <w:sz w:val="21"/>
        </w:rPr>
        <w:t>Reward Ecosystem Development</w:t>
      </w:r>
    </w:p>
    <w:p>
      <w:pPr>
        <w:spacing w:after="100" w:line="317" w:lineRule="auto"/>
        <w:ind w:left="397"/>
      </w:pPr>
      <w:r>
        <w:rPr>
          <w:rFonts w:ascii="Arial" w:hAnsi="Arial" w:cs="Arial"/>
          <w:b/>
          <w:caps w:val="0"/>
          <w:color w:val="FF5900"/>
          <w:sz w:val="21"/>
        </w:rPr>
        <w:t xml:space="preserve">9.  </w:t>
      </w:r>
      <w:r>
        <w:rPr>
          <w:rFonts w:ascii="Arial" w:hAnsi="Arial" w:cs="Arial"/>
          <w:b w:val="0"/>
          <w:caps w:val="0"/>
          <w:color w:val="141416"/>
          <w:sz w:val="21"/>
        </w:rPr>
        <w:t>Tenant Participation &amp; Ecosystem Collaboration</w:t>
      </w:r>
    </w:p>
    <w:p>
      <w:pPr>
        <w:spacing w:after="0" w:line="317" w:lineRule="auto"/>
        <w:ind w:left="397"/>
      </w:pPr>
      <w:r>
        <w:rPr>
          <w:rFonts w:ascii="Arial" w:hAnsi="Arial" w:cs="Arial"/>
          <w:b/>
          <w:caps w:val="0"/>
          <w:color w:val="FF5900"/>
          <w:sz w:val="21"/>
        </w:rPr>
        <w:t xml:space="preserve">10.  </w:t>
      </w:r>
      <w:r>
        <w:rPr>
          <w:rFonts w:ascii="Arial" w:hAnsi="Arial" w:cs="Arial"/>
          <w:b w:val="0"/>
          <w:caps w:val="0"/>
          <w:color w:val="141416"/>
          <w:sz w:val="21"/>
        </w:rPr>
        <w:t>Microsite &amp; Technical Considerations</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KEY POINTS &amp; DECISIONS</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Urban Stamp Rally adalah fitur tambahan di MyPertamina, bukan pengganti program loyalty yang sudah ada.</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Setiap pengguna maksimal mendapat 2 stamp per hari supaya adil dan sulit dicurangi.</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Program dihubungkan dengan Road to MotoGP Mandalika agar hadiahnya lebih menarik daripada sekadar promo atau diskon.</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Fitur review pelanggan diperluas dari fasilitas SPBU (toilet, mushola, totem) hingga ke tenant di area SPBU.</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Program dimulai di beberapa SPBU terpilih lebih dulu (pilot) sebelum diperluas.</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Pembahasan berikutnya fokus pada tiga hal: aturan main, paket hadiah, serta sisi teknis dan API.</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DISCUSSION</w:t>
      </w:r>
    </w:p>
    <w:p>
      <w:pPr>
        <w:spacing w:before="40" w:after="100" w:line="269" w:lineRule="auto"/>
      </w:pPr>
      <w:r>
        <w:rPr>
          <w:rFonts w:ascii="Arial" w:hAnsi="Arial" w:cs="Arial"/>
          <w:b/>
          <w:caps w:val="0"/>
          <w:color w:val="FF5900"/>
          <w:sz w:val="23"/>
        </w:rPr>
        <w:t>1. Program Vision &amp; Strategic Direction</w:t>
      </w:r>
    </w:p>
    <w:p>
      <w:pPr>
        <w:spacing w:before="0" w:after="0" w:line="336" w:lineRule="auto"/>
      </w:pPr>
      <w:r>
        <w:rPr>
          <w:rFonts w:ascii="Arial" w:hAnsi="Arial" w:cs="Arial"/>
          <w:b w:val="0"/>
          <w:caps w:val="0"/>
          <w:color w:val="141416"/>
          <w:sz w:val="21"/>
        </w:rPr>
        <w:t>Urban Stamp Rally dirancang sebagai cara baru menjaga loyalitas pelanggan yang lebih dari sekadar transaksi, dan diposisikan sebagai fitur tambahan yang melengkapi program loyalty MyPertamina yang sudah berjalan. Lewat unsur permainan, program ini mendorong pengguna lebih sering memakai aplikasi, mengunjungi lebih banyak SPBU di jaringan Pertamina, dan menikmati pengalaman yang punya tantangan, pencapaian, serta hadiah bertingkat.</w:t>
      </w:r>
    </w:p>
    <w:p>
      <w:pPr>
        <w:spacing w:before="280" w:after="100" w:line="269" w:lineRule="auto"/>
      </w:pPr>
      <w:r>
        <w:rPr>
          <w:rFonts w:ascii="Arial" w:hAnsi="Arial" w:cs="Arial"/>
          <w:b/>
          <w:caps w:val="0"/>
          <w:color w:val="FF5900"/>
          <w:sz w:val="23"/>
        </w:rPr>
        <w:t>2. Customer Journey &amp; Participation Flow</w:t>
      </w:r>
    </w:p>
    <w:p>
      <w:pPr>
        <w:spacing w:before="0" w:after="0" w:line="336" w:lineRule="auto"/>
      </w:pPr>
      <w:r>
        <w:rPr>
          <w:rFonts w:ascii="Arial" w:hAnsi="Arial" w:cs="Arial"/>
          <w:b w:val="0"/>
          <w:caps w:val="0"/>
          <w:color w:val="141416"/>
          <w:sz w:val="21"/>
        </w:rPr>
        <w:t>Alur partisipasi dibuat otomatis supaya tidak merepotkan petugas SPBU. Tahapannya:</w:t>
      </w:r>
    </w:p>
    <w:p>
      <w:pPr>
        <w:spacing w:before="80" w:after="200"/>
        <w:jc w:val="center"/>
      </w:pPr>
      <w:r>
        <w:drawing>
          <wp:inline xmlns:a="http://schemas.openxmlformats.org/drawingml/2006/main" xmlns:pic="http://schemas.openxmlformats.org/drawingml/2006/picture">
            <wp:extent cx="5940000" cy="1212245"/>
            <wp:docPr id="2" name="Picture 2"/>
            <wp:cNvGraphicFramePr>
              <a:graphicFrameLocks noChangeAspect="1"/>
            </wp:cNvGraphicFramePr>
            <a:graphic>
              <a:graphicData uri="http://schemas.openxmlformats.org/drawingml/2006/picture">
                <pic:pic>
                  <pic:nvPicPr>
                    <pic:cNvPr id="0" name="tmpiojyp_yb.png"/>
                    <pic:cNvPicPr/>
                  </pic:nvPicPr>
                  <pic:blipFill>
                    <a:blip r:embed="rId10"/>
                    <a:stretch>
                      <a:fillRect/>
                    </a:stretch>
                  </pic:blipFill>
                  <pic:spPr>
                    <a:xfrm>
                      <a:off x="0" y="0"/>
                      <a:ext cx="5940000" cy="1212245"/>
                    </a:xfrm>
                    <a:prstGeom prst="rect"/>
                  </pic:spPr>
                </pic:pic>
              </a:graphicData>
            </a:graphic>
          </wp:inline>
        </w:drawing>
      </w:r>
    </w:p>
    <w:p>
      <w:pPr>
        <w:spacing w:before="280" w:after="100" w:line="269" w:lineRule="auto"/>
      </w:pPr>
      <w:r>
        <w:rPr>
          <w:rFonts w:ascii="Arial" w:hAnsi="Arial" w:cs="Arial"/>
          <w:b/>
          <w:caps w:val="0"/>
          <w:color w:val="FF5900"/>
          <w:sz w:val="23"/>
        </w:rPr>
        <w:t>3. Transaction Validation Framework</w:t>
      </w:r>
    </w:p>
    <w:p>
      <w:pPr>
        <w:spacing w:before="0" w:after="0" w:line="336" w:lineRule="auto"/>
      </w:pPr>
      <w:r>
        <w:rPr>
          <w:rFonts w:ascii="Arial" w:hAnsi="Arial" w:cs="Arial"/>
          <w:b w:val="0"/>
          <w:caps w:val="0"/>
          <w:color w:val="141416"/>
          <w:sz w:val="21"/>
        </w:rPr>
        <w:t>Salah satu diskusi utama adalah bagaimana memastikan stamp hanya diberikan untuk transaksi yang benar-benar sah dan tidak mudah disalahgunakan.</w:t>
      </w:r>
    </w:p>
    <w:p>
      <w:pPr>
        <w:spacing w:before="0" w:after="80" w:line="317" w:lineRule="auto"/>
      </w:pPr>
      <w:r>
        <w:rPr>
          <w:rFonts w:ascii="Arial" w:hAnsi="Arial" w:cs="Arial"/>
          <w:b w:val="0"/>
          <w:caps w:val="0"/>
          <w:color w:val="141416"/>
          <w:sz w:val="21"/>
        </w:rPr>
        <w:t>Beberapa tantangan yang diidentifikasi:</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Transaksi motor dan mobil perlu dibedakan karena pola belanjanya tidak sama.</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Untuk BBM non-subsidi, saat ini belum ada cara mengenali jenis kendaraan secara otomatis.</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Ada risiko pengguna sengaja bertransaksi berulang hanya untuk mengejar stamp.</w:t>
      </w:r>
    </w:p>
    <w:p>
      <w:pPr>
        <w:spacing w:before="0" w:after="40" w:line="269"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F5F4F2"/>
            <w:tcMar>
              <w:top w:w="130" w:type="dxa"/>
              <w:bottom w:w="130" w:type="dxa"/>
              <w:start w:w="200" w:type="dxa"/>
              <w:end w:w="160" w:type="dxa"/>
              <w:left w:w="200" w:type="dxa"/>
              <w:right w:w="160" w:type="dxa"/>
            </w:tcMar>
            <w:tcBorders>
              <w:top w:val="single" w:sz="4" w:color="DEDDD8"/>
              <w:left w:val="single" w:sz="26" w:color="FF5900"/>
              <w:bottom w:val="single" w:sz="4" w:color="DEDDD8"/>
              <w:right w:val="single" w:sz="4" w:color="DEDDD8"/>
            </w:tcBorders>
          </w:tcPr>
          <w:p>
            <w:pPr>
              <w:spacing w:after="0" w:line="312" w:lineRule="auto"/>
            </w:pPr>
            <w:r>
              <w:rPr>
                <w:rFonts w:ascii="Arial" w:hAnsi="Arial" w:cs="Arial"/>
                <w:b w:val="0"/>
                <w:i/>
                <w:caps w:val="0"/>
                <w:color w:val="141416"/>
                <w:sz w:val="21"/>
              </w:rPr>
              <w:t>Disepakati bahwa mekanisme validasi mengikuti data transaksi MyPertamina, dan detail teknisnya dibahas lebih lanjut bersama tim backend dan digital untuk menentukan skema yang paling memungkinkan secara teknis.</w:t>
            </w:r>
          </w:p>
        </w:tc>
      </w:tr>
    </w:tbl>
    <w:p>
      <w:pPr>
        <w:spacing w:before="0" w:after="120" w:line="269" w:lineRule="auto"/>
      </w:pPr>
    </w:p>
    <w:p>
      <w:pPr>
        <w:spacing w:before="280" w:after="100" w:line="269" w:lineRule="auto"/>
      </w:pPr>
      <w:r>
        <w:rPr>
          <w:rFonts w:ascii="Arial" w:hAnsi="Arial" w:cs="Arial"/>
          <w:b/>
          <w:caps w:val="0"/>
          <w:color w:val="FF5900"/>
          <w:sz w:val="23"/>
        </w:rPr>
        <w:t>4. Stamp System &amp; Gamification</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Stamp menjadi inti permainan dan hanya didapat dari aktivitas yang sudah divalidasi.</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Sumber stamp antara lain pembelian BBM non-subsidi, aktivitas di SPBU, dan tantangan berdasarkan lokasi.</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Ke depan dapat dikembangkan menjadi koleksi badge, pencapaian, papan peringkat, dan tantangan bertingkat.</w:t>
      </w:r>
    </w:p>
    <w:p>
      <w:pPr>
        <w:spacing w:before="0" w:after="40" w:line="269"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F5F4F2"/>
            <w:tcMar>
              <w:top w:w="130" w:type="dxa"/>
              <w:bottom w:w="130" w:type="dxa"/>
              <w:start w:w="200" w:type="dxa"/>
              <w:end w:w="160" w:type="dxa"/>
              <w:left w:w="200" w:type="dxa"/>
              <w:right w:w="160" w:type="dxa"/>
            </w:tcMar>
            <w:tcBorders>
              <w:top w:val="single" w:sz="4" w:color="DEDDD8"/>
              <w:left w:val="single" w:sz="26" w:color="FF5900"/>
              <w:bottom w:val="single" w:sz="4" w:color="DEDDD8"/>
              <w:right w:val="single" w:sz="4" w:color="DEDDD8"/>
            </w:tcBorders>
          </w:tcPr>
          <w:p>
            <w:pPr>
              <w:spacing w:after="0" w:line="312" w:lineRule="auto"/>
            </w:pPr>
            <w:r>
              <w:rPr>
                <w:rFonts w:ascii="Arial" w:hAnsi="Arial" w:cs="Arial"/>
                <w:b w:val="0"/>
                <w:i/>
                <w:caps w:val="0"/>
                <w:color w:val="141416"/>
                <w:sz w:val="21"/>
              </w:rPr>
              <w:t>Disepakati jumlah stamp dibatasi maksimal 2 per pengguna per hari agar program tetap adil dan tidak gampang dicurangi.</w:t>
            </w:r>
          </w:p>
        </w:tc>
      </w:tr>
    </w:tbl>
    <w:p>
      <w:pPr>
        <w:spacing w:before="0" w:after="120" w:line="269" w:lineRule="auto"/>
      </w:pPr>
    </w:p>
    <w:p>
      <w:pPr>
        <w:spacing w:before="280" w:after="100" w:line="269" w:lineRule="auto"/>
      </w:pPr>
      <w:r>
        <w:rPr>
          <w:rFonts w:ascii="Arial" w:hAnsi="Arial" w:cs="Arial"/>
          <w:b/>
          <w:caps w:val="0"/>
          <w:color w:val="FF5900"/>
          <w:sz w:val="23"/>
        </w:rPr>
        <w:t>5. Customer Experience Integration</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Program ini sekaligus membantu pengumpulan masukan pelanggan yang sedang berjalan.</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Beberapa SPBU sudah mengumpulkan masukan lewat QR Code di fasilitas tertentu.</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Dengan Urban Stamp Rally, mengisi review bisa diberi imbalan stamp sehingga pengguna lebih terdorong ikut.</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Objek review diperluas: toilet, mushola, totem informasi, Bright Store, hingga tenant makanan dan retail.</w:t>
      </w:r>
    </w:p>
    <w:p>
      <w:pPr>
        <w:spacing w:before="280" w:after="100" w:line="269" w:lineRule="auto"/>
      </w:pPr>
      <w:r>
        <w:rPr>
          <w:rFonts w:ascii="Arial" w:hAnsi="Arial" w:cs="Arial"/>
          <w:b/>
          <w:caps w:val="0"/>
          <w:color w:val="FF5900"/>
          <w:sz w:val="23"/>
        </w:rPr>
        <w:t>6. SPBU Discovery &amp; Hidden Gem Strategy</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Program mengarahkan pengguna mengunjungi SPBU tertentu yang fasilitasnya lebih lengkap, yang disebut "Hidden Gem SPBU".</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Tujuannya menambah kunjungan ke SPBU pilihan sekaligus memperkenalkan fasilitas dan tenant di dalamnya.</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Memberi alasan baru bagi pengguna untuk datang, bukan sekadar mengisi BBM.</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Tahap awal cukup menggunakan beberapa SPBU sebagai percontohan.</w:t>
      </w:r>
    </w:p>
    <w:p>
      <w:pPr>
        <w:spacing w:before="280" w:after="100" w:line="269" w:lineRule="auto"/>
      </w:pPr>
      <w:r>
        <w:rPr>
          <w:rFonts w:ascii="Arial" w:hAnsi="Arial" w:cs="Arial"/>
          <w:b/>
          <w:caps w:val="0"/>
          <w:color w:val="FF5900"/>
          <w:sz w:val="23"/>
        </w:rPr>
        <w:t>7. Road to MotoGP Mandalika Opportunity</w:t>
      </w:r>
    </w:p>
    <w:p>
      <w:pPr>
        <w:spacing w:before="0" w:after="0" w:line="336" w:lineRule="auto"/>
      </w:pPr>
      <w:r>
        <w:rPr>
          <w:rFonts w:ascii="Arial" w:hAnsi="Arial" w:cs="Arial"/>
          <w:b w:val="0"/>
          <w:caps w:val="0"/>
          <w:color w:val="141416"/>
          <w:sz w:val="21"/>
        </w:rPr>
        <w:t>Peluang paling besar adalah menyambungkan program dengan Road to MotoGP Mandalika sebagai cerita besar yang lebih kuat dibanding sekadar diskon.</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Stamp, badge, dan pencapaian bisa menjadi tiket untuk membuka hadiah bertema MotoGP.</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Contoh hadiah: tiket MotoGP Mandalika, pengalaman VIP, akses eksklusif, dan merchandise resmi.</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Program bisa berjalan sepanjang tahun menuju puncak acara.</w:t>
      </w:r>
    </w:p>
    <w:p>
      <w:pPr>
        <w:spacing w:before="0" w:after="40" w:line="269" w:lineRule="auto"/>
      </w:pPr>
    </w:p>
    <w:tbl>
      <w:tblPr>
        <w:tblW w:type="auto" w:w="0"/>
        <w:tblLook w:firstColumn="1" w:firstRow="1" w:lastColumn="0" w:lastRow="0" w:noHBand="0" w:noVBand="1" w:val="04A0"/>
        <w:tblBorders>
          <w:top w:val="none"/>
          <w:left w:val="none"/>
          <w:bottom w:val="none"/>
          <w:right w:val="none"/>
          <w:insideH w:val="none"/>
          <w:insideV w:val="none"/>
        </w:tblBorders>
      </w:tblPr>
      <w:tblGrid>
        <w:gridCol w:w="9638"/>
      </w:tblGrid>
      <w:tr>
        <w:tc>
          <w:tcPr>
            <w:tcW w:type="dxa" w:w="9638"/>
            <w:shd w:val="clear" w:color="auto" w:fill="F5F4F2"/>
            <w:tcMar>
              <w:top w:w="130" w:type="dxa"/>
              <w:bottom w:w="130" w:type="dxa"/>
              <w:start w:w="200" w:type="dxa"/>
              <w:end w:w="160" w:type="dxa"/>
              <w:left w:w="200" w:type="dxa"/>
              <w:right w:w="160" w:type="dxa"/>
            </w:tcMar>
            <w:tcBorders>
              <w:top w:val="single" w:sz="4" w:color="DEDDD8"/>
              <w:left w:val="single" w:sz="26" w:color="FF5900"/>
              <w:bottom w:val="single" w:sz="4" w:color="DEDDD8"/>
              <w:right w:val="single" w:sz="4" w:color="DEDDD8"/>
            </w:tcBorders>
          </w:tcPr>
          <w:p>
            <w:pPr>
              <w:spacing w:after="0" w:line="312" w:lineRule="auto"/>
            </w:pPr>
            <w:r>
              <w:rPr>
                <w:rFonts w:ascii="Arial" w:hAnsi="Arial" w:cs="Arial"/>
                <w:b w:val="0"/>
                <w:i/>
                <w:caps w:val="0"/>
                <w:color w:val="141416"/>
                <w:sz w:val="21"/>
              </w:rPr>
              <w:t>Arah yang disepakati: MotoGP Mandalika menjadi daya tarik utama program, bukan promo atau diskon biasa.</w:t>
            </w:r>
          </w:p>
        </w:tc>
      </w:tr>
    </w:tbl>
    <w:p>
      <w:pPr>
        <w:spacing w:before="0" w:after="120" w:line="269" w:lineRule="auto"/>
      </w:pPr>
    </w:p>
    <w:p>
      <w:pPr>
        <w:spacing w:before="280" w:after="100" w:line="269" w:lineRule="auto"/>
      </w:pPr>
      <w:r>
        <w:rPr>
          <w:rFonts w:ascii="Arial" w:hAnsi="Arial" w:cs="Arial"/>
          <w:b/>
          <w:caps w:val="0"/>
          <w:color w:val="FF5900"/>
          <w:sz w:val="23"/>
        </w:rPr>
        <w:t>8. Reward Ecosystem Development</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Diskusi menekankan hadiah yang punya nilai emosional, bukan sekadar potongan harga.</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BUBU membagikan pengalaman kolaborasi bersama komunitas, brand, label fashion, hingga kreator.</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Bentuk hadiah yang relevan: edisi terbatas, koleksi kapsul, produk kolaborasi komunitas, dan barang koleksi.</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Hadiah bertema budaya dan eksklusif lebih menarik, terutama bagi pengguna muda.</w:t>
      </w:r>
    </w:p>
    <w:p>
      <w:pPr>
        <w:spacing w:before="280" w:after="100" w:line="269" w:lineRule="auto"/>
      </w:pPr>
      <w:r>
        <w:rPr>
          <w:rFonts w:ascii="Arial" w:hAnsi="Arial" w:cs="Arial"/>
          <w:b/>
          <w:caps w:val="0"/>
          <w:color w:val="FF5900"/>
          <w:sz w:val="23"/>
        </w:rPr>
        <w:t>9. Tenant Participation &amp; Ecosystem Collaboration</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Karena sebagian aktivitas terjadi di area SPBU, tenant perlu dilibatkan dalam program.</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Tenant bisa berperan sebagai lokasi tantangan, pemberi stamp tambahan, atau sumber hadiah.</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Tenant juga dapat menjadi bagian dari alur review pelanggan.</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Perlu koordinasi dengan tenant di SPBU yang masuk daftar pilot.</w:t>
      </w:r>
    </w:p>
    <w:p>
      <w:pPr>
        <w:spacing w:before="280" w:after="100" w:line="269" w:lineRule="auto"/>
      </w:pPr>
      <w:r>
        <w:rPr>
          <w:rFonts w:ascii="Arial" w:hAnsi="Arial" w:cs="Arial"/>
          <w:b/>
          <w:caps w:val="0"/>
          <w:color w:val="FF5900"/>
          <w:sz w:val="23"/>
        </w:rPr>
        <w:t>10. Microsite &amp; Technical Considerations</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Program membutuhkan microsite khusus yang terhubung dengan aplikasi MyPertamina.</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Fitur utama: kumpul stamp, lihat progres, pusat tantangan, pusat hadiah, papan peringkat, dan info kampanye.</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Sisi teknis yang perlu dibahas lanjut: integrasi API transaksi, validasi stamp, penukaran hadiah, dan dashboard pemantauan.</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ACTION ITEMS</w:t>
      </w: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67"/>
        <w:gridCol w:w="4649"/>
        <w:gridCol w:w="1701"/>
        <w:gridCol w:w="1474"/>
        <w:gridCol w:w="1247"/>
      </w:tblGrid>
      <w:tr>
        <w:tc>
          <w:tcPr>
            <w:tcW w:type="dxa" w:w="56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4649"/>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ACTION</w:t>
            </w:r>
          </w:p>
        </w:tc>
        <w:tc>
          <w:tcPr>
            <w:tcW w:type="dxa" w:w="1701"/>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OWNER</w:t>
            </w:r>
          </w:p>
        </w:tc>
        <w:tc>
          <w:tcPr>
            <w:tcW w:type="dxa" w:w="1474"/>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DUE</w:t>
            </w:r>
          </w:p>
        </w:tc>
        <w:tc>
          <w:tcPr>
            <w:tcW w:type="dxa" w:w="124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STATUS</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1</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Menentukan cara memvalidasi transaksi untuk kategori motor dan mobil</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MyPertamina</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Week 1</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2</w:t>
            </w:r>
          </w:p>
        </w:tc>
        <w:tc>
          <w:tcPr>
            <w:tcW w:type="dxa" w:w="4649"/>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Menentukan batas minimal transaksi yang berhak mendapat stamp</w:t>
            </w:r>
          </w:p>
        </w:tc>
        <w:tc>
          <w:tcPr>
            <w:tcW w:type="dxa" w:w="170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MyPertamina</w:t>
            </w:r>
          </w:p>
        </w:tc>
        <w:tc>
          <w:tcPr>
            <w:tcW w:type="dxa" w:w="1474"/>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Week 1</w:t>
            </w:r>
          </w:p>
        </w:tc>
        <w:tc>
          <w:tcPr>
            <w:tcW w:type="dxa" w:w="124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3</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Menyusun cara perolehan stamp dan aturan pencegah kecurangan</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BUBU &amp; MyPertamina</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Week 1</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4</w:t>
            </w:r>
          </w:p>
        </w:tc>
        <w:tc>
          <w:tcPr>
            <w:tcW w:type="dxa" w:w="4649"/>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Menentukan daftar SPBU untuk program pilot</w:t>
            </w:r>
          </w:p>
        </w:tc>
        <w:tc>
          <w:tcPr>
            <w:tcW w:type="dxa" w:w="170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MyPertamina</w:t>
            </w:r>
          </w:p>
        </w:tc>
        <w:tc>
          <w:tcPr>
            <w:tcW w:type="dxa" w:w="1474"/>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Week 2</w:t>
            </w:r>
          </w:p>
        </w:tc>
        <w:tc>
          <w:tcPr>
            <w:tcW w:type="dxa" w:w="124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5</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Mendata tenant yang berpotensi ikut dalam program</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MyPertamina</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Week 2</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6</w:t>
            </w:r>
          </w:p>
        </w:tc>
        <w:tc>
          <w:tcPr>
            <w:tcW w:type="dxa" w:w="4649"/>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Menyusun konsep paket hadiah bertema MotoGP dan barang koleksi</w:t>
            </w:r>
          </w:p>
        </w:tc>
        <w:tc>
          <w:tcPr>
            <w:tcW w:type="dxa" w:w="170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BUBU</w:t>
            </w:r>
          </w:p>
        </w:tc>
        <w:tc>
          <w:tcPr>
            <w:tcW w:type="dxa" w:w="1474"/>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Week 2</w:t>
            </w:r>
          </w:p>
        </w:tc>
        <w:tc>
          <w:tcPr>
            <w:tcW w:type="dxa" w:w="124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7</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Menyusun alur pengguna dan konsep permainan Urban Stamp Rally</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BUBU</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Week 1</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8</w:t>
            </w:r>
          </w:p>
        </w:tc>
        <w:tc>
          <w:tcPr>
            <w:tcW w:type="dxa" w:w="4649"/>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Menyusun kebutuhan microsite dan dashboard pemantauan</w:t>
            </w:r>
          </w:p>
        </w:tc>
        <w:tc>
          <w:tcPr>
            <w:tcW w:type="dxa" w:w="170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BUBU</w:t>
            </w:r>
          </w:p>
        </w:tc>
        <w:tc>
          <w:tcPr>
            <w:tcW w:type="dxa" w:w="1474"/>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Week 3</w:t>
            </w:r>
          </w:p>
        </w:tc>
        <w:tc>
          <w:tcPr>
            <w:tcW w:type="dxa" w:w="124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9</w:t>
            </w:r>
          </w:p>
        </w:tc>
        <w:tc>
          <w:tcPr>
            <w:tcW w:type="dxa" w:w="4649"/>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Memeriksa kebutuhan API dan integrasi transaksi</w:t>
            </w:r>
          </w:p>
        </w:tc>
        <w:tc>
          <w:tcPr>
            <w:tcW w:type="dxa" w:w="170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MyPertamina &amp; BUBU</w:t>
            </w:r>
          </w:p>
        </w:tc>
        <w:tc>
          <w:tcPr>
            <w:tcW w:type="dxa" w:w="1474"/>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Week 3</w:t>
            </w:r>
          </w:p>
        </w:tc>
        <w:tc>
          <w:tcPr>
            <w:tcW w:type="dxa" w:w="124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Open</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10</w:t>
            </w:r>
          </w:p>
        </w:tc>
        <w:tc>
          <w:tcPr>
            <w:tcW w:type="dxa" w:w="4649"/>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Menyusun rencana pelaksanaan (roadmap) program pilot</w:t>
            </w:r>
          </w:p>
        </w:tc>
        <w:tc>
          <w:tcPr>
            <w:tcW w:type="dxa" w:w="170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MyPertamina &amp; BUBU</w:t>
            </w:r>
          </w:p>
        </w:tc>
        <w:tc>
          <w:tcPr>
            <w:tcW w:type="dxa" w:w="1474"/>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Week 4</w:t>
            </w:r>
          </w:p>
        </w:tc>
        <w:tc>
          <w:tcPr>
            <w:tcW w:type="dxa" w:w="124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Open</w:t>
            </w: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RISKS, BLOCKERS &amp; WORKAROUNDS</w:t>
      </w:r>
    </w:p>
    <w:tbl>
      <w:tblPr>
        <w:tblW w:type="auto" w:w="0"/>
        <w:jc w:val="left"/>
        <w:tblLook w:firstColumn="1" w:firstRow="1" w:lastColumn="0" w:lastRow="0" w:noHBand="0" w:noVBand="1" w:val="04A0"/>
        <w:tblBorders>
          <w:top w:val="single" w:sz="4" w:color="E3E3E3"/>
          <w:left w:val="single" w:sz="4" w:color="E3E3E3"/>
          <w:bottom w:val="single" w:sz="4" w:color="E3E3E3"/>
          <w:right w:val="single" w:sz="4" w:color="E3E3E3"/>
          <w:insideH w:val="single" w:sz="4" w:color="E3E3E3"/>
          <w:insideV w:val="single" w:sz="4" w:color="E3E3E3"/>
        </w:tblBorders>
      </w:tblPr>
      <w:tblGrid>
        <w:gridCol w:w="567"/>
        <w:gridCol w:w="2948"/>
        <w:gridCol w:w="1587"/>
        <w:gridCol w:w="3175"/>
        <w:gridCol w:w="1361"/>
      </w:tblGrid>
      <w:tr>
        <w:tc>
          <w:tcPr>
            <w:tcW w:type="dxa" w:w="56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t>
            </w:r>
          </w:p>
        </w:tc>
        <w:tc>
          <w:tcPr>
            <w:tcW w:type="dxa" w:w="2948"/>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RISK / BLOCKER</w:t>
            </w:r>
          </w:p>
        </w:tc>
        <w:tc>
          <w:tcPr>
            <w:tcW w:type="dxa" w:w="1587"/>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IMPACT</w:t>
            </w:r>
          </w:p>
        </w:tc>
        <w:tc>
          <w:tcPr>
            <w:tcW w:type="dxa" w:w="3175"/>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WORKAROUND / MITIGATION</w:t>
            </w:r>
          </w:p>
        </w:tc>
        <w:tc>
          <w:tcPr>
            <w:tcW w:type="dxa" w:w="1361"/>
            <w:shd w:val="clear" w:color="auto" w:fill="141416"/>
            <w:tcMar>
              <w:top w:w="60" w:type="dxa"/>
              <w:bottom w:w="60" w:type="dxa"/>
              <w:start w:w="100" w:type="dxa"/>
              <w:end w:w="100" w:type="dxa"/>
              <w:left w:w="100" w:type="dxa"/>
              <w:right w:w="100" w:type="dxa"/>
            </w:tcMar>
          </w:tcPr>
          <w:p>
            <w:pPr>
              <w:spacing w:after="0"/>
            </w:pPr>
            <w:r>
              <w:rPr>
                <w:rFonts w:ascii="Arial" w:hAnsi="Arial" w:cs="Arial"/>
                <w:b/>
                <w:caps w:val="0"/>
                <w:color w:val="FFFFFF"/>
                <w:sz w:val="17"/>
                <w:spacing w:val="6"/>
              </w:rPr>
              <w:t>OWNER</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1</w:t>
            </w:r>
          </w:p>
        </w:tc>
        <w:tc>
          <w:tcPr>
            <w:tcW w:type="dxa" w:w="294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Belum ada cara mengenali jenis kendaraan untuk transaksi BBM non-subsidi</w:t>
            </w:r>
          </w:p>
        </w:tc>
        <w:tc>
          <w:tcPr>
            <w:tcW w:type="dxa" w:w="158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High</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Validasi mengikuti data transaksi MyPertamina; detailnya dibahas lebih lanjut bersama tim backend dan digital untuk mencari skema yang paling mungkin secara teknis.</w:t>
            </w:r>
          </w:p>
        </w:tc>
        <w:tc>
          <w:tcPr>
            <w:tcW w:type="dxa" w:w="136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MyPertamina</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2</w:t>
            </w:r>
          </w:p>
        </w:tc>
        <w:tc>
          <w:tcPr>
            <w:tcW w:type="dxa" w:w="2948"/>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Pengguna berpotensi bertransaksi berulang hanya untuk mengejar stamp</w:t>
            </w:r>
          </w:p>
        </w:tc>
        <w:tc>
          <w:tcPr>
            <w:tcW w:type="dxa" w:w="158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High</w:t>
            </w:r>
          </w:p>
        </w:tc>
        <w:tc>
          <w:tcPr>
            <w:tcW w:type="dxa" w:w="317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Batasi maksimal 2 stamp per pengguna per hari dan terapkan aturan pencegah kecurangan pada cara perolehan stamp.</w:t>
            </w:r>
          </w:p>
        </w:tc>
        <w:tc>
          <w:tcPr>
            <w:tcW w:type="dxa" w:w="136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BUBU &amp; MyPertamina</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3</w:t>
            </w:r>
          </w:p>
        </w:tc>
        <w:tc>
          <w:tcPr>
            <w:tcW w:type="dxa" w:w="294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Jenis kendaraan yang dipilih pengguna bisa tidak sesuai dengan kendaraan saat transaksi</w:t>
            </w:r>
          </w:p>
        </w:tc>
        <w:tc>
          <w:tcPr>
            <w:tcW w:type="dxa" w:w="158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Medium</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Validasi memakai kategori transaksi (motor vs mobil) dari data MyPertamina, bukan dari input manual pengguna.</w:t>
            </w:r>
          </w:p>
        </w:tc>
        <w:tc>
          <w:tcPr>
            <w:tcW w:type="dxa" w:w="136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MyPertamina</w:t>
            </w:r>
          </w:p>
        </w:tc>
      </w:tr>
      <w:tr>
        <w:tc>
          <w:tcPr>
            <w:tcW w:type="dxa" w:w="56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4</w:t>
            </w:r>
          </w:p>
        </w:tc>
        <w:tc>
          <w:tcPr>
            <w:tcW w:type="dxa" w:w="2948"/>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Keberhasilan program bergantung pada kesiapan tenant di SPBU pilot</w:t>
            </w:r>
          </w:p>
        </w:tc>
        <w:tc>
          <w:tcPr>
            <w:tcW w:type="dxa" w:w="1587"/>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Medium</w:t>
            </w:r>
          </w:p>
        </w:tc>
        <w:tc>
          <w:tcPr>
            <w:tcW w:type="dxa" w:w="3175"/>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Koordinasi lebih awal dengan tenant di SPBU terpilih agar peran mereka (tantangan, stamp, hadiah, review) sudah pasti sebelum pilot dimulai.</w:t>
            </w:r>
          </w:p>
        </w:tc>
        <w:tc>
          <w:tcPr>
            <w:tcW w:type="dxa" w:w="1361"/>
            <w:vAlign w:val="top"/>
            <w:tcMar>
              <w:top w:w="90" w:type="dxa"/>
              <w:bottom w:w="90" w:type="dxa"/>
              <w:start w:w="110" w:type="dxa"/>
              <w:end w:w="110" w:type="dxa"/>
              <w:left w:w="110" w:type="dxa"/>
              <w:right w:w="110" w:type="dxa"/>
            </w:tcMar>
            <w:shd w:val="clear" w:color="auto" w:fill="F5F4F2"/>
          </w:tcPr>
          <w:p>
            <w:pPr>
              <w:spacing w:after="0" w:line="300" w:lineRule="auto"/>
            </w:pPr>
            <w:r>
              <w:rPr>
                <w:rFonts w:ascii="Arial" w:hAnsi="Arial" w:cs="Arial"/>
                <w:b w:val="0"/>
                <w:caps w:val="0"/>
                <w:color w:val="141416"/>
                <w:sz w:val="19"/>
              </w:rPr>
              <w:t>MyPertamina</w:t>
            </w:r>
          </w:p>
        </w:tc>
      </w:tr>
      <w:tr>
        <w:tc>
          <w:tcPr>
            <w:tcW w:type="dxa" w:w="56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5</w:t>
            </w:r>
          </w:p>
        </w:tc>
        <w:tc>
          <w:tcPr>
            <w:tcW w:type="dxa" w:w="2948"/>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Hadiah berupa potongan harga kurang menarik bagi pengguna muda</w:t>
            </w:r>
          </w:p>
        </w:tc>
        <w:tc>
          <w:tcPr>
            <w:tcW w:type="dxa" w:w="1587"/>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Medium</w:t>
            </w:r>
          </w:p>
        </w:tc>
        <w:tc>
          <w:tcPr>
            <w:tcW w:type="dxa" w:w="3175"/>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Hadirkan hadiah bertema budaya dan eksklusif (edisi terbatas, barang koleksi, kolaborasi) serta pengalaman MotoGP sebagai daya tarik.</w:t>
            </w:r>
          </w:p>
        </w:tc>
        <w:tc>
          <w:tcPr>
            <w:tcW w:type="dxa" w:w="1361"/>
            <w:vAlign w:val="top"/>
            <w:tcMar>
              <w:top w:w="90" w:type="dxa"/>
              <w:bottom w:w="90" w:type="dxa"/>
              <w:start w:w="110" w:type="dxa"/>
              <w:end w:w="110" w:type="dxa"/>
              <w:left w:w="110" w:type="dxa"/>
              <w:right w:w="110" w:type="dxa"/>
            </w:tcMar>
          </w:tcPr>
          <w:p>
            <w:pPr>
              <w:spacing w:after="0" w:line="300" w:lineRule="auto"/>
            </w:pPr>
            <w:r>
              <w:rPr>
                <w:rFonts w:ascii="Arial" w:hAnsi="Arial" w:cs="Arial"/>
                <w:b w:val="0"/>
                <w:caps w:val="0"/>
                <w:color w:val="141416"/>
                <w:sz w:val="19"/>
              </w:rPr>
              <w:t>BUBU</w:t>
            </w:r>
          </w:p>
        </w:tc>
      </w:tr>
    </w:tbl>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NEXT STEPS</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Pembahasan lanjutan fokus pada tiga hal: aturan main (Terms &amp; Mechanism), paket hadiah (Reward Ecosystem), serta sisi teknis dan API.</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Minggu 1 (Workshop Aturan Main): menghasilkan cara validasi, aturan stamp, dan alur pengguna.</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Minggu 2 (Workshop Paket Hadiah): menghasilkan susunan hadiah, integrasi MotoGP, dan strategi barang koleksi.</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Minggu 2 (Penyelarasan SPBU &amp; Tenant): menghasilkan daftar akhir SPBU dan pemetaan tenant.</w:t>
      </w:r>
    </w:p>
    <w:p>
      <w:pPr>
        <w:spacing w:after="100" w:line="317" w:lineRule="auto"/>
        <w:ind w:left="397"/>
      </w:pPr>
      <w:r>
        <w:rPr>
          <w:rFonts w:ascii="Arial" w:hAnsi="Arial" w:cs="Arial"/>
          <w:b/>
          <w:caps w:val="0"/>
          <w:color w:val="FF5900"/>
          <w:sz w:val="21"/>
        </w:rPr>
        <w:t xml:space="preserve">•  </w:t>
      </w:r>
      <w:r>
        <w:rPr>
          <w:rFonts w:ascii="Arial" w:hAnsi="Arial" w:cs="Arial"/>
          <w:b w:val="0"/>
          <w:caps w:val="0"/>
          <w:color w:val="141416"/>
          <w:sz w:val="21"/>
        </w:rPr>
        <w:t>Minggu 3 (Workshop Teknis &amp; API): menghasilkan dokumen kebutuhan teknis, lingkup API, dan jadwal pengembangan.</w:t>
      </w:r>
    </w:p>
    <w:p>
      <w:pPr>
        <w:spacing w:after="0" w:line="317" w:lineRule="auto"/>
        <w:ind w:left="397"/>
      </w:pPr>
      <w:r>
        <w:rPr>
          <w:rFonts w:ascii="Arial" w:hAnsi="Arial" w:cs="Arial"/>
          <w:b/>
          <w:caps w:val="0"/>
          <w:color w:val="FF5900"/>
          <w:sz w:val="21"/>
        </w:rPr>
        <w:t xml:space="preserve">•  </w:t>
      </w:r>
      <w:r>
        <w:rPr>
          <w:rFonts w:ascii="Arial" w:hAnsi="Arial" w:cs="Arial"/>
          <w:b w:val="0"/>
          <w:caps w:val="0"/>
          <w:color w:val="141416"/>
          <w:sz w:val="21"/>
        </w:rPr>
        <w:t>Minggu 4 (Konsolidasi &amp; Penyelarasan Akhir): menghasilkan blueprint program dan rekomendasi pilot.</w:t>
      </w:r>
    </w:p>
    <w:p>
      <w:pPr>
        <w:keepNext/>
        <w:spacing w:before="260" w:after="120"/>
        <w:pBdr>
          <w:bottom w:val="single" w:sz="16" w:color="FF5900" w:space="1"/>
        </w:pBdr>
      </w:pPr>
      <w:r>
        <w:rPr>
          <w:rFonts w:ascii="Bebas Neue" w:hAnsi="Bebas Neue" w:cs="Bebas Neue"/>
          <w:b w:val="0"/>
          <w:caps w:val="0"/>
          <w:color w:val="FF5900"/>
          <w:sz w:val="28"/>
        </w:rPr>
        <w:t xml:space="preserve">■  </w:t>
      </w:r>
      <w:r>
        <w:rPr>
          <w:rFonts w:ascii="Bebas Neue" w:hAnsi="Bebas Neue" w:cs="Bebas Neue"/>
          <w:b w:val="0"/>
          <w:caps w:val="0"/>
          <w:color w:val="141416"/>
          <w:sz w:val="30"/>
          <w:spacing w:val="14"/>
        </w:rPr>
        <w:t>APPROVAL</w:t>
      </w:r>
    </w:p>
    <w:p>
      <w:pPr>
        <w:keepNext/>
        <w:spacing w:before="0" w:after="200" w:line="269" w:lineRule="auto"/>
      </w:pPr>
      <w:r>
        <w:rPr>
          <w:rFonts w:ascii="Arial" w:hAnsi="Arial" w:cs="Arial"/>
          <w:b w:val="0"/>
          <w:caps w:val="0"/>
          <w:color w:val="707074"/>
          <w:sz w:val="19"/>
        </w:rPr>
        <w:t>Dokumen ini disetujui oleh:</w:t>
      </w:r>
    </w:p>
    <w:tbl>
      <w:tblPr>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rPr>
          <w:cantSplit/>
        </w:trPr>
        <w:tc>
          <w:tcPr>
            <w:tcW w:type="dxa" w:w="4819"/>
            <w:tcMar>
              <w:top w:w="60" w:type="dxa"/>
              <w:bottom w:w="60" w:type="dxa"/>
              <w:start w:w="0" w:type="dxa"/>
              <w:end w:w="220" w:type="dxa"/>
              <w:left w:w="0" w:type="dxa"/>
              <w:right w:w="220" w:type="dxa"/>
            </w:tcMar>
          </w:tcPr>
          <w:p>
            <w:pPr>
              <w:spacing w:after="0" w:line="920" w:lineRule="exact"/>
            </w:pPr>
          </w:p>
          <w:p>
            <w:pPr>
              <w:spacing w:after="40"/>
              <w:pBdr>
                <w:bottom w:val="single" w:sz="6" w:color="141416" w:space="1"/>
              </w:pBdr>
            </w:pPr>
          </w:p>
          <w:p>
            <w:pPr>
              <w:spacing w:after="0"/>
            </w:pPr>
            <w:r>
              <w:rPr>
                <w:rFonts w:ascii="Arial" w:hAnsi="Arial" w:cs="Arial"/>
                <w:b/>
                <w:caps w:val="0"/>
                <w:color w:val="141416"/>
                <w:sz w:val="20"/>
              </w:rPr>
              <w:t>Pungkas Riandika</w:t>
            </w:r>
          </w:p>
          <w:p>
            <w:pPr>
              <w:spacing w:after="0"/>
            </w:pPr>
            <w:r>
              <w:rPr>
                <w:rFonts w:ascii="Arial" w:hAnsi="Arial" w:cs="Arial"/>
                <w:b w:val="0"/>
                <w:caps w:val="0"/>
                <w:color w:val="707074"/>
                <w:sz w:val="18"/>
              </w:rPr>
              <w:t>Cultural Intelligence Officer, BUBU</w:t>
            </w:r>
          </w:p>
          <w:p>
            <w:pPr>
              <w:spacing w:before="40" w:after="0"/>
            </w:pPr>
            <w:r>
              <w:rPr>
                <w:rFonts w:ascii="Arial" w:hAnsi="Arial" w:cs="Arial"/>
                <w:b w:val="0"/>
                <w:caps w:val="0"/>
                <w:color w:val="707074"/>
                <w:sz w:val="17"/>
              </w:rPr>
              <w:t>Tanggal: ____________</w:t>
            </w:r>
          </w:p>
        </w:tc>
        <w:tc>
          <w:tcPr>
            <w:tcW w:type="dxa" w:w="4819"/>
            <w:tcMar>
              <w:top w:w="60" w:type="dxa"/>
              <w:bottom w:w="60" w:type="dxa"/>
              <w:start w:w="0" w:type="dxa"/>
              <w:end w:w="220" w:type="dxa"/>
              <w:left w:w="0" w:type="dxa"/>
              <w:right w:w="220" w:type="dxa"/>
            </w:tcMar>
          </w:tcPr>
          <w:p>
            <w:pPr>
              <w:spacing w:after="0" w:line="920" w:lineRule="exact"/>
            </w:pPr>
          </w:p>
          <w:p>
            <w:pPr>
              <w:spacing w:after="40"/>
              <w:pBdr>
                <w:bottom w:val="single" w:sz="6" w:color="141416" w:space="1"/>
              </w:pBdr>
            </w:pPr>
          </w:p>
          <w:p>
            <w:pPr>
              <w:spacing w:after="0"/>
            </w:pPr>
            <w:r>
              <w:rPr>
                <w:rFonts w:ascii="Arial" w:hAnsi="Arial" w:cs="Arial"/>
                <w:b/>
                <w:caps w:val="0"/>
                <w:color w:val="141416"/>
                <w:sz w:val="20"/>
              </w:rPr>
              <w:t>(__________________)</w:t>
            </w:r>
          </w:p>
          <w:p>
            <w:pPr>
              <w:spacing w:after="0"/>
            </w:pPr>
            <w:r>
              <w:rPr>
                <w:rFonts w:ascii="Arial" w:hAnsi="Arial" w:cs="Arial"/>
                <w:b w:val="0"/>
                <w:caps w:val="0"/>
                <w:color w:val="707074"/>
                <w:sz w:val="18"/>
              </w:rPr>
              <w:t>MyPertamina (PT Pertamina Patra Niaga)</w:t>
            </w:r>
          </w:p>
          <w:p>
            <w:pPr>
              <w:spacing w:before="40" w:after="0"/>
            </w:pPr>
            <w:r>
              <w:rPr>
                <w:rFonts w:ascii="Arial" w:hAnsi="Arial" w:cs="Arial"/>
                <w:b w:val="0"/>
                <w:caps w:val="0"/>
                <w:color w:val="707074"/>
                <w:sz w:val="17"/>
              </w:rPr>
              <w:t>Tanggal: ____________</w:t>
            </w:r>
          </w:p>
        </w:tc>
      </w:tr>
    </w:tbl>
    <w:sectPr w:rsidR="00FC693F" w:rsidRPr="0006063C" w:rsidSect="00034616">
      <w:footerReference w:type="default" r:id="rId11"/>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ebas Neue">
    <w:embedRegular r:id="rIdBebasNeue" w:fontKey="{6B9A602A-6898-466F-9427-54DC96F5C79C}"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before="40"/>
      <w:pBdr>
        <w:top w:val="single" w:sz="4" w:color="E3E3E3" w:space="6"/>
      </w:pBdr>
    </w:pPr>
    <w:r>
      <w:rPr>
        <w:rFonts w:ascii="Arial" w:hAnsi="Arial" w:cs="Arial"/>
        <w:b w:val="0"/>
        <w:caps w:val="0"/>
        <w:color w:val="707074"/>
        <w:sz w:val="15"/>
      </w:rPr>
      <w:t>BUBU · 30 years turning culture into brands, products &amp; experiences</w:t>
    </w:r>
    <w:r>
      <w:tab/>
    </w:r>
    <w:r>
      <w:rPr>
        <w:rFonts w:ascii="Arial" w:hAnsi="Arial" w:cs="Arial"/>
        <w:b w:val="0"/>
        <w:caps w:val="0"/>
        <w:color w:val="707074"/>
        <w:sz w:val="15"/>
      </w:rPr>
      <w:t xml:space="preserve">Confidential   |   Page </w:t>
    </w:r>
    <w:r>
      <w:rPr>
        <w:rFonts w:ascii="Arial" w:hAnsi="Arial" w:cs="Arial"/>
        <w:b w:val="0"/>
        <w:caps w:val="0"/>
        <w:color w:val="707074"/>
        <w:sz w:val="15"/>
      </w:rPr>
      <w:fldChar w:fldCharType="begin"/>
      <w:instrText xml:space="preserve"> PAGE </w:instrText>
      <w:fldChar w:fldCharType="end"/>
    </w:r>
    <w:r>
      <w:rPr>
        <w:rFonts w:ascii="Arial" w:hAnsi="Arial" w:cs="Arial"/>
        <w:b w:val="0"/>
        <w:caps w:val="0"/>
        <w:color w:val="707074"/>
        <w:sz w:val="15"/>
      </w:rPr>
      <w:t xml:space="preserve"> of </w:t>
    </w:r>
    <w:r>
      <w:rPr>
        <w:rFonts w:ascii="Arial" w:hAnsi="Arial" w:cs="Arial"/>
        <w:b w:val="0"/>
        <w:caps w:val="0"/>
        <w:color w:val="707074"/>
        <w:sz w:val="15"/>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mbedTrueTypeFonts/>
  <w:embedSystemFonts/>
  <w:saveSubsetFonts w:val="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414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_rels/fontTable.xml.rels><?xml version="1.0" encoding="UTF-8" standalone="yes"?><Relationships xmlns="http://schemas.openxmlformats.org/package/2006/relationships"><Relationship Id="rIdBebasNeue" Type="http://schemas.openxmlformats.org/officeDocument/2006/relationships/font" Target="fonts/font_bebasneue.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Alignment – MyPertamina Urban Stamp Rally Loyalty Program</dc:title>
  <dc:subject/>
  <dc:creator>BUBU</dc:creator>
  <cp:keywords/>
  <dc:description>generated by python-docx</dc:description>
  <cp:lastModifiedBy/>
  <cp:revision>1</cp:revision>
  <dcterms:created xsi:type="dcterms:W3CDTF">2013-12-23T23:15:00Z</dcterms:created>
  <dcterms:modified xsi:type="dcterms:W3CDTF">2013-12-23T23:15:00Z</dcterms:modified>
  <cp:category/>
</cp:coreProperties>
</file>