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6236"/>
        <w:gridCol w:w="3402"/>
      </w:tblGrid>
      <w:tr>
        <w:tc>
          <w:tcPr>
            <w:tcW w:type="dxa" w:w="4819"/>
            <w:tcMar>
              <w:top w:w="0" w:type="dxa"/>
              <w:bottom w:w="0" w:type="dxa"/>
              <w:start w:w="0" w:type="dxa"/>
              <w:end w:w="0" w:type="dxa"/>
              <w:left w:w="0" w:type="dxa"/>
              <w:right w:w="0" w:type="dxa"/>
            </w:tcMar>
          </w:tcPr>
          <w:p>
            <w:pPr>
              <w:spacing w:after="0"/>
            </w:pPr>
            <w:r>
              <w:drawing>
                <wp:inline xmlns:a="http://schemas.openxmlformats.org/drawingml/2006/main" xmlns:pic="http://schemas.openxmlformats.org/drawingml/2006/picture">
                  <wp:extent cx="849338" cy="342000"/>
                  <wp:docPr id="1" name="Picture 1"/>
                  <wp:cNvGraphicFramePr>
                    <a:graphicFrameLocks noChangeAspect="1"/>
                  </wp:cNvGraphicFramePr>
                  <a:graphic>
                    <a:graphicData uri="http://schemas.openxmlformats.org/drawingml/2006/picture">
                      <pic:pic>
                        <pic:nvPicPr>
                          <pic:cNvPr id="0" name="bubu_logo.png"/>
                          <pic:cNvPicPr/>
                        </pic:nvPicPr>
                        <pic:blipFill>
                          <a:blip r:embed="rId9"/>
                          <a:stretch>
                            <a:fillRect/>
                          </a:stretch>
                        </pic:blipFill>
                        <pic:spPr>
                          <a:xfrm>
                            <a:off x="0" y="0"/>
                            <a:ext cx="849338" cy="342000"/>
                          </a:xfrm>
                          <a:prstGeom prst="rect"/>
                        </pic:spPr>
                      </pic:pic>
                    </a:graphicData>
                  </a:graphic>
                </wp:inline>
              </w:drawing>
            </w:r>
          </w:p>
        </w:tc>
        <w:tc>
          <w:tcPr>
            <w:tcW w:type="dxa" w:w="4819"/>
            <w:vAlign w:val="center"/>
            <w:tcMar>
              <w:top w:w="0" w:type="dxa"/>
              <w:bottom w:w="0" w:type="dxa"/>
              <w:start w:w="0" w:type="dxa"/>
              <w:end w:w="0" w:type="dxa"/>
              <w:left w:w="0" w:type="dxa"/>
              <w:right w:w="0" w:type="dxa"/>
            </w:tcMar>
          </w:tcPr>
          <w:p>
            <w:pPr>
              <w:spacing w:after="0"/>
              <w:jc w:val="right"/>
            </w:pPr>
            <w:r>
              <w:rPr>
                <w:rFonts w:ascii="Bebas Neue" w:hAnsi="Bebas Neue" w:cs="Bebas Neue"/>
                <w:b w:val="0"/>
                <w:caps w:val="0"/>
                <w:color w:val="FF5900"/>
                <w:sz w:val="26"/>
                <w:spacing w:val="20"/>
              </w:rPr>
              <w:t>EXTERNAL MEETING</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FF5900"/>
            <w:tcMar>
              <w:top w:w="150" w:type="dxa"/>
              <w:bottom w:w="150" w:type="dxa"/>
              <w:start w:w="220" w:type="dxa"/>
              <w:end w:w="160" w:type="dxa"/>
              <w:left w:w="220" w:type="dxa"/>
              <w:right w:w="160" w:type="dxa"/>
            </w:tcMar>
          </w:tcPr>
          <w:p>
            <w:pPr>
              <w:spacing w:after="0" w:line="228" w:lineRule="auto"/>
            </w:pPr>
            <w:r>
              <w:rPr>
                <w:rFonts w:ascii="Bebas Neue" w:hAnsi="Bebas Neue" w:cs="Bebas Neue"/>
                <w:b w:val="0"/>
                <w:caps w:val="0"/>
                <w:color w:val="FFFFFF"/>
                <w:sz w:val="60"/>
                <w:spacing w:val="20"/>
              </w:rPr>
              <w:t>MINUTES OF MEETING</w:t>
            </w:r>
          </w:p>
          <w:p>
            <w:pPr>
              <w:spacing w:before="40" w:after="0"/>
            </w:pPr>
            <w:r>
              <w:rPr>
                <w:rFonts w:ascii="Arial" w:hAnsi="Arial" w:cs="Arial"/>
                <w:b/>
                <w:caps w:val="0"/>
                <w:color w:val="FFFFFF"/>
                <w:sz w:val="23"/>
              </w:rPr>
              <w:t>Urban Stamp Rally – Loyalty Activation</w:t>
            </w:r>
          </w:p>
        </w:tc>
      </w:tr>
    </w:tbl>
    <w:p>
      <w:pPr>
        <w:spacing w:before="0" w:after="80" w:line="269"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2409"/>
        <w:gridCol w:w="2409"/>
        <w:gridCol w:w="2409"/>
        <w:gridCol w:w="2409"/>
      </w:tblGrid>
      <w:tr>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MEETING</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Strategic Alignment – MyPertamina Urban Stamp Rally Loyalty Program</w:t>
            </w:r>
          </w:p>
        </w:tc>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DATE</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TBC</w:t>
            </w:r>
          </w:p>
        </w:tc>
      </w:tr>
      <w:tr>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LOCATION / PLATFORM</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TBC</w:t>
            </w:r>
          </w:p>
        </w:tc>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CLIENT</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MyPertamina (PT Pertamina Patra Niaga)</w:t>
            </w:r>
          </w:p>
        </w:tc>
      </w:tr>
      <w:tr>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PROJECT</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Urban Stamp Rally – Loyalty Activation</w:t>
            </w:r>
          </w:p>
        </w:tc>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PREPARED BY</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BUBU</w:t>
            </w:r>
          </w:p>
        </w:tc>
      </w:tr>
    </w:tbl>
    <w:p>
      <w:pPr>
        <w:spacing w:before="0" w:after="120" w:line="269"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tcMar>
              <w:top w:w="60" w:type="dxa"/>
              <w:bottom w:w="40" w:type="dxa"/>
              <w:start w:w="0" w:type="dxa"/>
              <w:end w:w="0" w:type="dxa"/>
              <w:left w:w="0" w:type="dxa"/>
              <w:right w:w="0" w:type="dxa"/>
            </w:tcMar>
            <w:tcBorders>
              <w:bottom w:val="single" w:sz="16" w:color="FF5900"/>
            </w:tcBorders>
          </w:tcPr>
          <w:p>
            <w:pPr>
              <w:spacing w:after="0"/>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EXECUTIVE SUMMARY</w:t>
            </w:r>
          </w:p>
        </w:tc>
      </w:tr>
    </w:tbl>
    <w:p>
      <w:pPr>
        <w:spacing w:after="40"/>
      </w:pPr>
    </w:p>
    <w:p>
      <w:pPr>
        <w:spacing w:before="0" w:after="120" w:line="283" w:lineRule="auto"/>
      </w:pPr>
      <w:r>
        <w:rPr>
          <w:rFonts w:ascii="Arial" w:hAnsi="Arial" w:cs="Arial"/>
          <w:b w:val="0"/>
          <w:caps w:val="0"/>
          <w:color w:val="141416"/>
          <w:sz w:val="21"/>
        </w:rPr>
        <w:t>MyPertamina dan BUBU melakukan alignment strategis untuk mengembangkan Urban Stamp Rally sebagai loyalty activation baru yang diposisikan sebagai engagement layer pelengkap — bukan pengganti — sistem loyalty MyPertamina yang sudah berjalan. Program dirancang untuk meningkatkan frekuensi penggunaan aplikasi, mendorong eksplorasi SPBU, dan menghasilkan engagement berulang melalui gamification berbasis stamp, badge, dan achievement.</w:t>
      </w:r>
    </w:p>
    <w:p>
      <w:pPr>
        <w:spacing w:before="0" w:after="120" w:line="283" w:lineRule="auto"/>
      </w:pPr>
      <w:r>
        <w:rPr>
          <w:rFonts w:ascii="Arial" w:hAnsi="Arial" w:cs="Arial"/>
          <w:b w:val="0"/>
          <w:caps w:val="0"/>
          <w:color w:val="141416"/>
          <w:sz w:val="21"/>
        </w:rPr>
        <w:t>Kesepakatan utama mencakup pembatasan perolehan maksimal 2 stamp per user per hari untuk menjaga fairness dan mencegah abuse, serta arah untuk menghubungkan program dengan ekosistem Road to MotoGP Mandalika sebagai narasi reward yang lebih kuat dibanding promo atau diskon. Mekanisme Customer Experience review juga akan diperluas dari fasilitas SPBU (toilet, mushola, totem) hingga ke tenant di dalam area SPBU.</w:t>
      </w:r>
    </w:p>
    <w:p>
      <w:pPr>
        <w:spacing w:before="0" w:after="120" w:line="283" w:lineRule="auto"/>
      </w:pPr>
      <w:r>
        <w:rPr>
          <w:rFonts w:ascii="Arial" w:hAnsi="Arial" w:cs="Arial"/>
          <w:b w:val="0"/>
          <w:caps w:val="0"/>
          <w:color w:val="141416"/>
          <w:sz w:val="21"/>
        </w:rPr>
        <w:t>Jalur kritis (critical path) program adalah penetapan skema validasi transaksi BBM non-subsidi untuk kategori motor dan mobil, serta sinkronisasi dengan tenant pada SPBU pilot. Kedua hal ini memerlukan pembahasan teknis lanjutan bersama tim backend dan digital. Tindak lanjut akan difokuskan pada tiga area — Terms &amp; Mechanism, Reward Ecosystem, dan Technical &amp; API Integration — melalui rangkaian workshop selama empat minggu menuju blueprint pilot program.</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tcMar>
              <w:top w:w="60" w:type="dxa"/>
              <w:bottom w:w="40" w:type="dxa"/>
              <w:start w:w="0" w:type="dxa"/>
              <w:end w:w="0" w:type="dxa"/>
              <w:left w:w="0" w:type="dxa"/>
              <w:right w:w="0" w:type="dxa"/>
            </w:tcMar>
            <w:tcBorders>
              <w:bottom w:val="single" w:sz="16" w:color="FF5900"/>
            </w:tcBorders>
          </w:tcPr>
          <w:p>
            <w:pPr>
              <w:spacing w:after="0"/>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AGENDA</w:t>
            </w:r>
          </w:p>
        </w:tc>
      </w:tr>
    </w:tbl>
    <w:p>
      <w:pPr>
        <w:spacing w:after="40"/>
      </w:pPr>
    </w:p>
    <w:p>
      <w:pPr>
        <w:spacing w:after="60" w:line="276" w:lineRule="auto"/>
        <w:ind w:left="397"/>
      </w:pPr>
      <w:r>
        <w:rPr>
          <w:rFonts w:ascii="Arial" w:hAnsi="Arial" w:cs="Arial"/>
          <w:b/>
          <w:caps w:val="0"/>
          <w:color w:val="FF5900"/>
          <w:sz w:val="21"/>
        </w:rPr>
        <w:t xml:space="preserve">1.  </w:t>
      </w:r>
      <w:r>
        <w:rPr>
          <w:rFonts w:ascii="Arial" w:hAnsi="Arial" w:cs="Arial"/>
          <w:b w:val="0"/>
          <w:caps w:val="0"/>
          <w:color w:val="141416"/>
          <w:sz w:val="21"/>
        </w:rPr>
        <w:t>Program Vision &amp; Strategic Direction</w:t>
      </w:r>
    </w:p>
    <w:p>
      <w:pPr>
        <w:spacing w:after="60" w:line="276" w:lineRule="auto"/>
        <w:ind w:left="397"/>
      </w:pPr>
      <w:r>
        <w:rPr>
          <w:rFonts w:ascii="Arial" w:hAnsi="Arial" w:cs="Arial"/>
          <w:b/>
          <w:caps w:val="0"/>
          <w:color w:val="FF5900"/>
          <w:sz w:val="21"/>
        </w:rPr>
        <w:t xml:space="preserve">2.  </w:t>
      </w:r>
      <w:r>
        <w:rPr>
          <w:rFonts w:ascii="Arial" w:hAnsi="Arial" w:cs="Arial"/>
          <w:b w:val="0"/>
          <w:caps w:val="0"/>
          <w:color w:val="141416"/>
          <w:sz w:val="21"/>
        </w:rPr>
        <w:t>Customer Journey &amp; Participation Flow</w:t>
      </w:r>
    </w:p>
    <w:p>
      <w:pPr>
        <w:spacing w:after="60" w:line="276" w:lineRule="auto"/>
        <w:ind w:left="397"/>
      </w:pPr>
      <w:r>
        <w:rPr>
          <w:rFonts w:ascii="Arial" w:hAnsi="Arial" w:cs="Arial"/>
          <w:b/>
          <w:caps w:val="0"/>
          <w:color w:val="FF5900"/>
          <w:sz w:val="21"/>
        </w:rPr>
        <w:t xml:space="preserve">3.  </w:t>
      </w:r>
      <w:r>
        <w:rPr>
          <w:rFonts w:ascii="Arial" w:hAnsi="Arial" w:cs="Arial"/>
          <w:b w:val="0"/>
          <w:caps w:val="0"/>
          <w:color w:val="141416"/>
          <w:sz w:val="21"/>
        </w:rPr>
        <w:t>Transaction Validation Framework</w:t>
      </w:r>
    </w:p>
    <w:p>
      <w:pPr>
        <w:spacing w:after="60" w:line="276" w:lineRule="auto"/>
        <w:ind w:left="397"/>
      </w:pPr>
      <w:r>
        <w:rPr>
          <w:rFonts w:ascii="Arial" w:hAnsi="Arial" w:cs="Arial"/>
          <w:b/>
          <w:caps w:val="0"/>
          <w:color w:val="FF5900"/>
          <w:sz w:val="21"/>
        </w:rPr>
        <w:t xml:space="preserve">4.  </w:t>
      </w:r>
      <w:r>
        <w:rPr>
          <w:rFonts w:ascii="Arial" w:hAnsi="Arial" w:cs="Arial"/>
          <w:b w:val="0"/>
          <w:caps w:val="0"/>
          <w:color w:val="141416"/>
          <w:sz w:val="21"/>
        </w:rPr>
        <w:t>Stamp System &amp; Gamification</w:t>
      </w:r>
    </w:p>
    <w:p>
      <w:pPr>
        <w:spacing w:after="60" w:line="276" w:lineRule="auto"/>
        <w:ind w:left="397"/>
      </w:pPr>
      <w:r>
        <w:rPr>
          <w:rFonts w:ascii="Arial" w:hAnsi="Arial" w:cs="Arial"/>
          <w:b/>
          <w:caps w:val="0"/>
          <w:color w:val="FF5900"/>
          <w:sz w:val="21"/>
        </w:rPr>
        <w:t xml:space="preserve">5.  </w:t>
      </w:r>
      <w:r>
        <w:rPr>
          <w:rFonts w:ascii="Arial" w:hAnsi="Arial" w:cs="Arial"/>
          <w:b w:val="0"/>
          <w:caps w:val="0"/>
          <w:color w:val="141416"/>
          <w:sz w:val="21"/>
        </w:rPr>
        <w:t>Customer Experience Integration</w:t>
      </w:r>
    </w:p>
    <w:p>
      <w:pPr>
        <w:spacing w:after="60" w:line="276" w:lineRule="auto"/>
        <w:ind w:left="397"/>
      </w:pPr>
      <w:r>
        <w:rPr>
          <w:rFonts w:ascii="Arial" w:hAnsi="Arial" w:cs="Arial"/>
          <w:b/>
          <w:caps w:val="0"/>
          <w:color w:val="FF5900"/>
          <w:sz w:val="21"/>
        </w:rPr>
        <w:t xml:space="preserve">6.  </w:t>
      </w:r>
      <w:r>
        <w:rPr>
          <w:rFonts w:ascii="Arial" w:hAnsi="Arial" w:cs="Arial"/>
          <w:b w:val="0"/>
          <w:caps w:val="0"/>
          <w:color w:val="141416"/>
          <w:sz w:val="21"/>
        </w:rPr>
        <w:t>SPBU Discovery &amp; Hidden Gem Strategy</w:t>
      </w:r>
    </w:p>
    <w:p>
      <w:pPr>
        <w:spacing w:after="60" w:line="276" w:lineRule="auto"/>
        <w:ind w:left="397"/>
      </w:pPr>
      <w:r>
        <w:rPr>
          <w:rFonts w:ascii="Arial" w:hAnsi="Arial" w:cs="Arial"/>
          <w:b/>
          <w:caps w:val="0"/>
          <w:color w:val="FF5900"/>
          <w:sz w:val="21"/>
        </w:rPr>
        <w:t xml:space="preserve">7.  </w:t>
      </w:r>
      <w:r>
        <w:rPr>
          <w:rFonts w:ascii="Arial" w:hAnsi="Arial" w:cs="Arial"/>
          <w:b w:val="0"/>
          <w:caps w:val="0"/>
          <w:color w:val="141416"/>
          <w:sz w:val="21"/>
        </w:rPr>
        <w:t>Road to MotoGP Mandalika Opportunity</w:t>
      </w:r>
    </w:p>
    <w:p>
      <w:pPr>
        <w:spacing w:after="60" w:line="276" w:lineRule="auto"/>
        <w:ind w:left="397"/>
      </w:pPr>
      <w:r>
        <w:rPr>
          <w:rFonts w:ascii="Arial" w:hAnsi="Arial" w:cs="Arial"/>
          <w:b/>
          <w:caps w:val="0"/>
          <w:color w:val="FF5900"/>
          <w:sz w:val="21"/>
        </w:rPr>
        <w:t xml:space="preserve">8.  </w:t>
      </w:r>
      <w:r>
        <w:rPr>
          <w:rFonts w:ascii="Arial" w:hAnsi="Arial" w:cs="Arial"/>
          <w:b w:val="0"/>
          <w:caps w:val="0"/>
          <w:color w:val="141416"/>
          <w:sz w:val="21"/>
        </w:rPr>
        <w:t>Reward Ecosystem Development</w:t>
      </w:r>
    </w:p>
    <w:p>
      <w:pPr>
        <w:spacing w:after="60" w:line="276" w:lineRule="auto"/>
        <w:ind w:left="397"/>
      </w:pPr>
      <w:r>
        <w:rPr>
          <w:rFonts w:ascii="Arial" w:hAnsi="Arial" w:cs="Arial"/>
          <w:b/>
          <w:caps w:val="0"/>
          <w:color w:val="FF5900"/>
          <w:sz w:val="21"/>
        </w:rPr>
        <w:t xml:space="preserve">9.  </w:t>
      </w:r>
      <w:r>
        <w:rPr>
          <w:rFonts w:ascii="Arial" w:hAnsi="Arial" w:cs="Arial"/>
          <w:b w:val="0"/>
          <w:caps w:val="0"/>
          <w:color w:val="141416"/>
          <w:sz w:val="21"/>
        </w:rPr>
        <w:t>Tenant Participation &amp; Ecosystem Collaboration</w:t>
      </w:r>
    </w:p>
    <w:p>
      <w:pPr>
        <w:spacing w:after="60" w:line="276" w:lineRule="auto"/>
        <w:ind w:left="397"/>
      </w:pPr>
      <w:r>
        <w:rPr>
          <w:rFonts w:ascii="Arial" w:hAnsi="Arial" w:cs="Arial"/>
          <w:b/>
          <w:caps w:val="0"/>
          <w:color w:val="FF5900"/>
          <w:sz w:val="21"/>
        </w:rPr>
        <w:t xml:space="preserve">10.  </w:t>
      </w:r>
      <w:r>
        <w:rPr>
          <w:rFonts w:ascii="Arial" w:hAnsi="Arial" w:cs="Arial"/>
          <w:b w:val="0"/>
          <w:caps w:val="0"/>
          <w:color w:val="141416"/>
          <w:sz w:val="21"/>
        </w:rPr>
        <w:t>Microsite &amp; Technical Considerations</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tcMar>
              <w:top w:w="60" w:type="dxa"/>
              <w:bottom w:w="40" w:type="dxa"/>
              <w:start w:w="0" w:type="dxa"/>
              <w:end w:w="0" w:type="dxa"/>
              <w:left w:w="0" w:type="dxa"/>
              <w:right w:w="0" w:type="dxa"/>
            </w:tcMar>
            <w:tcBorders>
              <w:bottom w:val="single" w:sz="16" w:color="FF5900"/>
            </w:tcBorders>
          </w:tcPr>
          <w:p>
            <w:pPr>
              <w:spacing w:after="0"/>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KEY POINTS &amp; DECISIONS</w:t>
            </w:r>
          </w:p>
        </w:tc>
      </w:tr>
    </w:tbl>
    <w:p>
      <w:pPr>
        <w:spacing w:after="40"/>
      </w:pPr>
    </w:p>
    <w:p>
      <w:pPr>
        <w:spacing w:after="60" w:line="276" w:lineRule="auto"/>
        <w:ind w:left="397"/>
      </w:pPr>
      <w:r>
        <w:rPr>
          <w:rFonts w:ascii="Arial" w:hAnsi="Arial" w:cs="Arial"/>
          <w:b/>
          <w:caps w:val="0"/>
          <w:color w:val="FF5900"/>
          <w:sz w:val="21"/>
        </w:rPr>
        <w:t xml:space="preserve">—  </w:t>
      </w:r>
      <w:r>
        <w:rPr>
          <w:rFonts w:ascii="Arial" w:hAnsi="Arial" w:cs="Arial"/>
          <w:b/>
          <w:caps w:val="0"/>
          <w:color w:val="141416"/>
          <w:sz w:val="21"/>
        </w:rPr>
        <w:t xml:space="preserve">Posisi program disepakati. </w:t>
      </w:r>
      <w:r>
        <w:rPr>
          <w:rFonts w:ascii="Arial" w:hAnsi="Arial" w:cs="Arial"/>
          <w:b w:val="0"/>
          <w:caps w:val="0"/>
          <w:color w:val="141416"/>
          <w:sz w:val="21"/>
        </w:rPr>
        <w:t>Urban Stamp Rally diposisikan sebagai engagement layer tambahan yang melengkapi sistem loyalty MyPertamina existing, bukan menggantikannya.</w:t>
      </w:r>
    </w:p>
    <w:p>
      <w:pPr>
        <w:spacing w:after="60" w:line="276" w:lineRule="auto"/>
        <w:ind w:left="397"/>
      </w:pPr>
      <w:r>
        <w:rPr>
          <w:rFonts w:ascii="Arial" w:hAnsi="Arial" w:cs="Arial"/>
          <w:b/>
          <w:caps w:val="0"/>
          <w:color w:val="FF5900"/>
          <w:sz w:val="21"/>
        </w:rPr>
        <w:t xml:space="preserve">—  </w:t>
      </w:r>
      <w:r>
        <w:rPr>
          <w:rFonts w:ascii="Arial" w:hAnsi="Arial" w:cs="Arial"/>
          <w:b/>
          <w:caps w:val="0"/>
          <w:color w:val="141416"/>
          <w:sz w:val="21"/>
        </w:rPr>
        <w:t xml:space="preserve">Pembatasan stamp. </w:t>
      </w:r>
      <w:r>
        <w:rPr>
          <w:rFonts w:ascii="Arial" w:hAnsi="Arial" w:cs="Arial"/>
          <w:b w:val="0"/>
          <w:caps w:val="0"/>
          <w:color w:val="141416"/>
          <w:sz w:val="21"/>
        </w:rPr>
        <w:t>Untuk menjaga fairness dan meminimalisir abuse, satu user diusulkan hanya dapat memperoleh maksimal 2 stamp per hari.</w:t>
      </w:r>
    </w:p>
    <w:p>
      <w:pPr>
        <w:spacing w:after="60" w:line="276" w:lineRule="auto"/>
        <w:ind w:left="397"/>
      </w:pPr>
      <w:r>
        <w:rPr>
          <w:rFonts w:ascii="Arial" w:hAnsi="Arial" w:cs="Arial"/>
          <w:b/>
          <w:caps w:val="0"/>
          <w:color w:val="FF5900"/>
          <w:sz w:val="21"/>
        </w:rPr>
        <w:t xml:space="preserve">—  </w:t>
      </w:r>
      <w:r>
        <w:rPr>
          <w:rFonts w:ascii="Arial" w:hAnsi="Arial" w:cs="Arial"/>
          <w:b/>
          <w:caps w:val="0"/>
          <w:color w:val="141416"/>
          <w:sz w:val="21"/>
        </w:rPr>
        <w:t xml:space="preserve">Integrasi MotoGP Mandalika. </w:t>
      </w:r>
      <w:r>
        <w:rPr>
          <w:rFonts w:ascii="Arial" w:hAnsi="Arial" w:cs="Arial"/>
          <w:b w:val="0"/>
          <w:caps w:val="0"/>
          <w:color w:val="141416"/>
          <w:sz w:val="21"/>
        </w:rPr>
        <w:t>Program diarahkan menjadi activation dalam ekosistem Road to MotoGP Mandalika, dengan reward dan pengalaman eksklusif sebagai insentif utama.</w:t>
      </w:r>
    </w:p>
    <w:p>
      <w:pPr>
        <w:spacing w:after="60" w:line="276" w:lineRule="auto"/>
        <w:ind w:left="397"/>
      </w:pPr>
      <w:r>
        <w:rPr>
          <w:rFonts w:ascii="Arial" w:hAnsi="Arial" w:cs="Arial"/>
          <w:b/>
          <w:caps w:val="0"/>
          <w:color w:val="FF5900"/>
          <w:sz w:val="21"/>
        </w:rPr>
        <w:t xml:space="preserve">—  </w:t>
      </w:r>
      <w:r>
        <w:rPr>
          <w:rFonts w:ascii="Arial" w:hAnsi="Arial" w:cs="Arial"/>
          <w:b/>
          <w:caps w:val="0"/>
          <w:color w:val="141416"/>
          <w:sz w:val="21"/>
        </w:rPr>
        <w:t xml:space="preserve">Perluasan Customer Experience review. </w:t>
      </w:r>
      <w:r>
        <w:rPr>
          <w:rFonts w:ascii="Arial" w:hAnsi="Arial" w:cs="Arial"/>
          <w:b w:val="0"/>
          <w:caps w:val="0"/>
          <w:color w:val="141416"/>
          <w:sz w:val="21"/>
        </w:rPr>
        <w:t>Mekanisme review diperluas dari fasilitas SPBU (toilet, mushola, totem) hingga ke tenant di dalam area SPBU untuk meningkatkan volume dan kualitas feedback.</w:t>
      </w:r>
    </w:p>
    <w:p>
      <w:pPr>
        <w:spacing w:after="60" w:line="276" w:lineRule="auto"/>
        <w:ind w:left="397"/>
      </w:pPr>
      <w:r>
        <w:rPr>
          <w:rFonts w:ascii="Arial" w:hAnsi="Arial" w:cs="Arial"/>
          <w:b/>
          <w:caps w:val="0"/>
          <w:color w:val="FF5900"/>
          <w:sz w:val="21"/>
        </w:rPr>
        <w:t xml:space="preserve">—  </w:t>
      </w:r>
      <w:r>
        <w:rPr>
          <w:rFonts w:ascii="Arial" w:hAnsi="Arial" w:cs="Arial"/>
          <w:b/>
          <w:caps w:val="0"/>
          <w:color w:val="141416"/>
          <w:sz w:val="21"/>
        </w:rPr>
        <w:t xml:space="preserve">Pendekatan pilot project. </w:t>
      </w:r>
      <w:r>
        <w:rPr>
          <w:rFonts w:ascii="Arial" w:hAnsi="Arial" w:cs="Arial"/>
          <w:b w:val="0"/>
          <w:caps w:val="0"/>
          <w:color w:val="141416"/>
          <w:sz w:val="21"/>
        </w:rPr>
        <w:t>Program akan dimulai dengan sejumlah SPBU terpilih sebagai pilot sebelum diperluas ke area yang lebih luas.</w:t>
      </w:r>
    </w:p>
    <w:p>
      <w:pPr>
        <w:spacing w:after="60" w:line="276" w:lineRule="auto"/>
        <w:ind w:left="397"/>
      </w:pPr>
      <w:r>
        <w:rPr>
          <w:rFonts w:ascii="Arial" w:hAnsi="Arial" w:cs="Arial"/>
          <w:b/>
          <w:caps w:val="0"/>
          <w:color w:val="FF5900"/>
          <w:sz w:val="21"/>
        </w:rPr>
        <w:t xml:space="preserve">—  </w:t>
      </w:r>
      <w:r>
        <w:rPr>
          <w:rFonts w:ascii="Arial" w:hAnsi="Arial" w:cs="Arial"/>
          <w:b/>
          <w:caps w:val="0"/>
          <w:color w:val="141416"/>
          <w:sz w:val="21"/>
        </w:rPr>
        <w:t xml:space="preserve">Fokus pengembangan lanjutan. </w:t>
      </w:r>
      <w:r>
        <w:rPr>
          <w:rFonts w:ascii="Arial" w:hAnsi="Arial" w:cs="Arial"/>
          <w:b w:val="0"/>
          <w:caps w:val="0"/>
          <w:color w:val="141416"/>
          <w:sz w:val="21"/>
        </w:rPr>
        <w:t>Diskusi berikutnya difokuskan pada tiga area: Terms &amp; Mechanism, Reward Ecosystem, serta Technical &amp; API Integration.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tcMar>
              <w:top w:w="60" w:type="dxa"/>
              <w:bottom w:w="40" w:type="dxa"/>
              <w:start w:w="0" w:type="dxa"/>
              <w:end w:w="0" w:type="dxa"/>
              <w:left w:w="0" w:type="dxa"/>
              <w:right w:w="0" w:type="dxa"/>
            </w:tcMar>
            <w:tcBorders>
              <w:bottom w:val="single" w:sz="16" w:color="FF5900"/>
            </w:tcBorders>
          </w:tcPr>
          <w:p>
            <w:pPr>
              <w:spacing w:after="0"/>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DISCUSSION</w:t>
            </w:r>
          </w:p>
        </w:tc>
      </w:tr>
    </w:tbl>
    <w:p>
      <w:pPr>
        <w:spacing w:after="40"/>
      </w:pPr>
    </w:p>
    <w:p>
      <w:pPr>
        <w:spacing w:before="80" w:after="20" w:line="269" w:lineRule="auto"/>
      </w:pPr>
      <w:r>
        <w:rPr>
          <w:rFonts w:ascii="Arial" w:hAnsi="Arial" w:cs="Arial"/>
          <w:b/>
          <w:caps w:val="0"/>
          <w:color w:val="FF5900"/>
          <w:sz w:val="22"/>
        </w:rPr>
        <w:t>1. Program Vision &amp; Strategic Direction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Urban Stamp Rally didiskusikan sebagai loyalty experience yang melampaui mekanisme transaksi konvensional.</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Tujuan program: meningkatkan frekuensi penggunaan MyPertamina, mendorong eksplorasi SPBU dalam jaringan Pertamina, menghasilkan engagement berulang melalui gamification, serta mengumpulkan customer experience insight secara lebih organik.</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Program diharapkan menciptakan pengalaman loyalty dengan unsur achievement, discovery, dan reward progression — sebagai engagement layer pelengkap, bukan pengganti sistem loyalty existing.</w:t>
      </w:r>
    </w:p>
    <w:p>
      <w:pPr>
        <w:spacing w:before="80" w:after="20" w:line="269" w:lineRule="auto"/>
      </w:pPr>
      <w:r>
        <w:rPr>
          <w:rFonts w:ascii="Arial" w:hAnsi="Arial" w:cs="Arial"/>
          <w:b/>
          <w:caps w:val="0"/>
          <w:color w:val="FF5900"/>
          <w:sz w:val="22"/>
        </w:rPr>
        <w:t>2. Customer Journey &amp; Participation Flow</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User melakukan transaksi di SPBU menggunakan MyPertamina, lalu sistem memvalidasi transaksi tersebut.</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User diarahkan ke microsite Urban Stamp Rally dan menyelesaikan aktivitas yang tersedia.</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Stamp diberikan secara otomatis dan digunakan untuk membuka reward, badge, achievement, maupun challenge tertentu.</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Pendekatan otomatis ini dinilai lebih seamless dibanding proses yang membutuhkan interaksi manual dari operator SPBU.</w:t>
      </w:r>
    </w:p>
    <w:p>
      <w:pPr>
        <w:spacing w:before="80" w:after="20" w:line="269" w:lineRule="auto"/>
      </w:pPr>
      <w:r>
        <w:rPr>
          <w:rFonts w:ascii="Arial" w:hAnsi="Arial" w:cs="Arial"/>
          <w:b/>
          <w:caps w:val="0"/>
          <w:color w:val="FF5900"/>
          <w:sz w:val="22"/>
        </w:rPr>
        <w:t>3. Transaction Validation Framework</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Diskusi utama: memastikan stamp diberikan berdasarkan aktivitas yang valid dan tidak mudah disalahgunakan.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Perlu membedakan kategori pengguna kendaraan roda dua dan roda empat karena karakteristik transaksi yang berbeda.</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Tantangan teridentifikasi: belum ada identifikasi kendaraan untuk transaksi non-subsidi; potensi transaksi berulang untuk mengumpulkan stamp cepat; serta potensi ketidaksesuaian kategori kendaraan yang dipilih dengan kendaraan yang digunakan.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Disepakati mekanisme validasi harus mengacu pada data transaksi MyPertamina dan perlu didiskusikan lebih lanjut bersama tim backend dan digital.</w:t>
      </w:r>
    </w:p>
    <w:p>
      <w:pPr>
        <w:spacing w:before="80" w:after="20" w:line="269" w:lineRule="auto"/>
      </w:pPr>
      <w:r>
        <w:rPr>
          <w:rFonts w:ascii="Arial" w:hAnsi="Arial" w:cs="Arial"/>
          <w:b/>
          <w:caps w:val="0"/>
          <w:color w:val="FF5900"/>
          <w:sz w:val="22"/>
        </w:rPr>
        <w:t>4. Stamp System &amp; Gamification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Stamp menjadi inti pengalaman pengguna dan diperoleh melalui aktivitas tervalidasi: pembelian BBM non-subsidi, aktivitas tertentu di SPBU, challenge berbasis lokasi, dan aktivitas engagement lain yang ditentukan kemudian.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Disepakati perlunya pembatasan jumlah stamp per hari untuk menjaga fairness dan meminimalisir penyalahgunaan.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Sistem berpotensi dikembangkan menjadi Badge Collection, Achievement System, Progress Tracking, Leaderboard, dan Tiered Challenges.</w:t>
      </w:r>
    </w:p>
    <w:p>
      <w:pPr>
        <w:spacing w:before="80" w:after="20" w:line="269" w:lineRule="auto"/>
      </w:pPr>
      <w:r>
        <w:rPr>
          <w:rFonts w:ascii="Arial" w:hAnsi="Arial" w:cs="Arial"/>
          <w:b/>
          <w:caps w:val="0"/>
          <w:color w:val="FF5900"/>
          <w:sz w:val="22"/>
        </w:rPr>
        <w:t>5. Customer Experience Integration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Program dipandang sebagai peluang mendukung inisiatif Customer Experience yang sedang berjalan.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Saat ini beberapa SPBU telah mengumpulkan feedback melalui QR Code pada fasilitas tertentu.</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Mekanisme review dapat diintegrasikan ke dalam Urban Stamp Rally agar pengguna memiliki insentif yang lebih jelas untuk berpartisipasi.</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Area review berpotensi mencakup: toilet, mushola, totem informasi, Bright Store, tenant F&amp;B, dan tenant retail lain dalam area SPBU.</w:t>
      </w:r>
    </w:p>
    <w:p>
      <w:pPr>
        <w:spacing w:before="80" w:after="20" w:line="269" w:lineRule="auto"/>
      </w:pPr>
      <w:r>
        <w:rPr>
          <w:rFonts w:ascii="Arial" w:hAnsi="Arial" w:cs="Arial"/>
          <w:b/>
          <w:caps w:val="0"/>
          <w:color w:val="FF5900"/>
          <w:sz w:val="22"/>
        </w:rPr>
        <w:t>6. SPBU Discovery &amp; Hidden Gem Strategy</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Program mendorong eksplorasi SPBU tertentu yang memiliki pengalaman lebih lengkap — disebut sebagai "Hidden Gem SPBU".</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Tujuan: mendorong traffic ke SPBU pilihan, memperkenalkan fasilitas SPBU, mengangkat tenant/merchant, dan menciptakan alasan baru bagi pengguna untuk berkunjung.</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Tahap awal menggunakan sejumlah SPBU terpilih sebagai pilot project sebelum diperluas.</w:t>
      </w:r>
    </w:p>
    <w:p>
      <w:pPr>
        <w:spacing w:before="80" w:after="20" w:line="269" w:lineRule="auto"/>
      </w:pPr>
      <w:r>
        <w:rPr>
          <w:rFonts w:ascii="Arial" w:hAnsi="Arial" w:cs="Arial"/>
          <w:b/>
          <w:caps w:val="0"/>
          <w:color w:val="FF5900"/>
          <w:sz w:val="22"/>
        </w:rPr>
        <w:t>7. Road to MotoGP Mandalika Opportunity</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Peluang terbesar: menghubungkan Urban Stamp Rally dengan ekosistem Road to MotoGP Mandalika, memberikan narasi yang lebih kuat dibanding loyalty berbasis promo atau diskon.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Pengguna dapat mengumpulkan poin, badge, dan achievement yang membuka akses reward bertema MotoGP.</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Potensi reward: Tiket MotoGP Mandalika, VIP Experience, Exclusive Access, Official Merchandise, Special Edition Collectibles, dan Event Privileges.</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Program dapat dikembangkan sebagai loyalty journey sepanjang tahun menuju event puncak.</w:t>
      </w:r>
    </w:p>
    <w:p>
      <w:pPr>
        <w:spacing w:before="80" w:after="20" w:line="269" w:lineRule="auto"/>
      </w:pPr>
      <w:r>
        <w:rPr>
          <w:rFonts w:ascii="Arial" w:hAnsi="Arial" w:cs="Arial"/>
          <w:b/>
          <w:caps w:val="0"/>
          <w:color w:val="FF5900"/>
          <w:sz w:val="22"/>
        </w:rPr>
        <w:t>8. Reward Ecosystem Development</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Pentingnya menghadirkan reward dengan nilai emosional, bukan hanya transaksional.</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BUBU mempresentasikan studi kasus kolaborasi bersama komunitas, brand, fashion label, gaming publisher, hingga creative talents.</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Pendekatan reward relevan: Limited Edition Merchandise, Capsule Collection, Community Collaboration Products, Collectible Artifacts, Artist Collaboration, dan Cultural Collaboration.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Reward berbasis culture dan exclusivity dinilai lebih menarik, terutama bagi segmen pengguna muda.</w:t>
      </w:r>
    </w:p>
    <w:p>
      <w:pPr>
        <w:spacing w:before="80" w:after="20" w:line="269" w:lineRule="auto"/>
      </w:pPr>
      <w:r>
        <w:rPr>
          <w:rFonts w:ascii="Arial" w:hAnsi="Arial" w:cs="Arial"/>
          <w:b/>
          <w:caps w:val="0"/>
          <w:color w:val="FF5900"/>
          <w:sz w:val="22"/>
        </w:rPr>
        <w:t>9. Tenant Participation &amp; Ecosystem Collaboration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Karena sebagian pengalaman pengguna terjadi di area SPBU, diperlukan keterlibatan tenant di dalam lokasi.</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Peluang keterlibatan tenant: sebagai lokasi challenge, pemberi stamp tambahan, sumber reward, dan bagian dari customer review journey.</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Diperlukan sinkronisasi lebih lanjut dengan tenant pada SPBU yang masuk ke dalam pilot project.</w:t>
      </w:r>
    </w:p>
    <w:p>
      <w:pPr>
        <w:spacing w:before="80" w:after="20" w:line="269" w:lineRule="auto"/>
      </w:pPr>
      <w:r>
        <w:rPr>
          <w:rFonts w:ascii="Arial" w:hAnsi="Arial" w:cs="Arial"/>
          <w:b/>
          <w:caps w:val="0"/>
          <w:color w:val="FF5900"/>
          <w:sz w:val="22"/>
        </w:rPr>
        <w:t>10. Microsite &amp; Technical Considerations</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Program membutuhkan microsite khusus yang terhubung dengan aplikasi MyPertamina.</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Fitur yang dibahas: Stamp Collection, Progress Tracking, Challenge Center, Reward Center, Leaderboard, Hidden Gem Discovery, User Achievement, dan Campaign Information.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Implementasi teknis memerlukan pembahasan lanjutan terkait integrasi API transaksi, validasi stamp, reward redemption, leaderboard system, data tracking, dan dashboard monitoring.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tcMar>
              <w:top w:w="60" w:type="dxa"/>
              <w:bottom w:w="40" w:type="dxa"/>
              <w:start w:w="0" w:type="dxa"/>
              <w:end w:w="0" w:type="dxa"/>
              <w:left w:w="0" w:type="dxa"/>
              <w:right w:w="0" w:type="dxa"/>
            </w:tcMar>
            <w:tcBorders>
              <w:bottom w:val="single" w:sz="16" w:color="FF5900"/>
            </w:tcBorders>
          </w:tcPr>
          <w:p>
            <w:pPr>
              <w:spacing w:after="0"/>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ACTION ITEMS</w:t>
            </w:r>
          </w:p>
        </w:tc>
      </w:tr>
    </w:tbl>
    <w:p>
      <w:pPr>
        <w:spacing w:after="40"/>
      </w:pPr>
    </w:p>
    <w:tbl>
      <w:tblPr>
        <w:tblW w:type="auto" w:w="0"/>
        <w:jc w:val="left"/>
        <w:tblLook w:firstColumn="1" w:firstRow="1" w:lastColumn="0" w:lastRow="0" w:noHBand="0" w:noVBand="1" w:val="04A0"/>
        <w:tblBorders>
          <w:top w:val="single" w:sz="4" w:color="E3E3E3"/>
          <w:left w:val="single" w:sz="4" w:color="E3E3E3"/>
          <w:bottom w:val="single" w:sz="4" w:color="E3E3E3"/>
          <w:right w:val="single" w:sz="4" w:color="E3E3E3"/>
          <w:insideH w:val="single" w:sz="4" w:color="E3E3E3"/>
          <w:insideV w:val="single" w:sz="4" w:color="E3E3E3"/>
        </w:tblBorders>
      </w:tblPr>
      <w:tblGrid>
        <w:gridCol w:w="567"/>
        <w:gridCol w:w="4649"/>
        <w:gridCol w:w="1701"/>
        <w:gridCol w:w="1474"/>
        <w:gridCol w:w="1247"/>
      </w:tblGrid>
      <w:tr>
        <w:tc>
          <w:tcPr>
            <w:tcW w:type="dxa" w:w="567"/>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w:t>
            </w:r>
          </w:p>
        </w:tc>
        <w:tc>
          <w:tcPr>
            <w:tcW w:type="dxa" w:w="4649"/>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ACTION</w:t>
            </w:r>
          </w:p>
        </w:tc>
        <w:tc>
          <w:tcPr>
            <w:tcW w:type="dxa" w:w="1701"/>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OWNER</w:t>
            </w:r>
          </w:p>
        </w:tc>
        <w:tc>
          <w:tcPr>
            <w:tcW w:type="dxa" w:w="1474"/>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DUE</w:t>
            </w:r>
          </w:p>
        </w:tc>
        <w:tc>
          <w:tcPr>
            <w:tcW w:type="dxa" w:w="1247"/>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STATUS</w:t>
            </w:r>
          </w:p>
        </w:tc>
      </w:tr>
      <w:tr>
        <w:tc>
          <w:tcPr>
            <w:tcW w:type="dxa" w:w="56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1</w:t>
            </w:r>
          </w:p>
        </w:tc>
        <w:tc>
          <w:tcPr>
            <w:tcW w:type="dxa" w:w="4649"/>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Menentukan skema validasi transaksi untuk kategori motor dan mobil</w:t>
            </w:r>
          </w:p>
        </w:tc>
        <w:tc>
          <w:tcPr>
            <w:tcW w:type="dxa" w:w="1701"/>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MyPertamina</w:t>
            </w:r>
          </w:p>
        </w:tc>
        <w:tc>
          <w:tcPr>
            <w:tcW w:type="dxa" w:w="1474"/>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Week 1</w:t>
            </w:r>
          </w:p>
        </w:tc>
        <w:tc>
          <w:tcPr>
            <w:tcW w:type="dxa" w:w="124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Open</w:t>
            </w:r>
          </w:p>
        </w:tc>
      </w:tr>
      <w:tr>
        <w:tc>
          <w:tcPr>
            <w:tcW w:type="dxa" w:w="56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2</w:t>
            </w:r>
          </w:p>
        </w:tc>
        <w:tc>
          <w:tcPr>
            <w:tcW w:type="dxa" w:w="4649"/>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Menentukan threshold transaksi yang memenuhi syarat memperoleh stamp</w:t>
            </w:r>
          </w:p>
        </w:tc>
        <w:tc>
          <w:tcPr>
            <w:tcW w:type="dxa" w:w="1701"/>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MyPertamina</w:t>
            </w:r>
          </w:p>
        </w:tc>
        <w:tc>
          <w:tcPr>
            <w:tcW w:type="dxa" w:w="1474"/>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Week 1</w:t>
            </w:r>
          </w:p>
        </w:tc>
        <w:tc>
          <w:tcPr>
            <w:tcW w:type="dxa" w:w="124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Open</w:t>
            </w:r>
          </w:p>
        </w:tc>
      </w:tr>
      <w:tr>
        <w:tc>
          <w:tcPr>
            <w:tcW w:type="dxa" w:w="56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3</w:t>
            </w:r>
          </w:p>
        </w:tc>
        <w:tc>
          <w:tcPr>
            <w:tcW w:type="dxa" w:w="4649"/>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Menyusun mekanisme stamp earning dan anti-abuse framework</w:t>
            </w:r>
          </w:p>
        </w:tc>
        <w:tc>
          <w:tcPr>
            <w:tcW w:type="dxa" w:w="1701"/>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BUBU &amp; MyPertamina</w:t>
            </w:r>
          </w:p>
        </w:tc>
        <w:tc>
          <w:tcPr>
            <w:tcW w:type="dxa" w:w="1474"/>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Week 1</w:t>
            </w:r>
          </w:p>
        </w:tc>
        <w:tc>
          <w:tcPr>
            <w:tcW w:type="dxa" w:w="124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Open</w:t>
            </w:r>
          </w:p>
        </w:tc>
      </w:tr>
      <w:tr>
        <w:tc>
          <w:tcPr>
            <w:tcW w:type="dxa" w:w="56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4</w:t>
            </w:r>
          </w:p>
        </w:tc>
        <w:tc>
          <w:tcPr>
            <w:tcW w:type="dxa" w:w="4649"/>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Menentukan daftar SPBU pilot project</w:t>
            </w:r>
          </w:p>
        </w:tc>
        <w:tc>
          <w:tcPr>
            <w:tcW w:type="dxa" w:w="1701"/>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MyPertamina</w:t>
            </w:r>
          </w:p>
        </w:tc>
        <w:tc>
          <w:tcPr>
            <w:tcW w:type="dxa" w:w="1474"/>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Week 2</w:t>
            </w:r>
          </w:p>
        </w:tc>
        <w:tc>
          <w:tcPr>
            <w:tcW w:type="dxa" w:w="124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Open</w:t>
            </w:r>
          </w:p>
        </w:tc>
      </w:tr>
      <w:tr>
        <w:tc>
          <w:tcPr>
            <w:tcW w:type="dxa" w:w="56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5</w:t>
            </w:r>
          </w:p>
        </w:tc>
        <w:tc>
          <w:tcPr>
            <w:tcW w:type="dxa" w:w="4649"/>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Mengidentifikasi tenant yang berpotensi terlibat dalam program</w:t>
            </w:r>
          </w:p>
        </w:tc>
        <w:tc>
          <w:tcPr>
            <w:tcW w:type="dxa" w:w="1701"/>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MyPertamina</w:t>
            </w:r>
          </w:p>
        </w:tc>
        <w:tc>
          <w:tcPr>
            <w:tcW w:type="dxa" w:w="1474"/>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Week 2</w:t>
            </w:r>
          </w:p>
        </w:tc>
        <w:tc>
          <w:tcPr>
            <w:tcW w:type="dxa" w:w="124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Open</w:t>
            </w:r>
          </w:p>
        </w:tc>
      </w:tr>
      <w:tr>
        <w:tc>
          <w:tcPr>
            <w:tcW w:type="dxa" w:w="56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6</w:t>
            </w:r>
          </w:p>
        </w:tc>
        <w:tc>
          <w:tcPr>
            <w:tcW w:type="dxa" w:w="4649"/>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Menyusun konsep reward ecosystem berbasis MotoGP dan collectibles</w:t>
            </w:r>
          </w:p>
        </w:tc>
        <w:tc>
          <w:tcPr>
            <w:tcW w:type="dxa" w:w="1701"/>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BUBU</w:t>
            </w:r>
          </w:p>
        </w:tc>
        <w:tc>
          <w:tcPr>
            <w:tcW w:type="dxa" w:w="1474"/>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Week 2</w:t>
            </w:r>
          </w:p>
        </w:tc>
        <w:tc>
          <w:tcPr>
            <w:tcW w:type="dxa" w:w="124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Open</w:t>
            </w:r>
          </w:p>
        </w:tc>
      </w:tr>
      <w:tr>
        <w:tc>
          <w:tcPr>
            <w:tcW w:type="dxa" w:w="56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7</w:t>
            </w:r>
          </w:p>
        </w:tc>
        <w:tc>
          <w:tcPr>
            <w:tcW w:type="dxa" w:w="4649"/>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Menyusun user flow dan gamification framework Urban Stamp Rally</w:t>
            </w:r>
          </w:p>
        </w:tc>
        <w:tc>
          <w:tcPr>
            <w:tcW w:type="dxa" w:w="1701"/>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BUBU</w:t>
            </w:r>
          </w:p>
        </w:tc>
        <w:tc>
          <w:tcPr>
            <w:tcW w:type="dxa" w:w="1474"/>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Week 1</w:t>
            </w:r>
          </w:p>
        </w:tc>
        <w:tc>
          <w:tcPr>
            <w:tcW w:type="dxa" w:w="124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Open</w:t>
            </w:r>
          </w:p>
        </w:tc>
      </w:tr>
      <w:tr>
        <w:tc>
          <w:tcPr>
            <w:tcW w:type="dxa" w:w="56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8</w:t>
            </w:r>
          </w:p>
        </w:tc>
        <w:tc>
          <w:tcPr>
            <w:tcW w:type="dxa" w:w="4649"/>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Menyusun kebutuhan microsite dan dashboard monitoring</w:t>
            </w:r>
          </w:p>
        </w:tc>
        <w:tc>
          <w:tcPr>
            <w:tcW w:type="dxa" w:w="1701"/>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BUBU</w:t>
            </w:r>
          </w:p>
        </w:tc>
        <w:tc>
          <w:tcPr>
            <w:tcW w:type="dxa" w:w="1474"/>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Week 3</w:t>
            </w:r>
          </w:p>
        </w:tc>
        <w:tc>
          <w:tcPr>
            <w:tcW w:type="dxa" w:w="124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Open</w:t>
            </w:r>
          </w:p>
        </w:tc>
      </w:tr>
      <w:tr>
        <w:tc>
          <w:tcPr>
            <w:tcW w:type="dxa" w:w="56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9</w:t>
            </w:r>
          </w:p>
        </w:tc>
        <w:tc>
          <w:tcPr>
            <w:tcW w:type="dxa" w:w="4649"/>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Melakukan assessment kebutuhan API dan integrasi transaksi</w:t>
            </w:r>
          </w:p>
        </w:tc>
        <w:tc>
          <w:tcPr>
            <w:tcW w:type="dxa" w:w="1701"/>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MyPertamina &amp; BUBU</w:t>
            </w:r>
          </w:p>
        </w:tc>
        <w:tc>
          <w:tcPr>
            <w:tcW w:type="dxa" w:w="1474"/>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Week 3</w:t>
            </w:r>
          </w:p>
        </w:tc>
        <w:tc>
          <w:tcPr>
            <w:tcW w:type="dxa" w:w="124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Open</w:t>
            </w:r>
          </w:p>
        </w:tc>
      </w:tr>
      <w:tr>
        <w:tc>
          <w:tcPr>
            <w:tcW w:type="dxa" w:w="56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10</w:t>
            </w:r>
          </w:p>
        </w:tc>
        <w:tc>
          <w:tcPr>
            <w:tcW w:type="dxa" w:w="4649"/>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Menyusun roadmap implementasi pilot program</w:t>
            </w:r>
          </w:p>
        </w:tc>
        <w:tc>
          <w:tcPr>
            <w:tcW w:type="dxa" w:w="1701"/>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MyPertamina &amp; BUBU</w:t>
            </w:r>
          </w:p>
        </w:tc>
        <w:tc>
          <w:tcPr>
            <w:tcW w:type="dxa" w:w="1474"/>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Week 4</w:t>
            </w:r>
          </w:p>
        </w:tc>
        <w:tc>
          <w:tcPr>
            <w:tcW w:type="dxa" w:w="124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Open</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tcMar>
              <w:top w:w="60" w:type="dxa"/>
              <w:bottom w:w="40" w:type="dxa"/>
              <w:start w:w="0" w:type="dxa"/>
              <w:end w:w="0" w:type="dxa"/>
              <w:left w:w="0" w:type="dxa"/>
              <w:right w:w="0" w:type="dxa"/>
            </w:tcMar>
            <w:tcBorders>
              <w:bottom w:val="single" w:sz="16" w:color="FF5900"/>
            </w:tcBorders>
          </w:tcPr>
          <w:p>
            <w:pPr>
              <w:spacing w:after="0"/>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RISKS, BLOCKERS &amp; WORKAROUNDS</w:t>
            </w:r>
          </w:p>
        </w:tc>
      </w:tr>
    </w:tbl>
    <w:p>
      <w:pPr>
        <w:spacing w:after="40"/>
      </w:pPr>
    </w:p>
    <w:tbl>
      <w:tblPr>
        <w:tblW w:type="auto" w:w="0"/>
        <w:jc w:val="left"/>
        <w:tblLook w:firstColumn="1" w:firstRow="1" w:lastColumn="0" w:lastRow="0" w:noHBand="0" w:noVBand="1" w:val="04A0"/>
        <w:tblBorders>
          <w:top w:val="single" w:sz="4" w:color="E3E3E3"/>
          <w:left w:val="single" w:sz="4" w:color="E3E3E3"/>
          <w:bottom w:val="single" w:sz="4" w:color="E3E3E3"/>
          <w:right w:val="single" w:sz="4" w:color="E3E3E3"/>
          <w:insideH w:val="single" w:sz="4" w:color="E3E3E3"/>
          <w:insideV w:val="single" w:sz="4" w:color="E3E3E3"/>
        </w:tblBorders>
      </w:tblPr>
      <w:tblGrid>
        <w:gridCol w:w="567"/>
        <w:gridCol w:w="2948"/>
        <w:gridCol w:w="1587"/>
        <w:gridCol w:w="3175"/>
        <w:gridCol w:w="1361"/>
      </w:tblGrid>
      <w:tr>
        <w:tc>
          <w:tcPr>
            <w:tcW w:type="dxa" w:w="567"/>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w:t>
            </w:r>
          </w:p>
        </w:tc>
        <w:tc>
          <w:tcPr>
            <w:tcW w:type="dxa" w:w="2948"/>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RISK / BLOCKER</w:t>
            </w:r>
          </w:p>
        </w:tc>
        <w:tc>
          <w:tcPr>
            <w:tcW w:type="dxa" w:w="1587"/>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IMPACT</w:t>
            </w:r>
          </w:p>
        </w:tc>
        <w:tc>
          <w:tcPr>
            <w:tcW w:type="dxa" w:w="3175"/>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WORKAROUND / MITIGATION</w:t>
            </w:r>
          </w:p>
        </w:tc>
        <w:tc>
          <w:tcPr>
            <w:tcW w:type="dxa" w:w="1361"/>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OWNER</w:t>
            </w:r>
          </w:p>
        </w:tc>
      </w:tr>
      <w:tr>
        <w:tc>
          <w:tcPr>
            <w:tcW w:type="dxa" w:w="56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1</w:t>
            </w:r>
          </w:p>
        </w:tc>
        <w:tc>
          <w:tcPr>
            <w:tcW w:type="dxa" w:w="2948"/>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Belum ada identifikasi kendaraan untuk transaksi BBM non-subsidi</w:t>
            </w:r>
          </w:p>
        </w:tc>
        <w:tc>
          <w:tcPr>
            <w:tcW w:type="dxa" w:w="158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High</w:t>
            </w:r>
          </w:p>
        </w:tc>
        <w:tc>
          <w:tcPr>
            <w:tcW w:type="dxa" w:w="3175"/>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Skema validasi mengacu pada data transaksi MyPertamina; dibahas lebih lanjut dengan tim backend &amp; digital untuk menentukan skema yang paling memungkinkan secara teknis.</w:t>
            </w:r>
          </w:p>
        </w:tc>
        <w:tc>
          <w:tcPr>
            <w:tcW w:type="dxa" w:w="1361"/>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MyPertamina</w:t>
            </w:r>
          </w:p>
        </w:tc>
      </w:tr>
      <w:tr>
        <w:tc>
          <w:tcPr>
            <w:tcW w:type="dxa" w:w="56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2</w:t>
            </w:r>
          </w:p>
        </w:tc>
        <w:tc>
          <w:tcPr>
            <w:tcW w:type="dxa" w:w="2948"/>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Potensi transaksi berulang untuk farming stamp secara cepat</w:t>
            </w:r>
          </w:p>
        </w:tc>
        <w:tc>
          <w:tcPr>
            <w:tcW w:type="dxa" w:w="158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High</w:t>
            </w:r>
          </w:p>
        </w:tc>
        <w:tc>
          <w:tcPr>
            <w:tcW w:type="dxa" w:w="3175"/>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Batasi perolehan maksimal 2 stamp per user per hari dan terapkan anti-abuse framework pada mekanisme stamp earning.</w:t>
            </w:r>
          </w:p>
        </w:tc>
        <w:tc>
          <w:tcPr>
            <w:tcW w:type="dxa" w:w="1361"/>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BUBU &amp; MyPertamina</w:t>
            </w:r>
          </w:p>
        </w:tc>
      </w:tr>
      <w:tr>
        <w:tc>
          <w:tcPr>
            <w:tcW w:type="dxa" w:w="56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3</w:t>
            </w:r>
          </w:p>
        </w:tc>
        <w:tc>
          <w:tcPr>
            <w:tcW w:type="dxa" w:w="2948"/>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Ketidaksesuaian kategori kendaraan yang dipilih dengan kendaraan saat transaksi</w:t>
            </w:r>
          </w:p>
        </w:tc>
        <w:tc>
          <w:tcPr>
            <w:tcW w:type="dxa" w:w="158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Medium</w:t>
            </w:r>
          </w:p>
        </w:tc>
        <w:tc>
          <w:tcPr>
            <w:tcW w:type="dxa" w:w="3175"/>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Validasi berbasis kategori transaksi (roda dua vs roda empat) yang diambil dari data transaksi MyPertamina, bukan input manual user.</w:t>
            </w:r>
          </w:p>
        </w:tc>
        <w:tc>
          <w:tcPr>
            <w:tcW w:type="dxa" w:w="1361"/>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MyPertamina</w:t>
            </w:r>
          </w:p>
        </w:tc>
      </w:tr>
      <w:tr>
        <w:tc>
          <w:tcPr>
            <w:tcW w:type="dxa" w:w="56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4</w:t>
            </w:r>
          </w:p>
        </w:tc>
        <w:tc>
          <w:tcPr>
            <w:tcW w:type="dxa" w:w="2948"/>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Ketergantungan pada partisipasi tenant di SPBU pilot</w:t>
            </w:r>
          </w:p>
        </w:tc>
        <w:tc>
          <w:tcPr>
            <w:tcW w:type="dxa" w:w="1587"/>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Medium</w:t>
            </w:r>
          </w:p>
        </w:tc>
        <w:tc>
          <w:tcPr>
            <w:tcW w:type="dxa" w:w="3175"/>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Lakukan sinkronisasi awal dengan tenant pada SPBU terpilih sebelum pilot agar peran tenant (challenge, stamp, reward, review) terkonfirmasi.</w:t>
            </w:r>
          </w:p>
        </w:tc>
        <w:tc>
          <w:tcPr>
            <w:tcW w:type="dxa" w:w="1361"/>
            <w:vAlign w:val="top"/>
            <w:tcMar>
              <w:top w:w="60" w:type="dxa"/>
              <w:bottom w:w="60" w:type="dxa"/>
              <w:start w:w="100" w:type="dxa"/>
              <w:end w:w="100" w:type="dxa"/>
              <w:left w:w="100" w:type="dxa"/>
              <w:right w:w="100" w:type="dxa"/>
            </w:tcMar>
            <w:shd w:val="clear" w:color="auto" w:fill="F5F4F2"/>
          </w:tcPr>
          <w:p>
            <w:pPr>
              <w:spacing w:after="0" w:line="269" w:lineRule="auto"/>
            </w:pPr>
            <w:r>
              <w:rPr>
                <w:rFonts w:ascii="Arial" w:hAnsi="Arial" w:cs="Arial"/>
                <w:b w:val="0"/>
                <w:caps w:val="0"/>
                <w:color w:val="141416"/>
                <w:sz w:val="19"/>
              </w:rPr>
              <w:t>MyPertamina</w:t>
            </w:r>
          </w:p>
        </w:tc>
      </w:tr>
      <w:tr>
        <w:tc>
          <w:tcPr>
            <w:tcW w:type="dxa" w:w="56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5</w:t>
            </w:r>
          </w:p>
        </w:tc>
        <w:tc>
          <w:tcPr>
            <w:tcW w:type="dxa" w:w="2948"/>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Reward transaksional kurang menarik bagi segmen pengguna muda</w:t>
            </w:r>
          </w:p>
        </w:tc>
        <w:tc>
          <w:tcPr>
            <w:tcW w:type="dxa" w:w="1587"/>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Medium</w:t>
            </w:r>
          </w:p>
        </w:tc>
        <w:tc>
          <w:tcPr>
            <w:tcW w:type="dxa" w:w="3175"/>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Hadirkan reward berbasis culture &amp; exclusivity (limited edition, collectibles, kolaborasi) serta integrasi pengalaman MotoGP sebagai insentif emosional.</w:t>
            </w:r>
          </w:p>
        </w:tc>
        <w:tc>
          <w:tcPr>
            <w:tcW w:type="dxa" w:w="1361"/>
            <w:vAlign w:val="top"/>
            <w:tcMar>
              <w:top w:w="60" w:type="dxa"/>
              <w:bottom w:w="60" w:type="dxa"/>
              <w:start w:w="100" w:type="dxa"/>
              <w:end w:w="100" w:type="dxa"/>
              <w:left w:w="100" w:type="dxa"/>
              <w:right w:w="100" w:type="dxa"/>
            </w:tcMar>
          </w:tcPr>
          <w:p>
            <w:pPr>
              <w:spacing w:after="0" w:line="269" w:lineRule="auto"/>
            </w:pPr>
            <w:r>
              <w:rPr>
                <w:rFonts w:ascii="Arial" w:hAnsi="Arial" w:cs="Arial"/>
                <w:b w:val="0"/>
                <w:caps w:val="0"/>
                <w:color w:val="141416"/>
                <w:sz w:val="19"/>
              </w:rPr>
              <w:t>BUBU</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tcMar>
              <w:top w:w="60" w:type="dxa"/>
              <w:bottom w:w="40" w:type="dxa"/>
              <w:start w:w="0" w:type="dxa"/>
              <w:end w:w="0" w:type="dxa"/>
              <w:left w:w="0" w:type="dxa"/>
              <w:right w:w="0" w:type="dxa"/>
            </w:tcMar>
            <w:tcBorders>
              <w:bottom w:val="single" w:sz="16" w:color="FF5900"/>
            </w:tcBorders>
          </w:tcPr>
          <w:p>
            <w:pPr>
              <w:spacing w:after="0"/>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NEXT STEPS</w:t>
            </w:r>
          </w:p>
        </w:tc>
      </w:tr>
    </w:tbl>
    <w:p>
      <w:pPr>
        <w:spacing w:after="40"/>
      </w:pP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Fokus pengembangan lanjutan pada tiga area utama: Terms &amp; Mechanism, Reward Ecosystem, dan Technical &amp; API Integration.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Week 1 — Terms &amp; Mechanism Workshop: menghasilkan Validation Framework, Stamp Rules, dan User Journey.</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Week 2 — Reward Ecosystem Workshop: menghasilkan Reward Architecture, MotoGP Integration, dan Collectible Strategy.</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Week 2 — SPBU &amp; Tenant Alignment: menghasilkan Final SPBU Shortlist dan Tenant Mapping.</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Week 3 — Technical &amp; API Workshop: menghasilkan Technical Requirement Document, API Scope, dan Development Timeline.</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Week 4 — Consolidation &amp; Final Alignment: menghasilkan Final Program Blueprint &amp; Pilot Recommendation.</w:t>
      </w:r>
    </w:p>
    <w:p>
      <w:pPr>
        <w:spacing w:after="60" w:line="276" w:lineRule="auto"/>
        <w:ind w:left="397"/>
      </w:pPr>
      <w:r>
        <w:rPr>
          <w:rFonts w:ascii="Arial" w:hAnsi="Arial" w:cs="Arial"/>
          <w:b/>
          <w:caps w:val="0"/>
          <w:color w:val="FF5900"/>
          <w:sz w:val="21"/>
        </w:rPr>
        <w:t xml:space="preserve">—  </w:t>
      </w:r>
      <w:r>
        <w:rPr>
          <w:rFonts w:ascii="Arial" w:hAnsi="Arial" w:cs="Arial"/>
          <w:b w:val="0"/>
          <w:caps w:val="0"/>
          <w:color w:val="141416"/>
          <w:sz w:val="21"/>
        </w:rPr>
        <w:t>Expected outcome: kesepakatan mekanisme program, reward ecosystem, daftar SPBU pilot, kebutuhan teknis, serta blueprint implementasi Urban Stamp Rally yang terintegrasi dengan ekosistem MyPertamina dan Road to MotoGP Mandalika.</w:t>
      </w:r>
    </w:p>
    <w:sectPr w:rsidR="00FC693F" w:rsidRPr="0006063C" w:rsidSect="00034616">
      <w:footerReference w:type="default" r:id="rId10"/>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ebas Neue">
    <w:embedRegular r:id="rIdBebasNeue" w:fontKey="{54B31B96-B85B-4032-8F52-18CBE71A1CBD}"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40"/>
      <w:pBdr>
        <w:top w:val="single" w:sz="4" w:color="E3E3E3" w:space="6"/>
      </w:pBdr>
    </w:pPr>
    <w:r>
      <w:rPr>
        <w:rFonts w:ascii="Arial" w:hAnsi="Arial" w:cs="Arial"/>
        <w:b w:val="0"/>
        <w:caps w:val="0"/>
        <w:color w:val="707074"/>
        <w:sz w:val="15"/>
      </w:rPr>
      <w:t>BUBU · 30 years turning culture into brands, products &amp; experiences</w:t>
    </w:r>
    <w:r>
      <w:tab/>
    </w:r>
    <w:r>
      <w:rPr>
        <w:rFonts w:ascii="Arial" w:hAnsi="Arial" w:cs="Arial"/>
        <w:b w:val="0"/>
        <w:caps w:val="0"/>
        <w:color w:val="707074"/>
        <w:sz w:val="15"/>
      </w:rPr>
      <w:t xml:space="preserve">Confidential   |   Page </w:t>
    </w:r>
    <w:r>
      <w:rPr>
        <w:rFonts w:ascii="Arial" w:hAnsi="Arial" w:cs="Arial"/>
        <w:b w:val="0"/>
        <w:caps w:val="0"/>
        <w:color w:val="707074"/>
        <w:sz w:val="15"/>
      </w:rPr>
      <w:fldChar w:fldCharType="begin"/>
      <w:instrText xml:space="preserve"> PAGE </w:instrText>
      <w:fldChar w:fldCharType="end"/>
    </w:r>
    <w:r>
      <w:rPr>
        <w:rFonts w:ascii="Arial" w:hAnsi="Arial" w:cs="Arial"/>
        <w:b w:val="0"/>
        <w:caps w:val="0"/>
        <w:color w:val="707074"/>
        <w:sz w:val="15"/>
      </w:rPr>
      <w:t xml:space="preserve"> of </w:t>
    </w:r>
    <w:r>
      <w:rPr>
        <w:rFonts w:ascii="Arial" w:hAnsi="Arial" w:cs="Arial"/>
        <w:b w:val="0"/>
        <w:caps w:val="0"/>
        <w:color w:val="707074"/>
        <w:sz w:val="15"/>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embedSystemFonts/>
  <w:saveSubsetFonts w:val="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414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_rels/fontTable.xml.rels><?xml version="1.0" encoding="UTF-8" standalone="yes"?><Relationships xmlns="http://schemas.openxmlformats.org/package/2006/relationships"><Relationship Id="rIdBebasNeue" Type="http://schemas.openxmlformats.org/officeDocument/2006/relationships/font" Target="fonts/font_bebasneue.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Alignment – MyPertamina Urban Stamp Rally Loyalty Program</dc:title>
  <dc:subject/>
  <dc:creator>BUBU</dc:creator>
  <cp:keywords/>
  <dc:description>generated by python-docx</dc:description>
  <cp:lastModifiedBy/>
  <cp:revision>1</cp:revision>
  <dcterms:created xsi:type="dcterms:W3CDTF">2013-12-23T23:15:00Z</dcterms:created>
  <dcterms:modified xsi:type="dcterms:W3CDTF">2013-12-23T23:15:00Z</dcterms:modified>
  <cp:category/>
</cp:coreProperties>
</file>