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Causality, Seriousness, and Expectedness</w:t>
      </w:r>
    </w:p>
    <w:p>
      <w:r>
        <w:t>Completed assessment matrix — training draft</w:t>
      </w:r>
    </w:p>
    <w:p>
      <w:r>
        <w:t>SOURCE LIMITATION: actual Vulenex reference and four source cases were unavailable; cases are explicitly constructed.</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Case_ID</w:t>
            </w:r>
          </w:p>
        </w:tc>
        <w:tc>
          <w:tcPr>
            <w:tcW w:type="dxa" w:w="785"/>
          </w:tcPr>
          <w:p>
            <w:r>
              <w:t>Suspect_Product</w:t>
            </w:r>
          </w:p>
        </w:tc>
        <w:tc>
          <w:tcPr>
            <w:tcW w:type="dxa" w:w="785"/>
          </w:tcPr>
          <w:p>
            <w:r>
              <w:t>Event</w:t>
            </w:r>
          </w:p>
        </w:tc>
        <w:tc>
          <w:tcPr>
            <w:tcW w:type="dxa" w:w="785"/>
          </w:tcPr>
          <w:p>
            <w:r>
              <w:t>Causality</w:t>
            </w:r>
          </w:p>
        </w:tc>
        <w:tc>
          <w:tcPr>
            <w:tcW w:type="dxa" w:w="785"/>
          </w:tcPr>
          <w:p>
            <w:r>
              <w:t>Method</w:t>
            </w:r>
          </w:p>
        </w:tc>
        <w:tc>
          <w:tcPr>
            <w:tcW w:type="dxa" w:w="785"/>
          </w:tcPr>
          <w:p>
            <w:r>
              <w:t>Seriousness</w:t>
            </w:r>
          </w:p>
        </w:tc>
        <w:tc>
          <w:tcPr>
            <w:tcW w:type="dxa" w:w="785"/>
          </w:tcPr>
          <w:p>
            <w:r>
              <w:t>Expectedness</w:t>
            </w:r>
          </w:p>
        </w:tc>
        <w:tc>
          <w:tcPr>
            <w:tcW w:type="dxa" w:w="785"/>
          </w:tcPr>
          <w:p>
            <w:r>
              <w:t>Dechallenge</w:t>
            </w:r>
          </w:p>
        </w:tc>
        <w:tc>
          <w:tcPr>
            <w:tcW w:type="dxa" w:w="785"/>
          </w:tcPr>
          <w:p>
            <w:r>
              <w:t>Rechallenge</w:t>
            </w:r>
          </w:p>
        </w:tc>
        <w:tc>
          <w:tcPr>
            <w:tcW w:type="dxa" w:w="785"/>
          </w:tcPr>
          <w:p>
            <w:r>
              <w:t>Outcome</w:t>
            </w:r>
          </w:p>
        </w:tc>
        <w:tc>
          <w:tcPr>
            <w:tcW w:type="dxa" w:w="785"/>
          </w:tcPr>
          <w:p>
            <w:r>
              <w:t>Rationale</w:t>
            </w:r>
          </w:p>
        </w:tc>
      </w:tr>
      <w:tr>
        <w:tc>
          <w:tcPr>
            <w:tcW w:type="dxa" w:w="785"/>
          </w:tcPr>
          <w:p>
            <w:r>
              <w:t>VUL-CASE-001</w:t>
            </w:r>
          </w:p>
        </w:tc>
        <w:tc>
          <w:tcPr>
            <w:tcW w:type="dxa" w:w="785"/>
          </w:tcPr>
          <w:p>
            <w:r>
              <w:t>Vulenex 500 mg tablet</w:t>
            </w:r>
          </w:p>
        </w:tc>
        <w:tc>
          <w:tcPr>
            <w:tcW w:type="dxa" w:w="785"/>
          </w:tcPr>
          <w:p>
            <w:r>
              <w:t>Headache</w:t>
            </w:r>
          </w:p>
        </w:tc>
        <w:tc>
          <w:tcPr>
            <w:tcW w:type="dxa" w:w="785"/>
          </w:tcPr>
          <w:p>
            <w:r>
              <w:t>Probable</w:t>
            </w:r>
          </w:p>
        </w:tc>
        <w:tc>
          <w:tcPr>
            <w:tcW w:type="dxa" w:w="785"/>
          </w:tcPr>
          <w:p>
            <w:r>
              <w:t>Naranjo-style</w:t>
            </w:r>
          </w:p>
        </w:tc>
        <w:tc>
          <w:tcPr>
            <w:tcW w:type="dxa" w:w="785"/>
          </w:tcPr>
          <w:p>
            <w:r>
              <w:t>Non-serious</w:t>
            </w:r>
          </w:p>
        </w:tc>
        <w:tc>
          <w:tcPr>
            <w:tcW w:type="dxa" w:w="785"/>
          </w:tcPr>
          <w:p>
            <w:r>
              <w:t>Expected*</w:t>
            </w:r>
          </w:p>
        </w:tc>
        <w:tc>
          <w:tcPr>
            <w:tcW w:type="dxa" w:w="785"/>
          </w:tcPr>
          <w:p>
            <w:r>
              <w:t>Improved after stopping Vulenex</w:t>
            </w:r>
          </w:p>
        </w:tc>
        <w:tc>
          <w:tcPr>
            <w:tcW w:type="dxa" w:w="785"/>
          </w:tcPr>
          <w:p>
            <w:r>
              <w:t>Not done</w:t>
            </w:r>
          </w:p>
        </w:tc>
        <w:tc>
          <w:tcPr>
            <w:tcW w:type="dxa" w:w="785"/>
          </w:tcPr>
          <w:p>
            <w:r>
              <w:t>Recovered</w:t>
            </w:r>
          </w:p>
        </w:tc>
        <w:tc>
          <w:tcPr>
            <w:tcW w:type="dxa" w:w="785"/>
          </w:tcPr>
          <w:p>
            <w:r>
              <w:t>Temporal relationship plus positive dechallenge support causality; no serious criterion reported.</w:t>
            </w:r>
          </w:p>
        </w:tc>
      </w:tr>
      <w:tr>
        <w:tc>
          <w:tcPr>
            <w:tcW w:type="dxa" w:w="785"/>
          </w:tcPr>
          <w:p>
            <w:r>
              <w:t>VUL-CASE-002</w:t>
            </w:r>
          </w:p>
        </w:tc>
        <w:tc>
          <w:tcPr>
            <w:tcW w:type="dxa" w:w="785"/>
          </w:tcPr>
          <w:p>
            <w:r>
              <w:t>Vulenex 500 mg tablet</w:t>
            </w:r>
          </w:p>
        </w:tc>
        <w:tc>
          <w:tcPr>
            <w:tcW w:type="dxa" w:w="785"/>
          </w:tcPr>
          <w:p>
            <w:r>
              <w:t>Generalized urticaria with facial swelling</w:t>
            </w:r>
          </w:p>
        </w:tc>
        <w:tc>
          <w:tcPr>
            <w:tcW w:type="dxa" w:w="785"/>
          </w:tcPr>
          <w:p>
            <w:r>
              <w:t>Probable</w:t>
            </w:r>
          </w:p>
        </w:tc>
        <w:tc>
          <w:tcPr>
            <w:tcW w:type="dxa" w:w="785"/>
          </w:tcPr>
          <w:p>
            <w:r>
              <w:t>Naranjo-style</w:t>
            </w:r>
          </w:p>
        </w:tc>
        <w:tc>
          <w:tcPr>
            <w:tcW w:type="dxa" w:w="785"/>
          </w:tcPr>
          <w:p>
            <w:r>
              <w:t>Non-serious</w:t>
            </w:r>
          </w:p>
        </w:tc>
        <w:tc>
          <w:tcPr>
            <w:tcW w:type="dxa" w:w="785"/>
          </w:tcPr>
          <w:p>
            <w:r>
              <w:t>Expected*</w:t>
            </w:r>
          </w:p>
        </w:tc>
        <w:tc>
          <w:tcPr>
            <w:tcW w:type="dxa" w:w="785"/>
          </w:tcPr>
          <w:p>
            <w:r>
              <w:t>Improved after discontinuation and antihistamine treatment</w:t>
            </w:r>
          </w:p>
        </w:tc>
        <w:tc>
          <w:tcPr>
            <w:tcW w:type="dxa" w:w="785"/>
          </w:tcPr>
          <w:p>
            <w:r>
              <w:t>Not done</w:t>
            </w:r>
          </w:p>
        </w:tc>
        <w:tc>
          <w:tcPr>
            <w:tcW w:type="dxa" w:w="785"/>
          </w:tcPr>
          <w:p>
            <w:r>
              <w:t>Recovered</w:t>
            </w:r>
          </w:p>
        </w:tc>
        <w:tc>
          <w:tcPr>
            <w:tcW w:type="dxa" w:w="785"/>
          </w:tcPr>
          <w:p>
            <w:r>
              <w:t>Temporal relationship and improvement after withdrawal support causality; no hospitalization or life-threatening feature reported.</w:t>
            </w:r>
          </w:p>
        </w:tc>
      </w:tr>
      <w:tr>
        <w:tc>
          <w:tcPr>
            <w:tcW w:type="dxa" w:w="785"/>
          </w:tcPr>
          <w:p>
            <w:r>
              <w:t>VUL-CASE-003</w:t>
            </w:r>
          </w:p>
        </w:tc>
        <w:tc>
          <w:tcPr>
            <w:tcW w:type="dxa" w:w="785"/>
          </w:tcPr>
          <w:p>
            <w:r>
              <w:t>Vulenex 500 mg tablet</w:t>
            </w:r>
          </w:p>
        </w:tc>
        <w:tc>
          <w:tcPr>
            <w:tcW w:type="dxa" w:w="785"/>
          </w:tcPr>
          <w:p>
            <w:r>
              <w:t>Anaphylactic reaction with hypotension requiring emergency treatment</w:t>
            </w:r>
          </w:p>
        </w:tc>
        <w:tc>
          <w:tcPr>
            <w:tcW w:type="dxa" w:w="785"/>
          </w:tcPr>
          <w:p>
            <w:r>
              <w:t>Probable</w:t>
            </w:r>
          </w:p>
        </w:tc>
        <w:tc>
          <w:tcPr>
            <w:tcW w:type="dxa" w:w="785"/>
          </w:tcPr>
          <w:p>
            <w:r>
              <w:t>WHO-UMC-style</w:t>
            </w:r>
          </w:p>
        </w:tc>
        <w:tc>
          <w:tcPr>
            <w:tcW w:type="dxa" w:w="785"/>
          </w:tcPr>
          <w:p>
            <w:r>
              <w:t>Serious — life-threatening / medically important</w:t>
            </w:r>
          </w:p>
        </w:tc>
        <w:tc>
          <w:tcPr>
            <w:tcW w:type="dxa" w:w="785"/>
          </w:tcPr>
          <w:p>
            <w:r>
              <w:t>Unexpected*</w:t>
            </w:r>
          </w:p>
        </w:tc>
        <w:tc>
          <w:tcPr>
            <w:tcW w:type="dxa" w:w="785"/>
          </w:tcPr>
          <w:p>
            <w:r>
              <w:t>Vulenex discontinued; emergency treatment given</w:t>
            </w:r>
          </w:p>
        </w:tc>
        <w:tc>
          <w:tcPr>
            <w:tcW w:type="dxa" w:w="785"/>
          </w:tcPr>
          <w:p>
            <w:r>
              <w:t>Not done</w:t>
            </w:r>
          </w:p>
        </w:tc>
        <w:tc>
          <w:tcPr>
            <w:tcW w:type="dxa" w:w="785"/>
          </w:tcPr>
          <w:p>
            <w:r>
              <w:t>Recovered</w:t>
            </w:r>
          </w:p>
        </w:tc>
        <w:tc>
          <w:tcPr>
            <w:tcW w:type="dxa" w:w="785"/>
          </w:tcPr>
          <w:p>
            <w:r>
              <w:t>Close temporal relationship and withdrawal support causality; hypotension/emergency intervention supports serious classification.</w:t>
            </w:r>
          </w:p>
        </w:tc>
      </w:tr>
      <w:tr>
        <w:tc>
          <w:tcPr>
            <w:tcW w:type="dxa" w:w="785"/>
          </w:tcPr>
          <w:p>
            <w:r>
              <w:t>VUL-CASE-004</w:t>
            </w:r>
          </w:p>
        </w:tc>
        <w:tc>
          <w:tcPr>
            <w:tcW w:type="dxa" w:w="785"/>
          </w:tcPr>
          <w:p>
            <w:r>
              <w:t>Vulenex 500 mg tablet</w:t>
            </w:r>
          </w:p>
        </w:tc>
        <w:tc>
          <w:tcPr>
            <w:tcW w:type="dxa" w:w="785"/>
          </w:tcPr>
          <w:p>
            <w:r>
              <w:t>Elevated liver enzymes with fatigue</w:t>
            </w:r>
          </w:p>
        </w:tc>
        <w:tc>
          <w:tcPr>
            <w:tcW w:type="dxa" w:w="785"/>
          </w:tcPr>
          <w:p>
            <w:r>
              <w:t>Possible</w:t>
            </w:r>
          </w:p>
        </w:tc>
        <w:tc>
          <w:tcPr>
            <w:tcW w:type="dxa" w:w="785"/>
          </w:tcPr>
          <w:p>
            <w:r>
              <w:t>WHO-UMC-style</w:t>
            </w:r>
          </w:p>
        </w:tc>
        <w:tc>
          <w:tcPr>
            <w:tcW w:type="dxa" w:w="785"/>
          </w:tcPr>
          <w:p>
            <w:r>
              <w:t>Non-serious</w:t>
            </w:r>
          </w:p>
        </w:tc>
        <w:tc>
          <w:tcPr>
            <w:tcW w:type="dxa" w:w="785"/>
          </w:tcPr>
          <w:p>
            <w:r>
              <w:t>Unexpected*</w:t>
            </w:r>
          </w:p>
        </w:tc>
        <w:tc>
          <w:tcPr>
            <w:tcW w:type="dxa" w:w="785"/>
          </w:tcPr>
          <w:p>
            <w:r>
              <w:t>Laboratory values improved after discontinuation</w:t>
            </w:r>
          </w:p>
        </w:tc>
        <w:tc>
          <w:tcPr>
            <w:tcW w:type="dxa" w:w="785"/>
          </w:tcPr>
          <w:p>
            <w:r>
              <w:t>Not done</w:t>
            </w:r>
          </w:p>
        </w:tc>
        <w:tc>
          <w:tcPr>
            <w:tcW w:type="dxa" w:w="785"/>
          </w:tcPr>
          <w:p>
            <w:r>
              <w:t>Improving</w:t>
            </w:r>
          </w:p>
        </w:tc>
        <w:tc>
          <w:tcPr>
            <w:tcW w:type="dxa" w:w="785"/>
          </w:tcPr>
          <w:p>
            <w:r>
              <w:t>Temporal relationship and dechallenge are supportive, but evidence is insufficient for a stronger causal category.</w:t>
            </w:r>
          </w:p>
        </w:tc>
      </w:tr>
    </w:tbl>
    <w:p>
      <w:pPr>
        <w:pStyle w:val="Heading1"/>
      </w:pPr>
      <w:r>
        <w:t>Method and Reference</w:t>
      </w:r>
    </w:p>
    <w:p>
      <w:r>
        <w:t>CAUSALITY, SERIOUSNESS, AND EXPECTEDNESS — TRAINING REFERENCE</w:t>
        <w:br/>
        <w:br/>
        <w:t>SOURCE-MATERIAL LIMITATION</w:t>
        <w:br/>
        <w:t>The task screenshot states that the required source material includes a fictional Vulenex product reference and four sample assessment cases. Those underlying files were not attached and could not be located in the available Library search. To avoid falsely representing invented facts as supplied facts, this package labels the four cases and Vulenex expectedness assumptions as CONSTRUCTED TRAINING MATERIAL.</w:t>
        <w:br/>
        <w:br/>
        <w:t>1. Causality: Apply Naranjo or WHO-UMC reasoning using temporal relationship, alternative causes, dechallenge/rechallenge, dose-response, objective evidence and prior knowledge.</w:t>
        <w:br/>
        <w:t>2. Seriousness: classify recognized serious-event criteria separately from severity; examples include death, life-threatening event, hospitalization/prolongation, persistent/significant disability, congenital anomaly, or other medically important event requiring intervention to prevent a serious outcome.</w:t>
        <w:br/>
        <w:t>3. Expectedness: assess against the applicable product reference safety information. The expectedness labels marked * in this draft depend on a constructed reference because the actual supplied reference was unavailable.</w:t>
        <w:br/>
        <w:t>4. Keep causality, seriousness and expectedness independent; do not upgrade causality merely because an event is serious or expected.</w:t>
      </w:r>
    </w:p>
    <w:p>
      <w:pPr>
        <w:pStyle w:val="Heading1"/>
      </w:pPr>
      <w:r>
        <w:t>Quality Control</w:t>
      </w:r>
    </w:p>
    <w:p>
      <w:r>
        <w:t>QUALITY-CONTROL CHECKLIST</w:t>
        <w:br/>
        <w:br/>
        <w:t>[✓] Four assessment cases included.</w:t>
        <w:br/>
        <w:t>[✓] Causality assessed separately from seriousness.</w:t>
        <w:br/>
        <w:t>[✓] Seriousness assessed using recognized criteria.</w:t>
        <w:br/>
        <w:t>[✓] Expectedness assessed separately.</w:t>
        <w:br/>
        <w:t>[✓] Written rationale supplied for every case.</w:t>
        <w:br/>
        <w:t>[✓] Dechallenge/rechallenge considered.</w:t>
        <w:br/>
        <w:t>[✓] No causality category assigned solely from seriousness.</w:t>
        <w:br/>
        <w:t>[✓] Constructed assumptions explicitly labelled.</w:t>
        <w:br/>
        <w:t>[✓] No patient-identifying information used.</w:t>
        <w:br/>
        <w:br/>
        <w:t>WARNING: For an exact platform submission, replace the constructed cases/reference with the actual supplied Vulenex reference and four source cases once those files are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