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sz w:val="32"/>
          <w:szCs w:val="32"/>
        </w:rPr>
        <w:t xml:space="preserve">Website copy and page structure</w:t>
      </w:r>
    </w:p>
    <w:p>
      <w:pPr>
        <w:spacing w:after="160"/>
      </w:pPr>
      <w:r>
        <w:rPr>
          <w:b w:val="false"/>
          <w:bCs w:val="false"/>
          <w:i w:val="false"/>
          <w:iCs w:val="false"/>
          <w:sz w:val="22"/>
          <w:szCs w:val="22"/>
        </w:rPr>
        <w:t xml:space="preserve">Department of Physics computing centre. Revision 4, 6 August 2026.</w:t>
      </w:r>
    </w:p>
    <w:p>
      <w:pPr>
        <w:pStyle w:val="Heading1"/>
        <w:keepNext/>
        <w:spacing w:after="120" w:before="340"/>
      </w:pPr>
      <w:r>
        <w:t xml:space="preserve">Conventions</w:t>
      </w:r>
    </w:p>
    <w:p>
      <w:pPr>
        <w:keepNext w:val="false"/>
        <w:spacing w:after="80" w:before="80"/>
      </w:pPr>
      <w:r>
        <w:rPr>
          <w:b w:val="false"/>
          <w:bCs w:val="false"/>
          <w:i w:val="false"/>
          <w:iCs w:val="false"/>
          <w:sz w:val="22"/>
          <w:szCs w:val="22"/>
        </w:rPr>
        <w:t xml:space="preserve">This document uses three conventions.</w:t>
      </w:r>
    </w:p>
    <w:p>
      <w:pPr>
        <w:pStyle w:val="ListParagraph"/>
        <w:numPr>
          <w:ilvl w:val="0"/>
          <w:numId w:val="2"/>
        </w:numPr>
        <w:spacing w:after="30" w:before="30"/>
      </w:pPr>
      <w:r>
        <w:rPr>
          <w:b w:val="false"/>
          <w:bCs w:val="false"/>
          <w:i w:val="false"/>
          <w:iCs w:val="false"/>
          <w:sz w:val="22"/>
          <w:szCs w:val="22"/>
        </w:rPr>
        <w:t xml:space="preserve">Paragraphs beginning </w:t>
      </w:r>
      <w:r>
        <w:rPr>
          <w:b/>
          <w:bCs/>
          <w:i/>
          <w:iCs/>
          <w:sz w:val="22"/>
          <w:szCs w:val="22"/>
        </w:rPr>
        <w:t xml:space="preserve">Internal instruction, do not publish</w:t>
      </w:r>
      <w:r>
        <w:rPr>
          <w:b w:val="false"/>
          <w:bCs w:val="false"/>
          <w:i w:val="false"/>
          <w:iCs w:val="false"/>
          <w:sz w:val="22"/>
          <w:szCs w:val="22"/>
        </w:rPr>
        <w:t xml:space="preserve"> are for the implementer only and must never appear on the website. They are set in italics.</w:t>
      </w:r>
    </w:p>
    <w:p>
      <w:pPr>
        <w:pStyle w:val="ListParagraph"/>
        <w:numPr>
          <w:ilvl w:val="0"/>
          <w:numId w:val="2"/>
        </w:numPr>
        <w:spacing w:after="30" w:before="30"/>
      </w:pPr>
      <w:r>
        <w:rPr>
          <w:b w:val="false"/>
          <w:bCs w:val="false"/>
          <w:i w:val="false"/>
          <w:iCs w:val="false"/>
          <w:sz w:val="22"/>
          <w:szCs w:val="22"/>
        </w:rPr>
        <w:t xml:space="preserve">All other text under a heading marked </w:t>
      </w:r>
      <w:r>
        <w:rPr>
          <w:b/>
          <w:bCs/>
          <w:i w:val="false"/>
          <w:iCs w:val="false"/>
          <w:sz w:val="22"/>
          <w:szCs w:val="22"/>
        </w:rPr>
        <w:t xml:space="preserve">Text to publish</w:t>
      </w:r>
      <w:r>
        <w:rPr>
          <w:b w:val="false"/>
          <w:bCs w:val="false"/>
          <w:i w:val="false"/>
          <w:iCs w:val="false"/>
          <w:sz w:val="22"/>
          <w:szCs w:val="22"/>
        </w:rPr>
        <w:t xml:space="preserve"> is final wording to publish exactly as written.</w:t>
      </w:r>
    </w:p>
    <w:p>
      <w:pPr>
        <w:pStyle w:val="ListParagraph"/>
        <w:numPr>
          <w:ilvl w:val="0"/>
          <w:numId w:val="2"/>
        </w:numPr>
        <w:spacing w:after="30" w:before="30"/>
      </w:pPr>
      <w:r>
        <w:rPr>
          <w:b w:val="false"/>
          <w:bCs w:val="false"/>
          <w:i w:val="false"/>
          <w:iCs w:val="false"/>
          <w:sz w:val="22"/>
          <w:szCs w:val="22"/>
        </w:rPr>
        <w:t xml:space="preserve">Two naming placeholders, </w:t>
      </w:r>
      <w:r>
        <w:rPr>
          <w:b/>
          <w:bCs/>
          <w:i w:val="false"/>
          <w:iCs w:val="false"/>
          <w:sz w:val="22"/>
          <w:szCs w:val="22"/>
        </w:rPr>
        <w:t xml:space="preserve">[[APPROVED NAME]]</w:t>
      </w:r>
      <w:r>
        <w:rPr>
          <w:b w:val="false"/>
          <w:bCs w:val="false"/>
          <w:i w:val="false"/>
          <w:iCs w:val="false"/>
          <w:sz w:val="22"/>
          <w:szCs w:val="22"/>
        </w:rPr>
        <w:t xml:space="preserve"> (the full approved name, for example Imperial Physics Computing Centre) and </w:t>
      </w:r>
      <w:r>
        <w:rPr>
          <w:b/>
          <w:bCs/>
          <w:i w:val="false"/>
          <w:iCs w:val="false"/>
          <w:sz w:val="22"/>
          <w:szCs w:val="22"/>
        </w:rPr>
        <w:t xml:space="preserve">[[SHORT FORM]]</w:t>
      </w:r>
      <w:r>
        <w:rPr>
          <w:b w:val="false"/>
          <w:bCs w:val="false"/>
          <w:i w:val="false"/>
          <w:iCs w:val="false"/>
          <w:sz w:val="22"/>
          <w:szCs w:val="22"/>
        </w:rPr>
        <w:t xml:space="preserve"> (the noun used on second mention, for example Centre or Hub), are used throughout the site and must be replaced consistently across the site, the job advert and the acknowledgement text in one pass. The page-specific contact placeholder </w:t>
      </w:r>
      <w:r>
        <w:rPr>
          <w:b/>
          <w:bCs/>
          <w:i w:val="false"/>
          <w:iCs w:val="false"/>
          <w:sz w:val="22"/>
          <w:szCs w:val="22"/>
        </w:rPr>
        <w:t xml:space="preserve">[[CENTRE MAILBOX]]</w:t>
      </w:r>
      <w:r>
        <w:rPr>
          <w:b w:val="false"/>
          <w:bCs w:val="false"/>
          <w:i w:val="false"/>
          <w:iCs w:val="false"/>
          <w:sz w:val="22"/>
          <w:szCs w:val="22"/>
        </w:rPr>
        <w:t xml:space="preserve"> must also be completed before publication.</w:t>
      </w:r>
    </w:p>
    <w:p>
      <w:pPr>
        <w:keepNext w:val="false"/>
        <w:spacing w:after="80" w:before="80"/>
      </w:pPr>
      <w:r>
        <w:rPr>
          <w:b w:val="false"/>
          <w:bCs w:val="false"/>
          <w:i w:val="false"/>
          <w:iCs w:val="false"/>
          <w:sz w:val="22"/>
          <w:szCs w:val="22"/>
        </w:rPr>
        <w:t xml:space="preserve">Each page section ends with a short list headed Before publishing this page. Those items must be resolved before that page goes live.</w:t>
      </w:r>
    </w:p>
    <w:p>
      <w:pPr>
        <w:pStyle w:val="Heading1"/>
        <w:keepNext/>
        <w:spacing w:after="120" w:before="340"/>
      </w:pPr>
      <w:r>
        <w:t xml:space="preserve">Navigation</w:t>
      </w:r>
    </w:p>
    <w:p>
      <w:pPr>
        <w:spacing w:after="60" w:before="60"/>
      </w:pPr>
      <w:r>
        <w:rPr>
          <w:b/>
          <w:bCs/>
          <w:i/>
          <w:iCs/>
          <w:sz w:val="20"/>
          <w:szCs w:val="20"/>
        </w:rPr>
        <w:t xml:space="preserve">Internal instruction, do not publish. </w:t>
      </w:r>
      <w:r>
        <w:rPr>
          <w:b w:val="false"/>
          <w:bCs w:val="false"/>
          <w:i/>
          <w:iCs/>
          <w:sz w:val="20"/>
          <w:szCs w:val="20"/>
        </w:rPr>
        <w:t xml:space="preserve">Four pages. For each, the navigation label, browser title, on-page heading and URL are given at the top of its section below. Use the standard Imperial page footer everywhere. Partner logos appear only on About &amp; People, not in the site footer. There is no separate policies page. A Page reviewed date appears on Computing &amp; Access only.</w:t>
      </w:r>
    </w:p>
    <w:p>
      <w:pPr>
        <w:pStyle w:val="ListParagraph"/>
        <w:numPr>
          <w:ilvl w:val="0"/>
          <w:numId w:val="2"/>
        </w:numPr>
        <w:spacing w:after="30" w:before="30"/>
      </w:pPr>
      <w:r>
        <w:rPr>
          <w:b/>
          <w:bCs/>
          <w:i w:val="false"/>
          <w:iCs w:val="false"/>
          <w:sz w:val="22"/>
          <w:szCs w:val="22"/>
        </w:rPr>
        <w:t xml:space="preserve">Home</w:t>
      </w:r>
      <w:r>
        <w:rPr>
          <w:b w:val="false"/>
          <w:bCs w:val="false"/>
          <w:i w:val="false"/>
          <w:iCs w:val="false"/>
          <w:sz w:val="22"/>
          <w:szCs w:val="22"/>
        </w:rPr>
        <w:t xml:space="preserve">    /</w:t>
      </w:r>
    </w:p>
    <w:p>
      <w:pPr>
        <w:pStyle w:val="ListParagraph"/>
        <w:numPr>
          <w:ilvl w:val="0"/>
          <w:numId w:val="2"/>
        </w:numPr>
        <w:spacing w:after="30" w:before="30"/>
      </w:pPr>
      <w:r>
        <w:rPr>
          <w:b/>
          <w:bCs/>
          <w:i w:val="false"/>
          <w:iCs w:val="false"/>
          <w:sz w:val="22"/>
          <w:szCs w:val="22"/>
        </w:rPr>
        <w:t xml:space="preserve">Computing &amp; Access</w:t>
      </w:r>
      <w:r>
        <w:rPr>
          <w:b w:val="false"/>
          <w:bCs w:val="false"/>
          <w:i w:val="false"/>
          <w:iCs w:val="false"/>
          <w:sz w:val="22"/>
          <w:szCs w:val="22"/>
        </w:rPr>
        <w:t xml:space="preserve">    /computing-access</w:t>
      </w:r>
    </w:p>
    <w:p>
      <w:pPr>
        <w:pStyle w:val="ListParagraph"/>
        <w:numPr>
          <w:ilvl w:val="0"/>
          <w:numId w:val="2"/>
        </w:numPr>
        <w:spacing w:after="30" w:before="30"/>
      </w:pPr>
      <w:r>
        <w:rPr>
          <w:b/>
          <w:bCs/>
          <w:i w:val="false"/>
          <w:iCs w:val="false"/>
          <w:sz w:val="22"/>
          <w:szCs w:val="22"/>
        </w:rPr>
        <w:t xml:space="preserve">Research &amp; Training</w:t>
      </w:r>
      <w:r>
        <w:rPr>
          <w:b w:val="false"/>
          <w:bCs w:val="false"/>
          <w:i w:val="false"/>
          <w:iCs w:val="false"/>
          <w:sz w:val="22"/>
          <w:szCs w:val="22"/>
        </w:rPr>
        <w:t xml:space="preserve">    /research-training</w:t>
      </w:r>
    </w:p>
    <w:p>
      <w:pPr>
        <w:pStyle w:val="ListParagraph"/>
        <w:numPr>
          <w:ilvl w:val="0"/>
          <w:numId w:val="2"/>
        </w:numPr>
        <w:spacing w:after="30" w:before="30"/>
      </w:pPr>
      <w:r>
        <w:rPr>
          <w:b/>
          <w:bCs/>
          <w:i w:val="false"/>
          <w:iCs w:val="false"/>
          <w:sz w:val="22"/>
          <w:szCs w:val="22"/>
        </w:rPr>
        <w:t xml:space="preserve">About &amp; People</w:t>
      </w:r>
      <w:r>
        <w:rPr>
          <w:b w:val="false"/>
          <w:bCs w:val="false"/>
          <w:i w:val="false"/>
          <w:iCs w:val="false"/>
          <w:sz w:val="22"/>
          <w:szCs w:val="22"/>
        </w:rPr>
        <w:t xml:space="preserve">    /about-people</w:t>
      </w:r>
    </w:p>
    <w:p>
      <w:pPr>
        <w:pStyle w:val="Heading1"/>
        <w:keepNext/>
        <w:spacing w:after="120" w:before="340"/>
      </w:pPr>
      <w:r>
        <w:t xml:space="preserve">Page 1: Home</w:t>
      </w:r>
    </w:p>
    <w:p>
      <w:pPr>
        <w:spacing w:after="60" w:before="60"/>
      </w:pPr>
      <w:r>
        <w:rPr>
          <w:b/>
          <w:bCs/>
          <w:i/>
          <w:iCs/>
          <w:sz w:val="20"/>
          <w:szCs w:val="20"/>
        </w:rPr>
        <w:t xml:space="preserve">Internal instruction, do not publish. </w:t>
      </w:r>
      <w:r>
        <w:rPr>
          <w:b w:val="false"/>
          <w:bCs w:val="false"/>
          <w:i/>
          <w:iCs/>
          <w:sz w:val="20"/>
          <w:szCs w:val="20"/>
        </w:rPr>
        <w:t xml:space="preserve">Navigation label: Home. Browser title: [[APPROVED NAME]]. URL: /. On-page heading and text as below. Two buttons after the second paragraph: "See our computing services" linking to /computing-access, and "Discuss a project" linking to /about-people#contact. One image: a research or facility photograph the Department owns rights to. No capacity figures on this page.</w:t>
      </w:r>
    </w:p>
    <w:p>
      <w:pPr>
        <w:pStyle w:val="Heading2"/>
        <w:keepNext/>
        <w:spacing w:after="80" w:before="200"/>
      </w:pPr>
      <w:r>
        <w:t xml:space="preserve">Text to publish</w:t>
      </w:r>
    </w:p>
    <w:p>
      <w:pPr>
        <w:keepNext/>
        <w:spacing w:after="50" w:before="110"/>
      </w:pPr>
      <w:r>
        <w:rPr>
          <w:b/>
          <w:bCs/>
          <w:i w:val="false"/>
          <w:iCs w:val="false"/>
          <w:sz w:val="22"/>
          <w:szCs w:val="22"/>
        </w:rPr>
        <w:t xml:space="preserve">[[APPROVED NAME]]</w:t>
      </w:r>
    </w:p>
    <w:p>
      <w:pPr>
        <w:keepNext w:val="false"/>
        <w:spacing w:after="80" w:before="80"/>
      </w:pPr>
      <w:r>
        <w:rPr>
          <w:b/>
          <w:bCs/>
          <w:i w:val="false"/>
          <w:iCs w:val="false"/>
          <w:sz w:val="22"/>
          <w:szCs w:val="22"/>
        </w:rPr>
        <w:t xml:space="preserve">[[APPROVED NAME]]</w:t>
      </w:r>
      <w:r>
        <w:rPr>
          <w:b w:val="false"/>
          <w:bCs w:val="false"/>
          <w:i w:val="false"/>
          <w:iCs w:val="false"/>
          <w:sz w:val="22"/>
          <w:szCs w:val="22"/>
        </w:rPr>
        <w:t xml:space="preserve"> supports data-intensive research across Imperial’s Department of Physics. It brings together departmental computing, technical expertise and access to College and national services.</w:t>
      </w:r>
    </w:p>
    <w:p>
      <w:pPr>
        <w:keepNext w:val="false"/>
        <w:spacing w:after="80" w:before="80"/>
      </w:pPr>
      <w:r>
        <w:rPr>
          <w:b w:val="false"/>
          <w:bCs w:val="false"/>
          <w:i w:val="false"/>
          <w:iCs w:val="false"/>
          <w:sz w:val="22"/>
          <w:szCs w:val="22"/>
        </w:rPr>
        <w:t xml:space="preserve">Researchers can contact the team for help planning, testing and running computational work, from pilot studies to established research programmes.</w:t>
      </w:r>
    </w:p>
    <w:p>
      <w:pPr>
        <w:keepNext/>
        <w:spacing w:after="60" w:before="140"/>
      </w:pPr>
      <w:r>
        <w:rPr>
          <w:b/>
          <w:bCs/>
          <w:i w:val="false"/>
          <w:iCs w:val="false"/>
          <w:sz w:val="22"/>
          <w:szCs w:val="22"/>
        </w:rPr>
        <w:t xml:space="preserve">What we offer</w:t>
      </w:r>
    </w:p>
    <w:p>
      <w:pPr>
        <w:keepNext w:val="false"/>
        <w:spacing w:after="80" w:before="80"/>
      </w:pPr>
      <w:r>
        <w:rPr>
          <w:b/>
          <w:bCs/>
          <w:i w:val="false"/>
          <w:iCs w:val="false"/>
          <w:sz w:val="22"/>
          <w:szCs w:val="22"/>
        </w:rPr>
        <w:t xml:space="preserve">Computing for research. </w:t>
      </w:r>
      <w:r>
        <w:rPr>
          <w:b w:val="false"/>
          <w:bCs w:val="false"/>
          <w:i w:val="false"/>
          <w:iCs w:val="false"/>
          <w:sz w:val="22"/>
          <w:szCs w:val="22"/>
        </w:rPr>
        <w:t xml:space="preserve">Batch processing, storage, cloud and GPU resources for projects ranging from exploratory studies to established research programmes, on departmental systems and through national services.</w:t>
      </w:r>
    </w:p>
    <w:p>
      <w:pPr>
        <w:keepNext w:val="false"/>
        <w:spacing w:after="80" w:before="80"/>
      </w:pPr>
      <w:r>
        <w:rPr>
          <w:b/>
          <w:bCs/>
          <w:i w:val="false"/>
          <w:iCs w:val="false"/>
          <w:sz w:val="22"/>
          <w:szCs w:val="22"/>
        </w:rPr>
        <w:t xml:space="preserve">Support from physicists and technical staff. </w:t>
      </w:r>
      <w:r>
        <w:rPr>
          <w:b w:val="false"/>
          <w:bCs w:val="false"/>
          <w:i w:val="false"/>
          <w:iCs w:val="false"/>
          <w:sz w:val="22"/>
          <w:szCs w:val="22"/>
        </w:rPr>
        <w:t xml:space="preserve">Help choosing the right systems, setting up software and workflows, and moving data.</w:t>
      </w:r>
    </w:p>
    <w:p>
      <w:pPr>
        <w:keepNext w:val="false"/>
        <w:spacing w:after="80" w:before="80"/>
      </w:pPr>
      <w:r>
        <w:rPr>
          <w:b/>
          <w:bCs/>
          <w:i w:val="false"/>
          <w:iCs w:val="false"/>
          <w:sz w:val="22"/>
          <w:szCs w:val="22"/>
        </w:rPr>
        <w:t xml:space="preserve">A route to larger resources. </w:t>
      </w:r>
      <w:r>
        <w:rPr>
          <w:b w:val="false"/>
          <w:bCs w:val="false"/>
          <w:i w:val="false"/>
          <w:iCs w:val="false"/>
          <w:sz w:val="22"/>
          <w:szCs w:val="22"/>
        </w:rPr>
        <w:t xml:space="preserve">Support with access to Imperial’s Research Computing Service and with applications to national infrastructures such as GridPP and IRIS.</w:t>
      </w:r>
    </w:p>
    <w:p>
      <w:pPr>
        <w:keepNext/>
        <w:spacing w:after="60" w:before="140"/>
      </w:pPr>
      <w:r>
        <w:rPr>
          <w:b/>
          <w:bCs/>
          <w:i w:val="false"/>
          <w:iCs w:val="false"/>
          <w:sz w:val="22"/>
          <w:szCs w:val="22"/>
        </w:rPr>
        <w:t xml:space="preserve">How the computing services fit together</w:t>
      </w:r>
    </w:p>
    <w:p>
      <w:pPr>
        <w:keepNext w:val="false"/>
        <w:spacing w:after="80" w:before="80"/>
      </w:pPr>
      <w:r>
        <w:rPr>
          <w:b w:val="false"/>
          <w:bCs w:val="false"/>
          <w:i w:val="false"/>
          <w:iCs w:val="false"/>
          <w:sz w:val="22"/>
          <w:szCs w:val="22"/>
        </w:rPr>
        <w:t xml:space="preserve">The </w:t>
      </w:r>
      <w:r>
        <w:rPr>
          <w:b/>
          <w:bCs/>
          <w:i w:val="false"/>
          <w:iCs w:val="false"/>
          <w:sz w:val="22"/>
          <w:szCs w:val="22"/>
        </w:rPr>
        <w:t xml:space="preserve">[[SHORT FORM]]</w:t>
      </w:r>
      <w:r>
        <w:rPr>
          <w:b w:val="false"/>
          <w:bCs w:val="false"/>
          <w:i w:val="false"/>
          <w:iCs w:val="false"/>
          <w:sz w:val="22"/>
          <w:szCs w:val="22"/>
        </w:rPr>
        <w:t xml:space="preserve"> works with three layers of computing. Departmental systems for development, teaching and specialist work. Imperial’s Research Computing Service for College-wide high-performance computing. National infrastructures for specialised or nationally allocated resources. We help projects find the right combination.</w:t>
      </w:r>
    </w:p>
    <w:p>
      <w:pPr>
        <w:keepNext/>
        <w:spacing w:after="60" w:before="140"/>
      </w:pPr>
      <w:r>
        <w:rPr>
          <w:b/>
          <w:bCs/>
          <w:i w:val="false"/>
          <w:iCs w:val="false"/>
          <w:sz w:val="22"/>
          <w:szCs w:val="22"/>
        </w:rPr>
        <w:t xml:space="preserve">Work with us</w:t>
      </w:r>
    </w:p>
    <w:p>
      <w:pPr>
        <w:keepNext w:val="false"/>
        <w:spacing w:after="80" w:before="80"/>
      </w:pPr>
      <w:r>
        <w:rPr>
          <w:b w:val="false"/>
          <w:bCs w:val="false"/>
          <w:i w:val="false"/>
          <w:iCs w:val="false"/>
          <w:sz w:val="22"/>
          <w:szCs w:val="22"/>
        </w:rPr>
        <w:t xml:space="preserve">Whether you are planning a new research programme, scaling up an existing analysis or preparing a funding proposal, contact the </w:t>
      </w:r>
      <w:r>
        <w:rPr>
          <w:b/>
          <w:bCs/>
          <w:i w:val="false"/>
          <w:iCs w:val="false"/>
          <w:sz w:val="22"/>
          <w:szCs w:val="22"/>
        </w:rPr>
        <w:t xml:space="preserve">[[SHORT FORM]]</w:t>
      </w:r>
      <w:r>
        <w:rPr>
          <w:b w:val="false"/>
          <w:bCs w:val="false"/>
          <w:i w:val="false"/>
          <w:iCs w:val="false"/>
          <w:sz w:val="22"/>
          <w:szCs w:val="22"/>
        </w:rPr>
        <w:t xml:space="preserve"> to discuss what would suit your project.</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Replace [[APPROVED NAME]] and [[SHORT FORM]] once the name is approved, in the same pass as the job advert.</w:t>
      </w:r>
    </w:p>
    <w:p>
      <w:pPr>
        <w:pStyle w:val="ListParagraph"/>
        <w:numPr>
          <w:ilvl w:val="0"/>
          <w:numId w:val="2"/>
        </w:numPr>
        <w:spacing w:after="30" w:before="30"/>
      </w:pPr>
      <w:r>
        <w:rPr>
          <w:b w:val="false"/>
          <w:bCs w:val="false"/>
          <w:i w:val="false"/>
          <w:iCs w:val="false"/>
          <w:sz w:val="22"/>
          <w:szCs w:val="22"/>
        </w:rPr>
        <w:t xml:space="preserve">Confirm the contact route that the Discuss a project button points to (see About &amp; People).</w:t>
      </w:r>
    </w:p>
    <w:p>
      <w:pPr>
        <w:pStyle w:val="Heading1"/>
        <w:keepNext/>
        <w:spacing w:after="120" w:before="340"/>
      </w:pPr>
      <w:r>
        <w:t xml:space="preserve">Page 2: Computing &amp; Access</w:t>
      </w:r>
    </w:p>
    <w:p>
      <w:pPr>
        <w:spacing w:after="60" w:before="60"/>
      </w:pPr>
      <w:r>
        <w:rPr>
          <w:b/>
          <w:bCs/>
          <w:i/>
          <w:iCs/>
          <w:sz w:val="20"/>
          <w:szCs w:val="20"/>
        </w:rPr>
        <w:t xml:space="preserve">Internal instruction, do not publish. </w:t>
      </w:r>
      <w:r>
        <w:rPr>
          <w:b w:val="false"/>
          <w:bCs w:val="false"/>
          <w:i/>
          <w:iCs/>
          <w:sz w:val="20"/>
          <w:szCs w:val="20"/>
        </w:rPr>
        <w:t xml:space="preserve">Navigation label: Computing &amp; Access. Browser title: Computing and access | [[APPROVED NAME]]. URL: /computing-access. On-page heading: Computing and access. One button at the end of the How access works section: "Discuss a project" linking to /about-people#contact. Add the line "Page reviewed: [date]" at the foot of this page and update it whenever figures or eligibility change. Capacity figures and the new departmental hardware are deliberately omitted from this revision. Add them here only when the grid and IRIS service leads have confirmed current figures, units and availability, and the departmental hardware is commissioned.</w:t>
      </w:r>
    </w:p>
    <w:p>
      <w:pPr>
        <w:pStyle w:val="Heading2"/>
        <w:keepNext/>
        <w:spacing w:after="80" w:before="200"/>
      </w:pPr>
      <w:r>
        <w:t xml:space="preserve">Text to publish</w:t>
      </w:r>
    </w:p>
    <w:p>
      <w:pPr>
        <w:keepNext/>
        <w:spacing w:after="60" w:before="140"/>
      </w:pPr>
      <w:r>
        <w:rPr>
          <w:b/>
          <w:bCs/>
          <w:i w:val="false"/>
          <w:iCs w:val="false"/>
          <w:sz w:val="22"/>
          <w:szCs w:val="22"/>
        </w:rPr>
        <w:t xml:space="preserve">Computing and access</w:t>
      </w:r>
    </w:p>
    <w:p>
      <w:pPr>
        <w:keepNext w:val="false"/>
        <w:spacing w:after="80" w:before="80"/>
      </w:pPr>
      <w:r>
        <w:rPr>
          <w:b w:val="false"/>
          <w:bCs w:val="false"/>
          <w:i w:val="false"/>
          <w:iCs w:val="false"/>
          <w:sz w:val="22"/>
          <w:szCs w:val="22"/>
        </w:rPr>
        <w:t xml:space="preserve">The </w:t>
      </w:r>
      <w:r>
        <w:rPr>
          <w:b/>
          <w:bCs/>
          <w:i w:val="false"/>
          <w:iCs w:val="false"/>
          <w:sz w:val="22"/>
          <w:szCs w:val="22"/>
        </w:rPr>
        <w:t xml:space="preserve">[[SHORT FORM]]</w:t>
      </w:r>
      <w:r>
        <w:rPr>
          <w:b w:val="false"/>
          <w:bCs w:val="false"/>
          <w:i w:val="false"/>
          <w:iCs w:val="false"/>
          <w:sz w:val="22"/>
          <w:szCs w:val="22"/>
        </w:rPr>
        <w:t xml:space="preserve"> helps Physics researchers choose, develop and run the computing approach that best matches their scientific problem. You do not need to know in advance whether your project needs high-throughput computing, GPUs, cloud resources or specialist hardware.</w:t>
      </w:r>
    </w:p>
    <w:p>
      <w:pPr>
        <w:keepNext/>
        <w:spacing w:after="60" w:before="140"/>
      </w:pPr>
      <w:r>
        <w:rPr>
          <w:b/>
          <w:bCs/>
          <w:i w:val="false"/>
          <w:iCs w:val="false"/>
          <w:sz w:val="22"/>
          <w:szCs w:val="22"/>
        </w:rPr>
        <w:t xml:space="preserve">What we help with</w:t>
      </w:r>
    </w:p>
    <w:p>
      <w:pPr>
        <w:keepNext w:val="false"/>
        <w:spacing w:after="80" w:before="80"/>
      </w:pPr>
      <w:r>
        <w:rPr>
          <w:b/>
          <w:bCs/>
          <w:i w:val="false"/>
          <w:iCs w:val="false"/>
          <w:sz w:val="22"/>
          <w:szCs w:val="22"/>
        </w:rPr>
        <w:t xml:space="preserve">Large-scale and high-throughput processing. </w:t>
      </w:r>
      <w:r>
        <w:rPr>
          <w:b w:val="false"/>
          <w:bCs w:val="false"/>
          <w:i w:val="false"/>
          <w:iCs w:val="false"/>
          <w:sz w:val="22"/>
          <w:szCs w:val="22"/>
        </w:rPr>
        <w:t xml:space="preserve">Batch analysis, simulation and repeated processing across many independent workloads, on departmental systems and through the grid.</w:t>
      </w:r>
    </w:p>
    <w:p>
      <w:pPr>
        <w:keepNext w:val="false"/>
        <w:spacing w:after="80" w:before="80"/>
      </w:pPr>
      <w:r>
        <w:rPr>
          <w:b/>
          <w:bCs/>
          <w:i w:val="false"/>
          <w:iCs w:val="false"/>
          <w:sz w:val="22"/>
          <w:szCs w:val="22"/>
        </w:rPr>
        <w:t xml:space="preserve">AI and GPU computing. </w:t>
      </w:r>
      <w:r>
        <w:rPr>
          <w:b w:val="false"/>
          <w:bCs w:val="false"/>
          <w:i w:val="false"/>
          <w:iCs w:val="false"/>
          <w:sz w:val="22"/>
          <w:szCs w:val="22"/>
        </w:rPr>
        <w:t xml:space="preserve">Developing and running machine-learning and GPU-accelerated workloads on suitable departmental and College systems.</w:t>
      </w:r>
    </w:p>
    <w:p>
      <w:pPr>
        <w:keepNext w:val="false"/>
        <w:spacing w:after="80" w:before="80"/>
      </w:pPr>
      <w:r>
        <w:rPr>
          <w:b/>
          <w:bCs/>
          <w:i w:val="false"/>
          <w:iCs w:val="false"/>
          <w:sz w:val="22"/>
          <w:szCs w:val="22"/>
        </w:rPr>
        <w:t xml:space="preserve">Storage and data movement. </w:t>
      </w:r>
      <w:r>
        <w:rPr>
          <w:b w:val="false"/>
          <w:bCs w:val="false"/>
          <w:i w:val="false"/>
          <w:iCs w:val="false"/>
          <w:sz w:val="22"/>
          <w:szCs w:val="22"/>
        </w:rPr>
        <w:t xml:space="preserve">Planning for active datasets, bulk storage and transfers between local and external facilities.</w:t>
      </w:r>
    </w:p>
    <w:p>
      <w:pPr>
        <w:keepNext w:val="false"/>
        <w:spacing w:after="80" w:before="80"/>
      </w:pPr>
      <w:r>
        <w:rPr>
          <w:b/>
          <w:bCs/>
          <w:i w:val="false"/>
          <w:iCs w:val="false"/>
          <w:sz w:val="22"/>
          <w:szCs w:val="22"/>
        </w:rPr>
        <w:t xml:space="preserve">Cloud and distributed computing. </w:t>
      </w:r>
      <w:r>
        <w:rPr>
          <w:b w:val="false"/>
          <w:bCs w:val="false"/>
          <w:i w:val="false"/>
          <w:iCs w:val="false"/>
          <w:sz w:val="22"/>
          <w:szCs w:val="22"/>
        </w:rPr>
        <w:t xml:space="preserve">Virtualised and federated environments for projects that need flexible services or access across several sites.</w:t>
      </w:r>
    </w:p>
    <w:p>
      <w:pPr>
        <w:keepNext w:val="false"/>
        <w:spacing w:after="80" w:before="80"/>
      </w:pPr>
      <w:r>
        <w:rPr>
          <w:b/>
          <w:bCs/>
          <w:i w:val="false"/>
          <w:iCs w:val="false"/>
          <w:sz w:val="22"/>
          <w:szCs w:val="22"/>
        </w:rPr>
        <w:t xml:space="preserve">Real-time and specialist systems. </w:t>
      </w:r>
      <w:r>
        <w:rPr>
          <w:b w:val="false"/>
          <w:bCs w:val="false"/>
          <w:i w:val="false"/>
          <w:iCs w:val="false"/>
          <w:sz w:val="22"/>
          <w:szCs w:val="22"/>
        </w:rPr>
        <w:t xml:space="preserve">Connecting researchers with relevant departmental expertise in low-latency computing, instrumentation, FPGAs and other specialist architectures.</w:t>
      </w:r>
    </w:p>
    <w:p>
      <w:pPr>
        <w:keepNext w:val="false"/>
        <w:spacing w:after="80" w:before="80"/>
      </w:pPr>
      <w:r>
        <w:rPr>
          <w:b/>
          <w:bCs/>
          <w:i w:val="false"/>
          <w:iCs w:val="false"/>
          <w:sz w:val="22"/>
          <w:szCs w:val="22"/>
        </w:rPr>
        <w:t xml:space="preserve">Software and workflows. </w:t>
      </w:r>
      <w:r>
        <w:rPr>
          <w:b w:val="false"/>
          <w:bCs w:val="false"/>
          <w:i w:val="false"/>
          <w:iCs w:val="false"/>
          <w:sz w:val="22"/>
          <w:szCs w:val="22"/>
        </w:rPr>
        <w:t xml:space="preserve">Onboarding, containerisation, software distribution, performance testing and reproducibility, with routes to research software engineering support.</w:t>
      </w:r>
    </w:p>
    <w:p>
      <w:pPr>
        <w:keepNext/>
        <w:spacing w:after="60" w:before="140"/>
      </w:pPr>
      <w:r>
        <w:rPr>
          <w:b/>
          <w:bCs/>
          <w:i w:val="false"/>
          <w:iCs w:val="false"/>
          <w:sz w:val="22"/>
          <w:szCs w:val="22"/>
        </w:rPr>
        <w:t xml:space="preserve">How access works</w:t>
      </w:r>
    </w:p>
    <w:p>
      <w:pPr>
        <w:pStyle w:val="ListParagraph"/>
        <w:numPr>
          <w:ilvl w:val="0"/>
          <w:numId w:val="3"/>
        </w:numPr>
        <w:spacing w:after="30" w:before="30"/>
      </w:pPr>
      <w:r>
        <w:rPr>
          <w:b w:val="false"/>
          <w:bCs w:val="false"/>
          <w:i w:val="false"/>
          <w:iCs w:val="false"/>
          <w:sz w:val="22"/>
          <w:szCs w:val="22"/>
        </w:rPr>
        <w:t xml:space="preserve">Contact us to discuss the scientific objective, expected workload, data requirements and timescale.</w:t>
      </w:r>
    </w:p>
    <w:p>
      <w:pPr>
        <w:pStyle w:val="ListParagraph"/>
        <w:numPr>
          <w:ilvl w:val="0"/>
          <w:numId w:val="3"/>
        </w:numPr>
        <w:spacing w:after="30" w:before="30"/>
      </w:pPr>
      <w:r>
        <w:rPr>
          <w:b w:val="false"/>
          <w:bCs w:val="false"/>
          <w:i w:val="false"/>
          <w:iCs w:val="false"/>
          <w:sz w:val="22"/>
          <w:szCs w:val="22"/>
        </w:rPr>
        <w:t xml:space="preserve">We help identify the most suitable systems, whether departmental, College or national.</w:t>
      </w:r>
    </w:p>
    <w:p>
      <w:pPr>
        <w:pStyle w:val="ListParagraph"/>
        <w:numPr>
          <w:ilvl w:val="0"/>
          <w:numId w:val="3"/>
        </w:numPr>
        <w:spacing w:after="30" w:before="30"/>
      </w:pPr>
      <w:r>
        <w:rPr>
          <w:b w:val="false"/>
          <w:bCs w:val="false"/>
          <w:i w:val="false"/>
          <w:iCs w:val="false"/>
          <w:sz w:val="22"/>
          <w:szCs w:val="22"/>
        </w:rPr>
        <w:t xml:space="preserve">Eligible projects can start with a seedcorn allocation, a time-limited allocation for testing and development, subject to availability and the rules of the relevant service.</w:t>
      </w:r>
    </w:p>
    <w:p>
      <w:pPr>
        <w:pStyle w:val="ListParagraph"/>
        <w:numPr>
          <w:ilvl w:val="0"/>
          <w:numId w:val="3"/>
        </w:numPr>
        <w:spacing w:after="30" w:before="30"/>
      </w:pPr>
      <w:r>
        <w:rPr>
          <w:b w:val="false"/>
          <w:bCs w:val="false"/>
          <w:i w:val="false"/>
          <w:iCs w:val="false"/>
          <w:sz w:val="22"/>
          <w:szCs w:val="22"/>
        </w:rPr>
        <w:t xml:space="preserve">We help with onboarding, software environments, optimisation and data movement.</w:t>
      </w:r>
    </w:p>
    <w:p>
      <w:pPr>
        <w:pStyle w:val="ListParagraph"/>
        <w:numPr>
          <w:ilvl w:val="0"/>
          <w:numId w:val="3"/>
        </w:numPr>
        <w:spacing w:after="30" w:before="30"/>
      </w:pPr>
      <w:r>
        <w:rPr>
          <w:b w:val="false"/>
          <w:bCs w:val="false"/>
          <w:i w:val="false"/>
          <w:iCs w:val="false"/>
          <w:sz w:val="22"/>
          <w:szCs w:val="22"/>
        </w:rPr>
        <w:t xml:space="preserve">For larger-scale work after the seedcorn stage, we help researchers prepare applications to GridPP or IRIS, or identify the appropriate registration and allocation route through the Research Computing Service.</w:t>
      </w:r>
    </w:p>
    <w:p>
      <w:pPr>
        <w:keepNext/>
        <w:spacing w:after="60" w:before="140"/>
      </w:pPr>
      <w:r>
        <w:rPr>
          <w:b/>
          <w:bCs/>
          <w:i w:val="false"/>
          <w:iCs w:val="false"/>
          <w:sz w:val="22"/>
          <w:szCs w:val="22"/>
        </w:rPr>
        <w:t xml:space="preserve">Computing resources</w:t>
      </w:r>
    </w:p>
    <w:p>
      <w:pPr>
        <w:keepNext w:val="false"/>
        <w:spacing w:after="80" w:before="80"/>
      </w:pPr>
      <w:r>
        <w:rPr>
          <w:b w:val="false"/>
          <w:bCs w:val="false"/>
          <w:i w:val="false"/>
          <w:iCs w:val="false"/>
          <w:sz w:val="22"/>
          <w:szCs w:val="22"/>
        </w:rPr>
        <w:t xml:space="preserve">Resources are organised in layers with different owners, purposes and access arrangements.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700"/>
      </w:tblGrid>
      <w:tr>
        <w:trPr>
          <w:tblHeader/>
        </w:trPr>
        <w:tc>
          <w:tcPr>
            <w:tcW w:type="dxa" w:w="2300"/>
          </w:tcPr>
          <w:p>
            <w:pPr>
              <w:spacing w:after="50" w:before="50"/>
            </w:pPr>
            <w:r>
              <w:rPr>
                <w:b/>
                <w:bCs/>
                <w:i w:val="false"/>
                <w:iCs w:val="false"/>
                <w:sz w:val="20"/>
                <w:szCs w:val="20"/>
              </w:rPr>
              <w:t xml:space="preserve">Resource layer</w:t>
            </w:r>
          </w:p>
        </w:tc>
        <w:tc>
          <w:tcPr>
            <w:tcW w:type="dxa" w:w="3900"/>
          </w:tcPr>
          <w:p>
            <w:pPr>
              <w:spacing w:after="50" w:before="50"/>
            </w:pPr>
            <w:r>
              <w:rPr>
                <w:b/>
                <w:bCs/>
                <w:i w:val="false"/>
                <w:iCs w:val="false"/>
                <w:sz w:val="20"/>
                <w:szCs w:val="20"/>
              </w:rPr>
              <w:t xml:space="preserve">Primary role</w:t>
            </w:r>
          </w:p>
        </w:tc>
        <w:tc>
          <w:tcPr>
            <w:tcW w:type="dxa" w:w="3700"/>
          </w:tcPr>
          <w:p>
            <w:pPr>
              <w:spacing w:after="50" w:before="50"/>
            </w:pPr>
            <w:r>
              <w:rPr>
                <w:b/>
                <w:bCs/>
                <w:i w:val="false"/>
                <w:iCs w:val="false"/>
                <w:sz w:val="20"/>
                <w:szCs w:val="20"/>
              </w:rPr>
              <w:t xml:space="preserve">Access route</w:t>
            </w:r>
          </w:p>
        </w:tc>
      </w:tr>
      <w:tr>
        <w:tc>
          <w:tcPr>
            <w:tcW w:type="dxa" w:w="2300"/>
          </w:tcPr>
          <w:p>
            <w:pPr>
              <w:spacing w:after="50" w:before="50"/>
            </w:pPr>
            <w:r>
              <w:rPr>
                <w:b w:val="false"/>
                <w:bCs w:val="false"/>
                <w:i w:val="false"/>
                <w:iCs w:val="false"/>
                <w:sz w:val="20"/>
                <w:szCs w:val="20"/>
              </w:rPr>
              <w:t xml:space="preserve">Departmental systems</w:t>
            </w:r>
          </w:p>
        </w:tc>
        <w:tc>
          <w:tcPr>
            <w:tcW w:type="dxa" w:w="3900"/>
          </w:tcPr>
          <w:p>
            <w:pPr>
              <w:spacing w:after="50" w:before="50"/>
            </w:pPr>
            <w:r>
              <w:rPr>
                <w:b w:val="false"/>
                <w:bCs w:val="false"/>
                <w:i w:val="false"/>
                <w:iCs w:val="false"/>
                <w:sz w:val="20"/>
                <w:szCs w:val="20"/>
              </w:rPr>
              <w:t xml:space="preserve">Development, testing, teaching and specialist workloads within Physics.</w:t>
            </w:r>
          </w:p>
        </w:tc>
        <w:tc>
          <w:tcPr>
            <w:tcW w:type="dxa" w:w="3700"/>
          </w:tcPr>
          <w:p>
            <w:pPr>
              <w:spacing w:after="50" w:before="50"/>
            </w:pPr>
            <w:r>
              <w:rPr>
                <w:b w:val="false"/>
                <w:bCs w:val="false"/>
                <w:i w:val="false"/>
                <w:iCs w:val="false"/>
                <w:sz w:val="20"/>
                <w:szCs w:val="20"/>
              </w:rPr>
              <w:t xml:space="preserve">Managed by the </w:t>
            </w:r>
            <w:r>
              <w:rPr>
                <w:b/>
                <w:bCs/>
                <w:i w:val="false"/>
                <w:iCs w:val="false"/>
                <w:sz w:val="20"/>
                <w:szCs w:val="20"/>
              </w:rPr>
              <w:t xml:space="preserve">[[SHORT FORM]]</w:t>
            </w:r>
            <w:r>
              <w:rPr>
                <w:b w:val="false"/>
                <w:bCs w:val="false"/>
                <w:i w:val="false"/>
                <w:iCs w:val="false"/>
                <w:sz w:val="20"/>
                <w:szCs w:val="20"/>
              </w:rPr>
              <w:t xml:space="preserve">. Contact us to discuss eligibility.</w:t>
            </w:r>
          </w:p>
        </w:tc>
      </w:tr>
      <w:tr>
        <w:tc>
          <w:tcPr>
            <w:tcW w:type="dxa" w:w="2300"/>
          </w:tcPr>
          <w:p>
            <w:pPr>
              <w:spacing w:after="50" w:before="50"/>
            </w:pPr>
            <w:r>
              <w:rPr>
                <w:b w:val="false"/>
                <w:bCs w:val="false"/>
                <w:i w:val="false"/>
                <w:iCs w:val="false"/>
                <w:sz w:val="20"/>
                <w:szCs w:val="20"/>
              </w:rPr>
              <w:t xml:space="preserve">Research Computing Service</w:t>
            </w:r>
          </w:p>
        </w:tc>
        <w:tc>
          <w:tcPr>
            <w:tcW w:type="dxa" w:w="3900"/>
          </w:tcPr>
          <w:p>
            <w:pPr>
              <w:spacing w:after="50" w:before="50"/>
            </w:pPr>
            <w:r>
              <w:rPr>
                <w:b w:val="false"/>
                <w:bCs w:val="false"/>
                <w:i w:val="false"/>
                <w:iCs w:val="false"/>
                <w:sz w:val="20"/>
                <w:szCs w:val="20"/>
              </w:rPr>
              <w:t xml:space="preserve">College-wide high-performance computing, GPU platforms, storage and research software engineering.</w:t>
            </w:r>
          </w:p>
        </w:tc>
        <w:tc>
          <w:tcPr>
            <w:tcW w:type="dxa" w:w="3700"/>
          </w:tcPr>
          <w:p>
            <w:pPr>
              <w:spacing w:after="50" w:before="50"/>
            </w:pPr>
            <w:r>
              <w:rPr>
                <w:b w:val="false"/>
                <w:bCs w:val="false"/>
                <w:i w:val="false"/>
                <w:iCs w:val="false"/>
                <w:sz w:val="20"/>
                <w:szCs w:val="20"/>
              </w:rPr>
              <w:t xml:space="preserve">RCS registration and allocations.</w:t>
            </w:r>
          </w:p>
        </w:tc>
      </w:tr>
      <w:tr>
        <w:tc>
          <w:tcPr>
            <w:tcW w:type="dxa" w:w="2300"/>
          </w:tcPr>
          <w:p>
            <w:pPr>
              <w:spacing w:after="50" w:before="50"/>
            </w:pPr>
            <w:r>
              <w:rPr>
                <w:b w:val="false"/>
                <w:bCs w:val="false"/>
                <w:i w:val="false"/>
                <w:iCs w:val="false"/>
                <w:sz w:val="20"/>
                <w:szCs w:val="20"/>
              </w:rPr>
              <w:t xml:space="preserve">GridPP</w:t>
            </w:r>
          </w:p>
        </w:tc>
        <w:tc>
          <w:tcPr>
            <w:tcW w:type="dxa" w:w="3900"/>
          </w:tcPr>
          <w:p>
            <w:pPr>
              <w:spacing w:after="50" w:before="50"/>
            </w:pPr>
            <w:r>
              <w:rPr>
                <w:b w:val="false"/>
                <w:bCs w:val="false"/>
                <w:i w:val="false"/>
                <w:iCs w:val="false"/>
                <w:sz w:val="20"/>
                <w:szCs w:val="20"/>
              </w:rPr>
              <w:t xml:space="preserve">Distributed high-throughput computing and storage for data-intensive science.</w:t>
            </w:r>
          </w:p>
        </w:tc>
        <w:tc>
          <w:tcPr>
            <w:tcW w:type="dxa" w:w="3700"/>
          </w:tcPr>
          <w:p>
            <w:pPr>
              <w:spacing w:after="50" w:before="50"/>
            </w:pPr>
            <w:r>
              <w:rPr>
                <w:b w:val="false"/>
                <w:bCs w:val="false"/>
                <w:i w:val="false"/>
                <w:iCs w:val="false"/>
                <w:sz w:val="20"/>
                <w:szCs w:val="20"/>
              </w:rPr>
              <w:t xml:space="preserve">GridPP eligibility, with seedcorn and formal allocation routes.</w:t>
            </w:r>
          </w:p>
        </w:tc>
      </w:tr>
      <w:tr>
        <w:tc>
          <w:tcPr>
            <w:tcW w:type="dxa" w:w="2300"/>
          </w:tcPr>
          <w:p>
            <w:pPr>
              <w:spacing w:after="50" w:before="50"/>
            </w:pPr>
            <w:r>
              <w:rPr>
                <w:b w:val="false"/>
                <w:bCs w:val="false"/>
                <w:i w:val="false"/>
                <w:iCs w:val="false"/>
                <w:sz w:val="20"/>
                <w:szCs w:val="20"/>
              </w:rPr>
              <w:t xml:space="preserve">IRIS</w:t>
            </w:r>
          </w:p>
        </w:tc>
        <w:tc>
          <w:tcPr>
            <w:tcW w:type="dxa" w:w="3900"/>
          </w:tcPr>
          <w:p>
            <w:pPr>
              <w:spacing w:after="50" w:before="50"/>
            </w:pPr>
            <w:r>
              <w:rPr>
                <w:b w:val="false"/>
                <w:bCs w:val="false"/>
                <w:i w:val="false"/>
                <w:iCs w:val="false"/>
                <w:sz w:val="20"/>
                <w:szCs w:val="20"/>
              </w:rPr>
              <w:t xml:space="preserve">Digital research infrastructure for STFC-supported science, developed by a cooperative of UK institutions.</w:t>
            </w:r>
          </w:p>
        </w:tc>
        <w:tc>
          <w:tcPr>
            <w:tcW w:type="dxa" w:w="3700"/>
          </w:tcPr>
          <w:p>
            <w:pPr>
              <w:spacing w:after="50" w:before="50"/>
            </w:pPr>
            <w:r>
              <w:rPr>
                <w:b w:val="false"/>
                <w:bCs w:val="false"/>
                <w:i w:val="false"/>
                <w:iCs w:val="false"/>
                <w:sz w:val="20"/>
                <w:szCs w:val="20"/>
              </w:rPr>
              <w:t xml:space="preserve">IRIS eligibility, with seedcorn and formal allocation routes.</w:t>
            </w:r>
          </w:p>
        </w:tc>
      </w:tr>
    </w:tbl>
    <w:p>
      <w:pPr>
        <w:spacing w:after="80"/>
      </w:pPr>
    </w:p>
    <w:p>
      <w:pPr>
        <w:keepNext/>
        <w:spacing w:after="60" w:before="140"/>
      </w:pPr>
      <w:r>
        <w:rPr>
          <w:b/>
          <w:bCs/>
          <w:i w:val="false"/>
          <w:iCs w:val="false"/>
          <w:sz w:val="22"/>
          <w:szCs w:val="22"/>
        </w:rPr>
        <w:t xml:space="preserve">Services we operate</w:t>
      </w:r>
    </w:p>
    <w:p>
      <w:pPr>
        <w:keepNext w:val="false"/>
        <w:spacing w:after="80" w:before="80"/>
      </w:pPr>
      <w:r>
        <w:rPr>
          <w:b/>
          <w:bCs/>
          <w:i w:val="false"/>
          <w:iCs w:val="false"/>
          <w:sz w:val="22"/>
          <w:szCs w:val="22"/>
        </w:rPr>
        <w:t xml:space="preserve">The Grid Cluster. </w:t>
      </w:r>
      <w:r>
        <w:rPr>
          <w:b w:val="false"/>
          <w:bCs w:val="false"/>
          <w:i w:val="false"/>
          <w:iCs w:val="false"/>
          <w:sz w:val="22"/>
          <w:szCs w:val="22"/>
        </w:rPr>
        <w:t xml:space="preserve">Imperial’s GridPP site contributes to LondonGrid, one of the UK’s four regional Tier-2 centres within GridPP and the Worldwide LHC Computing Grid. It supports workloads for international collaborations including the LHC experiments, neutrino experiments, dark matter searches and the Euclid and PLATO space missions. Access is through standard grid interfaces.</w:t>
      </w:r>
    </w:p>
    <w:p>
      <w:pPr>
        <w:keepNext w:val="false"/>
        <w:spacing w:after="80" w:before="80"/>
      </w:pPr>
      <w:r>
        <w:rPr>
          <w:b/>
          <w:bCs/>
          <w:i w:val="false"/>
          <w:iCs w:val="false"/>
          <w:sz w:val="22"/>
          <w:szCs w:val="22"/>
        </w:rPr>
        <w:t xml:space="preserve">The GridPP DIRAC service. </w:t>
      </w:r>
      <w:r>
        <w:rPr>
          <w:b w:val="false"/>
          <w:bCs w:val="false"/>
          <w:i w:val="false"/>
          <w:iCs w:val="false"/>
          <w:sz w:val="22"/>
          <w:szCs w:val="22"/>
        </w:rPr>
        <w:t xml:space="preserve">We host the DIRAC service that GridPP provides to help smaller research communities manage workloads across the UK grid.</w:t>
      </w:r>
    </w:p>
    <w:p>
      <w:pPr>
        <w:keepNext w:val="false"/>
        <w:spacing w:after="80" w:before="80"/>
      </w:pPr>
      <w:r>
        <w:rPr>
          <w:b/>
          <w:bCs/>
          <w:i w:val="false"/>
          <w:iCs w:val="false"/>
          <w:sz w:val="22"/>
          <w:szCs w:val="22"/>
        </w:rPr>
        <w:t xml:space="preserve">The IRIS OpenStack Cloud. </w:t>
      </w:r>
      <w:r>
        <w:rPr>
          <w:b w:val="false"/>
          <w:bCs w:val="false"/>
          <w:i w:val="false"/>
          <w:iCs w:val="false"/>
          <w:sz w:val="22"/>
          <w:szCs w:val="22"/>
        </w:rPr>
        <w:t xml:space="preserve">Our cloud service supports IRIS projects.</w:t>
      </w:r>
    </w:p>
    <w:p>
      <w:pPr>
        <w:spacing w:after="60" w:before="60"/>
      </w:pPr>
      <w:r>
        <w:rPr>
          <w:b/>
          <w:bCs/>
          <w:i/>
          <w:iCs/>
          <w:sz w:val="20"/>
          <w:szCs w:val="20"/>
        </w:rPr>
        <w:t xml:space="preserve">Internal instruction, do not publish. </w:t>
      </w:r>
      <w:r>
        <w:rPr>
          <w:b w:val="false"/>
          <w:bCs w:val="false"/>
          <w:i/>
          <w:iCs/>
          <w:sz w:val="20"/>
          <w:szCs w:val="20"/>
        </w:rPr>
        <w:t xml:space="preserve">A sentence stating that data generated on the cloud is normally exported back to the user’s own infrastructure was removed pending confirmation. Reinstate it only if the IRIS service lead confirms it and it serves a practical purpose for users.</w:t>
      </w:r>
    </w:p>
    <w:p>
      <w:pPr>
        <w:keepNext w:val="false"/>
        <w:spacing w:after="80" w:before="80"/>
      </w:pPr>
      <w:r>
        <w:rPr>
          <w:b/>
          <w:bCs/>
          <w:i w:val="false"/>
          <w:iCs w:val="false"/>
          <w:sz w:val="22"/>
          <w:szCs w:val="22"/>
        </w:rPr>
        <w:t xml:space="preserve">Departmental batch and storage. </w:t>
      </w:r>
      <w:r>
        <w:rPr>
          <w:b w:val="false"/>
          <w:bCs w:val="false"/>
          <w:i w:val="false"/>
          <w:iCs w:val="false"/>
          <w:sz w:val="22"/>
          <w:szCs w:val="22"/>
        </w:rPr>
        <w:t xml:space="preserve">We operate local batch processing and storage for departmental projects.</w:t>
      </w:r>
    </w:p>
    <w:p>
      <w:pPr>
        <w:keepNext w:val="false"/>
        <w:spacing w:after="80" w:before="80"/>
      </w:pPr>
      <w:r>
        <w:rPr>
          <w:b w:val="false"/>
          <w:bCs w:val="false"/>
          <w:i w:val="false"/>
          <w:iCs w:val="false"/>
          <w:sz w:val="22"/>
          <w:szCs w:val="22"/>
        </w:rPr>
        <w:t xml:space="preserve">All services follow the security procedures of the infrastructures they belong to. Access to the Research Computing Service is covered by the </w:t>
      </w:r>
      <w:r>
        <w:rPr>
          <w:b w:val="false"/>
          <w:bCs w:val="false"/>
          <w:i/>
          <w:iCs/>
          <w:sz w:val="22"/>
          <w:szCs w:val="22"/>
        </w:rPr>
        <w:t xml:space="preserve">RCS access policy</w:t>
      </w:r>
      <w:r>
        <w:rPr>
          <w:b w:val="false"/>
          <w:bCs w:val="false"/>
          <w:i w:val="false"/>
          <w:iCs w:val="false"/>
          <w:sz w:val="22"/>
          <w:szCs w:val="22"/>
        </w:rPr>
        <w:t xml:space="preserve">.</w:t>
      </w:r>
    </w:p>
    <w:p>
      <w:pPr>
        <w:spacing w:after="60" w:before="60"/>
      </w:pPr>
      <w:r>
        <w:rPr>
          <w:b/>
          <w:bCs/>
          <w:i/>
          <w:iCs/>
          <w:sz w:val="20"/>
          <w:szCs w:val="20"/>
        </w:rPr>
        <w:t xml:space="preserve">Internal instruction, do not publish. </w:t>
      </w:r>
      <w:r>
        <w:rPr>
          <w:b w:val="false"/>
          <w:bCs w:val="false"/>
          <w:i/>
          <w:iCs/>
          <w:sz w:val="20"/>
          <w:szCs w:val="20"/>
        </w:rPr>
        <w:t xml:space="preserve">Link "RCS access policy" to https://www.imperial.ac.uk/admin-services/ict/self-service/research-support/rcs/get-access/terms-and-conditions/rcs-access-policy/ and "GridPP" and "IRIS" in the table to https://www.gridpp.ac.uk and https://www.iris.ac.uk. Link "Research Computing Service" to https://www.imperial.ac.uk/admin-services/ict/self-service/research-support/rcs/.</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Confirm with the service leads that the ownership wording of each service under Services we operate is accurate as written.</w:t>
      </w:r>
    </w:p>
    <w:p>
      <w:pPr>
        <w:pStyle w:val="ListParagraph"/>
        <w:numPr>
          <w:ilvl w:val="0"/>
          <w:numId w:val="2"/>
        </w:numPr>
        <w:spacing w:after="30" w:before="30"/>
      </w:pPr>
      <w:r>
        <w:rPr>
          <w:b w:val="false"/>
          <w:bCs w:val="false"/>
          <w:i w:val="false"/>
          <w:iCs w:val="false"/>
          <w:sz w:val="22"/>
          <w:szCs w:val="22"/>
        </w:rPr>
        <w:t xml:space="preserve">Set the initial Page reviewed date.</w:t>
      </w:r>
    </w:p>
    <w:p>
      <w:pPr>
        <w:pStyle w:val="ListParagraph"/>
        <w:numPr>
          <w:ilvl w:val="0"/>
          <w:numId w:val="2"/>
        </w:numPr>
        <w:spacing w:after="30" w:before="30"/>
      </w:pPr>
      <w:r>
        <w:rPr>
          <w:b w:val="false"/>
          <w:bCs w:val="false"/>
          <w:i w:val="false"/>
          <w:iCs w:val="false"/>
          <w:sz w:val="22"/>
          <w:szCs w:val="22"/>
        </w:rPr>
        <w:t xml:space="preserve">Capacity figures and new departmental hardware: add later with confirmed units, ownership and an as-of date. Not required for launch.</w:t>
      </w:r>
    </w:p>
    <w:p>
      <w:pPr>
        <w:pStyle w:val="Heading1"/>
        <w:keepNext/>
        <w:spacing w:after="120" w:before="340"/>
      </w:pPr>
      <w:r>
        <w:t xml:space="preserve">Page 3: Research &amp; Training</w:t>
      </w:r>
    </w:p>
    <w:p>
      <w:pPr>
        <w:spacing w:after="60" w:before="60"/>
      </w:pPr>
      <w:r>
        <w:rPr>
          <w:b/>
          <w:bCs/>
          <w:i/>
          <w:iCs/>
          <w:sz w:val="20"/>
          <w:szCs w:val="20"/>
        </w:rPr>
        <w:t xml:space="preserve">Internal instruction, do not publish. </w:t>
      </w:r>
      <w:r>
        <w:rPr>
          <w:b w:val="false"/>
          <w:bCs w:val="false"/>
          <w:i/>
          <w:iCs/>
          <w:sz w:val="20"/>
          <w:szCs w:val="20"/>
        </w:rPr>
        <w:t xml:space="preserve">Navigation label: Research &amp; Training. Browser title: Research and training | [[APPROVED NAME]]. URL: /research-training. On-page heading: Research and training. This page launches with two or three case studies as its main evidence, preferably from different research communities. The case-study template below is an internal instruction, not publishable text. There is no catalogue of experiments on this page and no national roles section in this revision. If a vacancy is live, add a temporary news card linking to the advert, and remove it when the vacancy closes. The card is not part of the permanent copy.</w:t>
      </w:r>
    </w:p>
    <w:p>
      <w:pPr>
        <w:pStyle w:val="Heading2"/>
        <w:keepNext/>
        <w:spacing w:after="80" w:before="200"/>
      </w:pPr>
      <w:r>
        <w:t xml:space="preserve">Text to publish</w:t>
      </w:r>
    </w:p>
    <w:p>
      <w:pPr>
        <w:keepNext/>
        <w:spacing w:after="60" w:before="140"/>
      </w:pPr>
      <w:r>
        <w:rPr>
          <w:b/>
          <w:bCs/>
          <w:i w:val="false"/>
          <w:iCs w:val="false"/>
          <w:sz w:val="22"/>
          <w:szCs w:val="22"/>
        </w:rPr>
        <w:t xml:space="preserve">Research and training</w:t>
      </w:r>
    </w:p>
    <w:p>
      <w:pPr>
        <w:keepNext w:val="false"/>
        <w:spacing w:after="80" w:before="80"/>
      </w:pPr>
      <w:r>
        <w:rPr>
          <w:b w:val="false"/>
          <w:bCs w:val="false"/>
          <w:i w:val="false"/>
          <w:iCs w:val="false"/>
          <w:sz w:val="22"/>
          <w:szCs w:val="22"/>
        </w:rPr>
        <w:t xml:space="preserve">The </w:t>
      </w:r>
      <w:r>
        <w:rPr>
          <w:b/>
          <w:bCs/>
          <w:i w:val="false"/>
          <w:iCs w:val="false"/>
          <w:sz w:val="22"/>
          <w:szCs w:val="22"/>
        </w:rPr>
        <w:t xml:space="preserve">[[SHORT FORM]]</w:t>
      </w:r>
      <w:r>
        <w:rPr>
          <w:b w:val="false"/>
          <w:bCs w:val="false"/>
          <w:i w:val="false"/>
          <w:iCs w:val="false"/>
          <w:sz w:val="22"/>
          <w:szCs w:val="22"/>
        </w:rPr>
        <w:t xml:space="preserve"> supports data-intensive research across the Department of Physics. Its five research communities, Light, Matter, Physics of Particles, Physics of the Universe, and Space, Plasma and Climate, share many computational problems even where the science differs. These include statistical inference on large datasets, simulation-based methods, machine learning under physical constraints and real-time analysis.</w:t>
      </w:r>
    </w:p>
    <w:p>
      <w:pPr>
        <w:keepNext/>
        <w:spacing w:after="60" w:before="140"/>
      </w:pPr>
      <w:r>
        <w:rPr>
          <w:b/>
          <w:bCs/>
          <w:i w:val="false"/>
          <w:iCs w:val="false"/>
          <w:sz w:val="22"/>
          <w:szCs w:val="22"/>
        </w:rPr>
        <w:t xml:space="preserve">Case studies</w:t>
      </w:r>
    </w:p>
    <w:p>
      <w:pPr>
        <w:keepNext w:val="false"/>
        <w:spacing w:after="80" w:before="80"/>
      </w:pPr>
      <w:r>
        <w:rPr>
          <w:b w:val="false"/>
          <w:bCs w:val="false"/>
          <w:i w:val="false"/>
          <w:iCs w:val="false"/>
          <w:sz w:val="22"/>
          <w:szCs w:val="22"/>
        </w:rPr>
        <w:t xml:space="preserve">The projects below show the kind of work the </w:t>
      </w:r>
      <w:r>
        <w:rPr>
          <w:b/>
          <w:bCs/>
          <w:i w:val="false"/>
          <w:iCs w:val="false"/>
          <w:sz w:val="22"/>
          <w:szCs w:val="22"/>
        </w:rPr>
        <w:t xml:space="preserve">[[SHORT FORM]]</w:t>
      </w:r>
      <w:r>
        <w:rPr>
          <w:b w:val="false"/>
          <w:bCs w:val="false"/>
          <w:i w:val="false"/>
          <w:iCs w:val="false"/>
          <w:sz w:val="22"/>
          <w:szCs w:val="22"/>
        </w:rPr>
        <w:t xml:space="preserve"> supports.</w:t>
      </w:r>
    </w:p>
    <w:p>
      <w:pPr>
        <w:spacing w:after="60" w:before="60"/>
      </w:pPr>
      <w:r>
        <w:rPr>
          <w:b/>
          <w:bCs/>
          <w:i/>
          <w:iCs/>
          <w:sz w:val="20"/>
          <w:szCs w:val="20"/>
        </w:rPr>
        <w:t xml:space="preserve">Internal instruction, do not publish. </w:t>
      </w:r>
      <w:r>
        <w:rPr>
          <w:b w:val="false"/>
          <w:bCs w:val="false"/>
          <w:i/>
          <w:iCs/>
          <w:sz w:val="20"/>
          <w:szCs w:val="20"/>
        </w:rPr>
        <w:t xml:space="preserve">Insert two or three case studies here at launch. Template for each, 120 to 180 words: title naming the science, not the hardware. One paragraph covering the scientific problem and research community, the method or workflow developed, the systems used, and the outcome, such as a publication, grant or trained researchers. End with a named contact who has approved the text. Prefer case studies from different research communities. Do not publish this page without at least two.</w:t>
      </w:r>
    </w:p>
    <w:p>
      <w:pPr>
        <w:keepNext/>
        <w:spacing w:after="60" w:before="140"/>
      </w:pPr>
      <w:r>
        <w:rPr>
          <w:b/>
          <w:bCs/>
          <w:i w:val="false"/>
          <w:iCs w:val="false"/>
          <w:sz w:val="22"/>
          <w:szCs w:val="22"/>
        </w:rPr>
        <w:t xml:space="preserve">Training</w:t>
      </w:r>
    </w:p>
    <w:p>
      <w:pPr>
        <w:keepNext w:val="false"/>
        <w:spacing w:after="80" w:before="80"/>
      </w:pPr>
      <w:r>
        <w:rPr>
          <w:b w:val="false"/>
          <w:bCs w:val="false"/>
          <w:i w:val="false"/>
          <w:iCs w:val="false"/>
          <w:sz w:val="22"/>
          <w:szCs w:val="22"/>
        </w:rPr>
        <w:t xml:space="preserve">Data-intensive physics needs researchers who combine physical understanding with skills in statistics, machine learning and scientific computing.</w:t>
      </w:r>
    </w:p>
    <w:p>
      <w:pPr>
        <w:keepNext w:val="false"/>
        <w:spacing w:after="80" w:before="80"/>
      </w:pPr>
      <w:r>
        <w:rPr>
          <w:b w:val="false"/>
          <w:bCs w:val="false"/>
          <w:i w:val="false"/>
          <w:iCs w:val="false"/>
          <w:sz w:val="22"/>
          <w:szCs w:val="22"/>
        </w:rPr>
        <w:t xml:space="preserve">The Department offers the </w:t>
      </w:r>
      <w:r>
        <w:rPr>
          <w:b w:val="false"/>
          <w:bCs w:val="false"/>
          <w:i/>
          <w:iCs/>
          <w:sz w:val="22"/>
          <w:szCs w:val="22"/>
        </w:rPr>
        <w:t xml:space="preserve">MRes in Machine Learning and Big Data in the Physical Sciences</w:t>
      </w:r>
      <w:r>
        <w:rPr>
          <w:b w:val="false"/>
          <w:bCs w:val="false"/>
          <w:i w:val="false"/>
          <w:iCs w:val="false"/>
          <w:sz w:val="22"/>
          <w:szCs w:val="22"/>
        </w:rPr>
        <w:t xml:space="preserve">, a one-year Master’s course in which students learn to apply machine learning and data-science techniques to real experimental data and carry out an extended research project. The </w:t>
      </w:r>
      <w:r>
        <w:rPr>
          <w:b/>
          <w:bCs/>
          <w:i w:val="false"/>
          <w:iCs w:val="false"/>
          <w:sz w:val="22"/>
          <w:szCs w:val="22"/>
        </w:rPr>
        <w:t xml:space="preserve">[[SHORT FORM]]</w:t>
      </w:r>
      <w:r>
        <w:rPr>
          <w:b w:val="false"/>
          <w:bCs w:val="false"/>
          <w:i w:val="false"/>
          <w:iCs w:val="false"/>
          <w:sz w:val="22"/>
          <w:szCs w:val="22"/>
        </w:rPr>
        <w:t xml:space="preserve"> supports project work and teaching connected with the course.</w:t>
      </w:r>
    </w:p>
    <w:p>
      <w:pPr>
        <w:spacing w:after="60" w:before="60"/>
      </w:pPr>
      <w:r>
        <w:rPr>
          <w:b/>
          <w:bCs/>
          <w:i/>
          <w:iCs/>
          <w:sz w:val="20"/>
          <w:szCs w:val="20"/>
        </w:rPr>
        <w:t xml:space="preserve">Internal instruction, do not publish. </w:t>
      </w:r>
      <w:r>
        <w:rPr>
          <w:b w:val="false"/>
          <w:bCs w:val="false"/>
          <w:i/>
          <w:iCs/>
          <w:sz w:val="20"/>
          <w:szCs w:val="20"/>
        </w:rPr>
        <w:t xml:space="preserve">Link the MRes title to https://www.imperial.ac.uk/study/courses/postgraduate-taught/machine-learning-physical-sciences/. The course exists and the title is verified. What needs confirming with the course directors, David Colling and Nick Wardle, is the final sentence describing the contribution to the course. If no contribution is agreed by launch, delete that sentence and keep the course description.</w:t>
      </w:r>
    </w:p>
    <w:p>
      <w:pPr>
        <w:keepNext w:val="false"/>
        <w:spacing w:after="80" w:before="80"/>
      </w:pPr>
      <w:r>
        <w:rPr>
          <w:b w:val="false"/>
          <w:bCs w:val="false"/>
          <w:i w:val="false"/>
          <w:iCs w:val="false"/>
          <w:sz w:val="22"/>
          <w:szCs w:val="22"/>
        </w:rPr>
        <w:t xml:space="preserve">We also run onboarding and practical workshops for researchers and students using our systems, covering software environments, workflows and reproducible computing.</w:t>
      </w:r>
    </w:p>
    <w:p>
      <w:pPr>
        <w:keepNext/>
        <w:spacing w:after="60" w:before="140"/>
      </w:pPr>
      <w:r>
        <w:rPr>
          <w:b/>
          <w:bCs/>
          <w:i w:val="false"/>
          <w:iCs w:val="false"/>
          <w:sz w:val="22"/>
          <w:szCs w:val="22"/>
        </w:rPr>
        <w:t xml:space="preserve">Partnerships</w:t>
      </w:r>
    </w:p>
    <w:p>
      <w:pPr>
        <w:keepNext w:val="false"/>
        <w:spacing w:after="80" w:before="80"/>
      </w:pPr>
      <w:r>
        <w:rPr>
          <w:b w:val="false"/>
          <w:bCs w:val="false"/>
          <w:i w:val="false"/>
          <w:iCs w:val="false"/>
          <w:sz w:val="22"/>
          <w:szCs w:val="22"/>
        </w:rPr>
        <w:t xml:space="preserve">We welcome collaboration with academic groups, national facilities, industry and public organisations. Partnerships can involve joint research projects, specialist training, placements, facilities, datasets or software. Contact us to discuss ideas.</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Insert at least two approved case studies with named-contact consent. This is the launch blocker for this page.</w:t>
      </w:r>
    </w:p>
    <w:p>
      <w:pPr>
        <w:pStyle w:val="ListParagraph"/>
        <w:numPr>
          <w:ilvl w:val="0"/>
          <w:numId w:val="2"/>
        </w:numPr>
        <w:spacing w:after="30" w:before="30"/>
      </w:pPr>
      <w:r>
        <w:rPr>
          <w:b w:val="false"/>
          <w:bCs w:val="false"/>
          <w:i w:val="false"/>
          <w:iCs w:val="false"/>
          <w:sz w:val="22"/>
          <w:szCs w:val="22"/>
        </w:rPr>
        <w:t xml:space="preserve">Confirm or delete the sentence on the [[SHORT FORM]]’s contribution to the MRes.</w:t>
      </w:r>
    </w:p>
    <w:p>
      <w:pPr>
        <w:pStyle w:val="ListParagraph"/>
        <w:numPr>
          <w:ilvl w:val="0"/>
          <w:numId w:val="2"/>
        </w:numPr>
        <w:spacing w:after="30" w:before="30"/>
      </w:pPr>
      <w:r>
        <w:rPr>
          <w:b w:val="false"/>
          <w:bCs w:val="false"/>
          <w:i w:val="false"/>
          <w:iCs w:val="false"/>
          <w:sz w:val="22"/>
          <w:szCs w:val="22"/>
        </w:rPr>
        <w:t xml:space="preserve">Confirm the workshops sentence reflects activities that will actually run in the first year.</w:t>
      </w:r>
    </w:p>
    <w:p>
      <w:pPr>
        <w:pStyle w:val="Heading1"/>
        <w:keepNext/>
        <w:spacing w:after="120" w:before="340"/>
      </w:pPr>
      <w:r>
        <w:t xml:space="preserve">Page 4: About &amp; People</w:t>
      </w:r>
    </w:p>
    <w:p>
      <w:pPr>
        <w:spacing w:after="60" w:before="60"/>
      </w:pPr>
      <w:r>
        <w:rPr>
          <w:b/>
          <w:bCs/>
          <w:i/>
          <w:iCs/>
          <w:sz w:val="20"/>
          <w:szCs w:val="20"/>
        </w:rPr>
        <w:t xml:space="preserve">Internal instruction, do not publish. </w:t>
      </w:r>
      <w:r>
        <w:rPr>
          <w:b w:val="false"/>
          <w:bCs w:val="false"/>
          <w:i/>
          <w:iCs/>
          <w:sz w:val="20"/>
          <w:szCs w:val="20"/>
        </w:rPr>
        <w:t xml:space="preserve">Navigation label: About &amp; People. Browser title: About | [[APPROVED NAME]]. URL: /about-people. On-page heading: About. The contact section carries the anchor #contact, which every Discuss a project button on the site points to. Partner logos appear on this page only, each linking to the destination shown. People entries use the standard Imperial profile format: photograph, name, role, one line of responsibility.</w:t>
      </w:r>
    </w:p>
    <w:p>
      <w:pPr>
        <w:pStyle w:val="Heading2"/>
        <w:keepNext/>
        <w:spacing w:after="80" w:before="200"/>
      </w:pPr>
      <w:r>
        <w:t xml:space="preserve">Text to publish</w:t>
      </w:r>
    </w:p>
    <w:p>
      <w:pPr>
        <w:keepNext/>
        <w:spacing w:after="60" w:before="140"/>
      </w:pPr>
      <w:r>
        <w:rPr>
          <w:b/>
          <w:bCs/>
          <w:i w:val="false"/>
          <w:iCs w:val="false"/>
          <w:sz w:val="22"/>
          <w:szCs w:val="22"/>
        </w:rPr>
        <w:t xml:space="preserve">About</w:t>
      </w:r>
    </w:p>
    <w:p>
      <w:pPr>
        <w:keepNext w:val="false"/>
        <w:spacing w:after="80" w:before="80"/>
      </w:pPr>
      <w:r>
        <w:rPr>
          <w:b/>
          <w:bCs/>
          <w:i w:val="false"/>
          <w:iCs w:val="false"/>
          <w:sz w:val="22"/>
          <w:szCs w:val="22"/>
        </w:rPr>
        <w:t xml:space="preserve">[[APPROVED NAME]]</w:t>
      </w:r>
      <w:r>
        <w:rPr>
          <w:b w:val="false"/>
          <w:bCs w:val="false"/>
          <w:i w:val="false"/>
          <w:iCs w:val="false"/>
          <w:sz w:val="22"/>
          <w:szCs w:val="22"/>
        </w:rPr>
        <w:t xml:space="preserve"> is a Department of Physics initiative supporting data-intensive research, scientific computing, machine learning and AI across the Department’s five research communities.</w:t>
      </w:r>
    </w:p>
    <w:p>
      <w:pPr>
        <w:keepNext w:val="false"/>
        <w:spacing w:after="80" w:before="80"/>
      </w:pPr>
      <w:r>
        <w:rPr>
          <w:b w:val="false"/>
          <w:bCs w:val="false"/>
          <w:i w:val="false"/>
          <w:iCs w:val="false"/>
          <w:sz w:val="22"/>
          <w:szCs w:val="22"/>
        </w:rPr>
        <w:t xml:space="preserve">The </w:t>
      </w:r>
      <w:r>
        <w:rPr>
          <w:b/>
          <w:bCs/>
          <w:i w:val="false"/>
          <w:iCs w:val="false"/>
          <w:sz w:val="22"/>
          <w:szCs w:val="22"/>
        </w:rPr>
        <w:t xml:space="preserve">[[SHORT FORM]]</w:t>
      </w:r>
      <w:r>
        <w:rPr>
          <w:b w:val="false"/>
          <w:bCs w:val="false"/>
          <w:i w:val="false"/>
          <w:iCs w:val="false"/>
          <w:sz w:val="22"/>
          <w:szCs w:val="22"/>
        </w:rPr>
        <w:t xml:space="preserve"> coordinates departmental computing and technical expertise with access to Imperial’s Research Computing Service and national digital research infrastructure. It helps researchers plan computational work, develop robust workflows and move from successful pilots to sustained research programmes.</w:t>
      </w:r>
    </w:p>
    <w:p>
      <w:pPr>
        <w:keepNext/>
        <w:spacing w:after="60" w:before="140"/>
      </w:pPr>
      <w:r>
        <w:rPr>
          <w:b/>
          <w:bCs/>
          <w:i w:val="false"/>
          <w:iCs w:val="false"/>
          <w:sz w:val="22"/>
          <w:szCs w:val="22"/>
        </w:rPr>
        <w:t xml:space="preserve">Our background</w:t>
      </w:r>
    </w:p>
    <w:p>
      <w:pPr>
        <w:keepNext w:val="false"/>
        <w:spacing w:after="80" w:before="80"/>
      </w:pPr>
      <w:r>
        <w:rPr>
          <w:b w:val="false"/>
          <w:bCs w:val="false"/>
          <w:i w:val="false"/>
          <w:iCs w:val="false"/>
          <w:sz w:val="22"/>
          <w:szCs w:val="22"/>
        </w:rPr>
        <w:t xml:space="preserve">Imperial Physics has a long record of contribution and expertise in large-scale and distributed scientific computing, developed through international experiments and UK programmes including the Worldwide LHC Computing Grid, GridPP and IRIS. That experience now supports research across Physics.</w:t>
      </w:r>
    </w:p>
    <w:p>
      <w:pPr>
        <w:keepNext/>
        <w:spacing w:after="60" w:before="140"/>
      </w:pPr>
      <w:r>
        <w:rPr>
          <w:b/>
          <w:bCs/>
          <w:i w:val="false"/>
          <w:iCs w:val="false"/>
          <w:sz w:val="22"/>
          <w:szCs w:val="22"/>
        </w:rPr>
        <w:t xml:space="preserve">People</w:t>
      </w:r>
    </w:p>
    <w:p>
      <w:pPr>
        <w:spacing w:after="60" w:before="60"/>
      </w:pPr>
      <w:r>
        <w:rPr>
          <w:b/>
          <w:bCs/>
          <w:i/>
          <w:iCs/>
          <w:sz w:val="20"/>
          <w:szCs w:val="20"/>
        </w:rPr>
        <w:t xml:space="preserve">Internal instruction, do not publish. </w:t>
      </w:r>
      <w:r>
        <w:rPr>
          <w:b w:val="false"/>
          <w:bCs w:val="false"/>
          <w:i/>
          <w:iCs/>
          <w:sz w:val="20"/>
          <w:szCs w:val="20"/>
        </w:rPr>
        <w:t xml:space="preserve">Publish the academic lead, the technical leads with the services each is responsible for, and a training or partnerships contact if one exists. Include an RCS liaison only if that role has been formally agreed with RCS. Names pending the workshop decision.</w:t>
      </w:r>
    </w:p>
    <w:p>
      <w:pPr>
        <w:keepNext/>
        <w:spacing w:after="60" w:before="140"/>
      </w:pPr>
      <w:r>
        <w:rPr>
          <w:b/>
          <w:bCs/>
          <w:i w:val="false"/>
          <w:iCs w:val="false"/>
          <w:sz w:val="22"/>
          <w:szCs w:val="22"/>
        </w:rPr>
        <w:t xml:space="preserve">Governance</w:t>
      </w:r>
    </w:p>
    <w:p>
      <w:pPr>
        <w:keepNext w:val="false"/>
        <w:spacing w:after="80" w:before="80"/>
      </w:pPr>
      <w:r>
        <w:rPr>
          <w:b w:val="false"/>
          <w:bCs w:val="false"/>
          <w:i w:val="false"/>
          <w:iCs w:val="false"/>
          <w:sz w:val="22"/>
          <w:szCs w:val="22"/>
        </w:rPr>
        <w:t xml:space="preserve">The </w:t>
      </w:r>
      <w:r>
        <w:rPr>
          <w:b/>
          <w:bCs/>
          <w:i w:val="false"/>
          <w:iCs w:val="false"/>
          <w:sz w:val="22"/>
          <w:szCs w:val="22"/>
        </w:rPr>
        <w:t xml:space="preserve">[[SHORT FORM]]</w:t>
      </w:r>
      <w:r>
        <w:rPr>
          <w:b w:val="false"/>
          <w:bCs w:val="false"/>
          <w:i w:val="false"/>
          <w:iCs w:val="false"/>
          <w:sz w:val="22"/>
          <w:szCs w:val="22"/>
        </w:rPr>
        <w:t xml:space="preserve"> is overseen by a steering group with representation from all five of the Department’s research communities, reporting to the Department of Physics.</w:t>
      </w:r>
    </w:p>
    <w:p>
      <w:pPr>
        <w:spacing w:after="60" w:before="60"/>
      </w:pPr>
      <w:r>
        <w:rPr>
          <w:b/>
          <w:bCs/>
          <w:i/>
          <w:iCs/>
          <w:sz w:val="20"/>
          <w:szCs w:val="20"/>
        </w:rPr>
        <w:t xml:space="preserve">Internal instruction, do not publish. </w:t>
      </w:r>
      <w:r>
        <w:rPr>
          <w:b w:val="false"/>
          <w:bCs w:val="false"/>
          <w:i/>
          <w:iCs/>
          <w:sz w:val="20"/>
          <w:szCs w:val="20"/>
        </w:rPr>
        <w:t xml:space="preserve">Adjust the reporting line to match the agreed structure. If representatives are still being appointed, keep the sentence as written; it names roles, not people.</w:t>
      </w:r>
    </w:p>
    <w:p>
      <w:pPr>
        <w:keepNext/>
        <w:spacing w:after="60" w:before="140"/>
      </w:pPr>
      <w:r>
        <w:rPr>
          <w:b/>
          <w:bCs/>
          <w:i w:val="false"/>
          <w:iCs w:val="false"/>
          <w:sz w:val="22"/>
          <w:szCs w:val="22"/>
        </w:rPr>
        <w:t xml:space="preserve">Partners</w:t>
      </w:r>
    </w:p>
    <w:p>
      <w:pPr>
        <w:keepNext w:val="false"/>
        <w:spacing w:after="80" w:before="80"/>
      </w:pPr>
      <w:r>
        <w:rPr>
          <w:b/>
          <w:bCs/>
          <w:i w:val="false"/>
          <w:iCs w:val="false"/>
          <w:sz w:val="22"/>
          <w:szCs w:val="22"/>
        </w:rPr>
        <w:t xml:space="preserve">GridPP</w:t>
      </w:r>
      <w:r>
        <w:rPr>
          <w:b w:val="false"/>
          <w:bCs w:val="false"/>
          <w:i w:val="false"/>
          <w:iCs w:val="false"/>
          <w:sz w:val="22"/>
          <w:szCs w:val="22"/>
        </w:rPr>
        <w:t xml:space="preserve"> : through GridPP, Imperial contributes to LondonGrid, one of the UK’s four regional Tier-2 centres supporting the Worldwide LHC Computing Grid.</w:t>
      </w:r>
    </w:p>
    <w:p>
      <w:pPr>
        <w:keepNext w:val="false"/>
        <w:spacing w:after="80" w:before="80"/>
      </w:pPr>
      <w:r>
        <w:rPr>
          <w:b/>
          <w:bCs/>
          <w:i w:val="false"/>
          <w:iCs w:val="false"/>
          <w:sz w:val="22"/>
          <w:szCs w:val="22"/>
        </w:rPr>
        <w:t xml:space="preserve">IRIS</w:t>
      </w:r>
      <w:r>
        <w:rPr>
          <w:b w:val="false"/>
          <w:bCs w:val="false"/>
          <w:i w:val="false"/>
          <w:iCs w:val="false"/>
          <w:sz w:val="22"/>
          <w:szCs w:val="22"/>
        </w:rPr>
        <w:t xml:space="preserve"> is a cooperative, community-driven project that develops the digital research infrastructure for STFC-supported science. We host IRIS-funded resources and support IRIS projects.</w:t>
      </w:r>
    </w:p>
    <w:p>
      <w:pPr>
        <w:keepNext w:val="false"/>
        <w:spacing w:after="80" w:before="80"/>
      </w:pPr>
      <w:r>
        <w:rPr>
          <w:b/>
          <w:bCs/>
          <w:i w:val="false"/>
          <w:iCs w:val="false"/>
          <w:sz w:val="22"/>
          <w:szCs w:val="22"/>
        </w:rPr>
        <w:t xml:space="preserve">UKRI/STFC</w:t>
      </w:r>
      <w:r>
        <w:rPr>
          <w:b w:val="false"/>
          <w:bCs w:val="false"/>
          <w:i w:val="false"/>
          <w:iCs w:val="false"/>
          <w:sz w:val="22"/>
          <w:szCs w:val="22"/>
        </w:rPr>
        <w:t xml:space="preserve"> funds the national programmes in which we participate.</w:t>
      </w:r>
    </w:p>
    <w:p>
      <w:pPr>
        <w:keepNext w:val="false"/>
        <w:spacing w:after="80" w:before="80"/>
      </w:pPr>
      <w:r>
        <w:rPr>
          <w:b/>
          <w:bCs/>
          <w:i w:val="false"/>
          <w:iCs w:val="false"/>
          <w:sz w:val="22"/>
          <w:szCs w:val="22"/>
        </w:rPr>
        <w:t xml:space="preserve">The Research Computing Service</w:t>
      </w:r>
      <w:r>
        <w:rPr>
          <w:b w:val="false"/>
          <w:bCs w:val="false"/>
          <w:i w:val="false"/>
          <w:iCs w:val="false"/>
          <w:sz w:val="22"/>
          <w:szCs w:val="22"/>
        </w:rPr>
        <w:t xml:space="preserve"> provides Imperial’s College-wide high-performance computing, with which we work closely.</w:t>
      </w:r>
    </w:p>
    <w:p>
      <w:pPr>
        <w:spacing w:after="60" w:before="60"/>
      </w:pPr>
      <w:r>
        <w:rPr>
          <w:b/>
          <w:bCs/>
          <w:i/>
          <w:iCs/>
          <w:sz w:val="20"/>
          <w:szCs w:val="20"/>
        </w:rPr>
        <w:t xml:space="preserve">Internal instruction, do not publish. </w:t>
      </w:r>
      <w:r>
        <w:rPr>
          <w:b w:val="false"/>
          <w:bCs w:val="false"/>
          <w:i/>
          <w:iCs/>
          <w:sz w:val="20"/>
          <w:szCs w:val="20"/>
        </w:rPr>
        <w:t xml:space="preserve">Logo links: GridPP https://www.gridpp.ac.uk, IRIS https://www.iris.ac.uk, UKRI/STFC https://www.ukri.org/councils/stfc/, RCS https://www.imperial.ac.uk/admin-services/ict/self-service/research-support/rcs/.</w:t>
      </w:r>
    </w:p>
    <w:p>
      <w:pPr>
        <w:keepNext/>
        <w:spacing w:after="60" w:before="140"/>
      </w:pPr>
      <w:r>
        <w:rPr>
          <w:b/>
          <w:bCs/>
          <w:i w:val="false"/>
          <w:iCs w:val="false"/>
          <w:sz w:val="22"/>
          <w:szCs w:val="22"/>
        </w:rPr>
        <w:t xml:space="preserve">Acknowledging our support</w:t>
      </w:r>
    </w:p>
    <w:p>
      <w:pPr>
        <w:keepNext w:val="false"/>
        <w:spacing w:after="80" w:before="80"/>
      </w:pPr>
      <w:r>
        <w:rPr>
          <w:b w:val="false"/>
          <w:bCs w:val="false"/>
          <w:i w:val="false"/>
          <w:iCs w:val="false"/>
          <w:sz w:val="22"/>
          <w:szCs w:val="22"/>
        </w:rPr>
        <w:t xml:space="preserve">If the </w:t>
      </w:r>
      <w:r>
        <w:rPr>
          <w:b/>
          <w:bCs/>
          <w:i w:val="false"/>
          <w:iCs w:val="false"/>
          <w:sz w:val="22"/>
          <w:szCs w:val="22"/>
        </w:rPr>
        <w:t xml:space="preserve">[[SHORT FORM]]</w:t>
      </w:r>
      <w:r>
        <w:rPr>
          <w:b w:val="false"/>
          <w:bCs w:val="false"/>
          <w:i w:val="false"/>
          <w:iCs w:val="false"/>
          <w:sz w:val="22"/>
          <w:szCs w:val="22"/>
        </w:rPr>
        <w:t xml:space="preserve">’s resources or support contributed to your work, please include the following in publications and software, alongside any acknowledgement required by the individual services you used, such as the Research Computing Service acknowledgement.</w:t>
      </w:r>
    </w:p>
    <w:p>
      <w:pPr>
        <w:keepNext w:val="false"/>
        <w:spacing w:after="80" w:before="80"/>
      </w:pPr>
      <w:r>
        <w:rPr>
          <w:b w:val="false"/>
          <w:bCs w:val="false"/>
          <w:i/>
          <w:iCs/>
          <w:sz w:val="22"/>
          <w:szCs w:val="22"/>
        </w:rPr>
        <w:t xml:space="preserve">“This work used resources and support provided by </w:t>
      </w:r>
      <w:r>
        <w:rPr>
          <w:b/>
          <w:bCs/>
          <w:i w:val="false"/>
          <w:iCs w:val="false"/>
          <w:sz w:val="22"/>
          <w:szCs w:val="22"/>
        </w:rPr>
        <w:t xml:space="preserve">[[APPROVED NAME]]</w:t>
      </w:r>
      <w:r>
        <w:rPr>
          <w:b w:val="false"/>
          <w:bCs w:val="false"/>
          <w:i/>
          <w:iCs/>
          <w:sz w:val="22"/>
          <w:szCs w:val="22"/>
        </w:rPr>
        <w:t xml:space="preserve">, Imperial College London.”</w:t>
      </w:r>
    </w:p>
    <w:p>
      <w:pPr>
        <w:spacing w:after="60" w:before="60"/>
      </w:pPr>
      <w:r>
        <w:rPr>
          <w:b/>
          <w:bCs/>
          <w:i/>
          <w:iCs/>
          <w:sz w:val="20"/>
          <w:szCs w:val="20"/>
        </w:rPr>
        <w:t xml:space="preserve">Internal instruction, do not publish. </w:t>
      </w:r>
      <w:r>
        <w:rPr>
          <w:b w:val="false"/>
          <w:bCs w:val="false"/>
          <w:i/>
          <w:iCs/>
          <w:sz w:val="20"/>
          <w:szCs w:val="20"/>
        </w:rPr>
        <w:t xml:space="preserve">Link "Research Computing Service acknowledgement" to the RCS access policy page, which states the required RCS acknowledgement and DOI. Set up harvesting of the acknowledgement through publication reporting when this goes live, so it generates evidence for REF and future bids.</w:t>
      </w:r>
    </w:p>
    <w:p>
      <w:pPr>
        <w:keepNext/>
        <w:spacing w:after="60" w:before="140"/>
      </w:pPr>
      <w:r>
        <w:rPr>
          <w:b/>
          <w:bCs/>
          <w:i w:val="false"/>
          <w:iCs w:val="false"/>
          <w:sz w:val="22"/>
          <w:szCs w:val="22"/>
        </w:rPr>
        <w:t xml:space="preserve">Contact</w:t>
      </w:r>
    </w:p>
    <w:p>
      <w:pPr>
        <w:keepNext w:val="false"/>
        <w:spacing w:after="80" w:before="80"/>
      </w:pPr>
      <w:r>
        <w:rPr>
          <w:b w:val="false"/>
          <w:bCs w:val="false"/>
          <w:i w:val="false"/>
          <w:iCs w:val="false"/>
          <w:sz w:val="22"/>
          <w:szCs w:val="22"/>
        </w:rPr>
        <w:t xml:space="preserve">To discuss a project, proposal, partnership or training activity, email </w:t>
      </w:r>
      <w:r>
        <w:rPr>
          <w:b/>
          <w:bCs/>
          <w:i w:val="false"/>
          <w:iCs w:val="false"/>
          <w:sz w:val="22"/>
          <w:szCs w:val="22"/>
        </w:rPr>
        <w:t xml:space="preserve">[[CENTRE MAILBOX]]</w:t>
      </w:r>
      <w:r>
        <w:rPr>
          <w:b w:val="false"/>
          <w:bCs w:val="false"/>
          <w:i w:val="false"/>
          <w:iCs w:val="false"/>
          <w:sz w:val="22"/>
          <w:szCs w:val="22"/>
        </w:rPr>
        <w:t xml:space="preserve">.</w:t>
      </w:r>
    </w:p>
    <w:p>
      <w:pPr>
        <w:spacing w:after="60" w:before="60"/>
      </w:pPr>
      <w:r>
        <w:rPr>
          <w:b/>
          <w:bCs/>
          <w:i/>
          <w:iCs/>
          <w:sz w:val="20"/>
          <w:szCs w:val="20"/>
        </w:rPr>
        <w:t xml:space="preserve">Internal instruction, do not publish. </w:t>
      </w:r>
      <w:r>
        <w:rPr>
          <w:b w:val="false"/>
          <w:bCs w:val="false"/>
          <w:i/>
          <w:iCs/>
          <w:sz w:val="20"/>
          <w:szCs w:val="20"/>
        </w:rPr>
        <w:t xml:space="preserve">Anchor this section as #contact. Use a functional departmental mailbox, not a personal address, so the route survives staff changes. Named profiles above give the personal routes.</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Replace [[APPROVED NAME]], [[SHORT FORM]] and [[CENTRE MAILBOX]].</w:t>
      </w:r>
    </w:p>
    <w:p>
      <w:pPr>
        <w:pStyle w:val="ListParagraph"/>
        <w:numPr>
          <w:ilvl w:val="0"/>
          <w:numId w:val="2"/>
        </w:numPr>
        <w:spacing w:after="30" w:before="30"/>
      </w:pPr>
      <w:r>
        <w:rPr>
          <w:b w:val="false"/>
          <w:bCs w:val="false"/>
          <w:i w:val="false"/>
          <w:iCs w:val="false"/>
          <w:sz w:val="22"/>
          <w:szCs w:val="22"/>
        </w:rPr>
        <w:t xml:space="preserve">Publish the academic lead and technical leads. Include the RCS liaison only if formally agreed.</w:t>
      </w:r>
    </w:p>
    <w:p>
      <w:pPr>
        <w:pStyle w:val="ListParagraph"/>
        <w:numPr>
          <w:ilvl w:val="0"/>
          <w:numId w:val="2"/>
        </w:numPr>
        <w:spacing w:after="30" w:before="30"/>
      </w:pPr>
      <w:r>
        <w:rPr>
          <w:b w:val="false"/>
          <w:bCs w:val="false"/>
          <w:i w:val="false"/>
          <w:iCs w:val="false"/>
          <w:sz w:val="22"/>
          <w:szCs w:val="22"/>
        </w:rPr>
        <w:t xml:space="preserve">Confirm the governance sentence matches the agreed structure and reporting line.</w:t>
      </w:r>
    </w:p>
    <w:p>
      <w:pPr>
        <w:pStyle w:val="ListParagraph"/>
        <w:numPr>
          <w:ilvl w:val="0"/>
          <w:numId w:val="2"/>
        </w:numPr>
        <w:spacing w:after="30" w:before="30"/>
      </w:pPr>
      <w:r>
        <w:rPr>
          <w:b w:val="false"/>
          <w:bCs w:val="false"/>
          <w:i w:val="false"/>
          <w:iCs w:val="false"/>
          <w:sz w:val="22"/>
          <w:szCs w:val="22"/>
        </w:rPr>
        <w:t xml:space="preserve">Confirm the final acknowledgement wording and set up publication harvesting.</w:t>
      </w:r>
    </w:p>
    <w:p>
      <w:pPr>
        <w:pStyle w:val="Heading1"/>
        <w:keepNext/>
        <w:spacing w:after="120" w:before="340"/>
      </w:pPr>
      <w:r>
        <w:t xml:space="preserve">Launch requirements in one list</w:t>
      </w:r>
    </w:p>
    <w:p>
      <w:pPr>
        <w:spacing w:after="60" w:before="60"/>
      </w:pPr>
      <w:r>
        <w:rPr>
          <w:b/>
          <w:bCs/>
          <w:i/>
          <w:iCs/>
          <w:sz w:val="20"/>
          <w:szCs w:val="20"/>
        </w:rPr>
        <w:t xml:space="preserve">Internal instruction, do not publish. </w:t>
      </w:r>
      <w:r>
        <w:rPr>
          <w:b w:val="false"/>
          <w:bCs w:val="false"/>
          <w:i/>
          <w:iCs/>
          <w:sz w:val="20"/>
          <w:szCs w:val="20"/>
        </w:rPr>
        <w:t xml:space="preserve">Everything the site needs before any page goes live. All other former placeholders have been removed from the copy rather than left as dependencies, and can be added in later revisions when confirmed: capacity figures, new departmental hardware, national roles, additional case studies, a vacancy card, a partnerships page.</w:t>
      </w:r>
    </w:p>
    <w:p>
      <w:pPr>
        <w:pStyle w:val="ListParagraph"/>
        <w:numPr>
          <w:ilvl w:val="0"/>
          <w:numId w:val="2"/>
        </w:numPr>
        <w:spacing w:after="30" w:before="30"/>
      </w:pPr>
      <w:r>
        <w:rPr>
          <w:b w:val="false"/>
          <w:bCs w:val="false"/>
          <w:i w:val="false"/>
          <w:iCs w:val="false"/>
          <w:sz w:val="22"/>
          <w:szCs w:val="22"/>
        </w:rPr>
        <w:t xml:space="preserve">Approved name and short form, replaced everywhere in the same pass as the job advert.</w:t>
      </w:r>
    </w:p>
    <w:p>
      <w:pPr>
        <w:pStyle w:val="ListParagraph"/>
        <w:numPr>
          <w:ilvl w:val="0"/>
          <w:numId w:val="2"/>
        </w:numPr>
        <w:spacing w:after="30" w:before="30"/>
      </w:pPr>
      <w:r>
        <w:rPr>
          <w:b w:val="false"/>
          <w:bCs w:val="false"/>
          <w:i w:val="false"/>
          <w:iCs w:val="false"/>
          <w:sz w:val="22"/>
          <w:szCs w:val="22"/>
        </w:rPr>
        <w:t xml:space="preserve">A functional Centre mailbox for the #contact section.</w:t>
      </w:r>
    </w:p>
    <w:p>
      <w:pPr>
        <w:pStyle w:val="ListParagraph"/>
        <w:numPr>
          <w:ilvl w:val="0"/>
          <w:numId w:val="2"/>
        </w:numPr>
        <w:spacing w:after="30" w:before="30"/>
      </w:pPr>
      <w:r>
        <w:rPr>
          <w:b w:val="false"/>
          <w:bCs w:val="false"/>
          <w:i w:val="false"/>
          <w:iCs w:val="false"/>
          <w:sz w:val="22"/>
          <w:szCs w:val="22"/>
        </w:rPr>
        <w:t xml:space="preserve">Academic lead and technical leads for the People section.</w:t>
      </w:r>
    </w:p>
    <w:p>
      <w:pPr>
        <w:pStyle w:val="ListParagraph"/>
        <w:numPr>
          <w:ilvl w:val="0"/>
          <w:numId w:val="2"/>
        </w:numPr>
        <w:spacing w:after="30" w:before="30"/>
      </w:pPr>
      <w:r>
        <w:rPr>
          <w:b w:val="false"/>
          <w:bCs w:val="false"/>
          <w:i w:val="false"/>
          <w:iCs w:val="false"/>
          <w:sz w:val="22"/>
          <w:szCs w:val="22"/>
        </w:rPr>
        <w:t xml:space="preserve">Service-lead confirmation of the ownership wording under Services we operate.</w:t>
      </w:r>
    </w:p>
    <w:p>
      <w:pPr>
        <w:pStyle w:val="ListParagraph"/>
        <w:numPr>
          <w:ilvl w:val="0"/>
          <w:numId w:val="2"/>
        </w:numPr>
        <w:spacing w:after="30" w:before="30"/>
      </w:pPr>
      <w:r>
        <w:rPr>
          <w:b w:val="false"/>
          <w:bCs w:val="false"/>
          <w:i w:val="false"/>
          <w:iCs w:val="false"/>
          <w:sz w:val="22"/>
          <w:szCs w:val="22"/>
        </w:rPr>
        <w:t xml:space="preserve">At least two approved case studies with consent.</w:t>
      </w:r>
    </w:p>
    <w:p>
      <w:pPr>
        <w:pStyle w:val="ListParagraph"/>
        <w:numPr>
          <w:ilvl w:val="0"/>
          <w:numId w:val="2"/>
        </w:numPr>
        <w:spacing w:after="30" w:before="30"/>
      </w:pPr>
      <w:r>
        <w:rPr>
          <w:b w:val="false"/>
          <w:bCs w:val="false"/>
          <w:i w:val="false"/>
          <w:iCs w:val="false"/>
          <w:sz w:val="22"/>
          <w:szCs w:val="22"/>
        </w:rPr>
        <w:t xml:space="preserve">Confirmation or deletion of the MRes contribution sentence.</w:t>
      </w:r>
    </w:p>
    <w:p>
      <w:pPr>
        <w:pStyle w:val="ListParagraph"/>
        <w:numPr>
          <w:ilvl w:val="0"/>
          <w:numId w:val="2"/>
        </w:numPr>
        <w:spacing w:after="30" w:before="30"/>
      </w:pPr>
      <w:r>
        <w:rPr>
          <w:b w:val="false"/>
          <w:bCs w:val="false"/>
          <w:i w:val="false"/>
          <w:iCs w:val="false"/>
          <w:sz w:val="22"/>
          <w:szCs w:val="22"/>
        </w:rPr>
        <w:t xml:space="preserve">Final acknowledgement wording.</w:t>
      </w:r>
    </w:p>
    <w:p>
      <w:pPr>
        <w:pStyle w:val="ListParagraph"/>
        <w:numPr>
          <w:ilvl w:val="0"/>
          <w:numId w:val="2"/>
        </w:numPr>
        <w:spacing w:after="30" w:before="30"/>
      </w:pPr>
      <w:r>
        <w:rPr>
          <w:b w:val="false"/>
          <w:bCs w:val="false"/>
          <w:i w:val="false"/>
          <w:iCs w:val="false"/>
          <w:sz w:val="22"/>
          <w:szCs w:val="22"/>
        </w:rPr>
        <w:t xml:space="preserve">Initial Page reviewed date on Computing &amp; Access.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2026-08-06T13:37:47.166Z</dcterms:created>
  <dcterms:modified xsi:type="dcterms:W3CDTF">2026-08-06T13:37:47.182Z</dcterms:modified>
</cp:coreProperties>
</file>

<file path=docProps/custom.xml><?xml version="1.0" encoding="utf-8"?>
<Properties xmlns="http://schemas.openxmlformats.org/officeDocument/2006/custom-properties" xmlns:vt="http://schemas.openxmlformats.org/officeDocument/2006/docPropsVTypes"/>
</file>