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Annweiler am Trifels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Meßplatz 1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76855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Annweiler am Trifels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Tel.:(06346)301-115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u. Di nach Vereinbarung (Hr. Übel)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 I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I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I/55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25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Vereinswesen; Haftbefehl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</w:t>
      </w:r>
      <w:r>
        <w:rPr>
          <w:rFonts w:ascii="Courier" w:hAnsi="Courier"/>
          <w:sz w:val="24"/>
        </w:rPr>
        <w:t>ierre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Leon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libelli famosi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1775. Nachricht zur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Mainz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: 15 Bulletin der großen Armee,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Braunau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3.10.1805;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Zweibrücker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einzelne Nummer 1806 1808 und 1809;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Nachrichts- und Anzeigeblatt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Zweibrücken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Nr. 34 vom 13.8.1813;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1832, 1833;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Gesellschaftsverein, später Kasinogesellschaft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Protokollbuch 18.12.1820 - 1891 1834, Statuten 1842; Aufforderung zum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Historischen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Pfalz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beizu</w:t>
      </w:r>
      <w:r>
        <w:rPr>
          <w:rFonts w:ascii="Courier" w:hAnsi="Courier"/>
          <w:sz w:val="24"/>
        </w:rPr>
        <w:t xml:space="preserve">treten 1839; Statuten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Annweiler Musikverein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1842; Gründung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Instrumental-Musikverein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Annweiler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1849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1775 - 1849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12 Nummern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A II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II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II/55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13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Revolutionäre Umtriebe und Unruhen; Revolutionäre Umtriebe anfangs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Mai 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Absetzung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Sieben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 betreffend politische und unpolitische Vereine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Parteien, Versammlungen, Kundgebungen, Umzüge, Erlasse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Interalliierten Rheinlandkommission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sz w:val="24"/>
        </w:rPr>
        <w:t>, polizeiliche Verfügungen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1868 - 1937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separatistische Strömungen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1922 - 1939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Tumultschäden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Annweiler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bei einer Ausschreitung der Erwerbslosen, besonders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 Juli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(1923 - 1932); durch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-Mitglieder verursachter Aufruhr und Zerstörung eines LKW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April 1924</w:t>
      </w:r>
      <w:r>
        <w:rPr>
          <w:rFonts w:ascii="Courier" w:hAnsi="Courier"/>
          <w:vanish/>
          <w:sz w:val="24"/>
        </w:rPr>
        <w:t>]z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1832 - 1939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II/131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30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Faschingsbelustigungen,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Faschingszeitung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Zeitungsausschnitte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1906 - 1939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Sommertagszug in der Stadt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1957 - 1969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033C9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1906 - 1969</w:t>
      </w:r>
    </w:p>
    <w:p w:rsidR="00000000" w:rsidRDefault="00033C9A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3C9A"/>
    <w:rsid w:val="0003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BF5A1-0653-4606-BB6D-BB64099E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72</TotalTime>
  <Pages>2</Pages>
  <Words>244</Words>
  <Characters>1540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Annweiler</dc:title>
  <dc:subject>Grünert</dc:subject>
  <dc:creator>Fischer</dc:creator>
  <cp:keywords>DFG-Quellenrepertorium Stadtarchiv Annweiler</cp:keywords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