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Stadtarchiv Bad Königshofen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Marktplatz 2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97631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Bad Königshofen im Grabfeld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Tel.: 09761/409-23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Öffnungszei</w:t>
      </w:r>
      <w:r>
        <w:rPr>
          <w:rFonts w:ascii="CoArier" w:hAnsi="CoArier"/>
          <w:sz w:val="24"/>
          <w:szCs w:val="24"/>
        </w:rPr>
        <w:t>ten: Mo - Fr 8.30 - 12 Uhr, Di auch 14 - 16 Uhr, Do auch 14 - 17.30 Uhr (nur nach vorheriger Anmeldung)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Stadt Bad Königshofen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Stadt Bad Königshofen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301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Subskription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f.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Münchner Festkalender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1835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20</w:t>
      </w:r>
      <w:r>
        <w:rPr>
          <w:rFonts w:ascii="CoArier" w:hAnsi="CoArier"/>
          <w:sz w:val="24"/>
          <w:szCs w:val="24"/>
        </w:rPr>
        <w:tab/>
        <w:t>EAPL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Einheitlicher Aktenplan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314 / I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Verschiedene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1840 - 1974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322 / VI / 4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Einladung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Subscription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auf das National-Prachtwerk: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Wappen der bayer. Städte und Märkte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322</w:t>
      </w:r>
      <w:r>
        <w:rPr>
          <w:rFonts w:ascii="CoArier" w:hAnsi="CoArier"/>
          <w:sz w:val="24"/>
          <w:szCs w:val="24"/>
        </w:rPr>
        <w:t xml:space="preserve"> / V / 4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Einladung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Subscription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(des Buches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Johann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Rost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)</w:t>
      </w:r>
    </w:p>
    <w:p w:rsidR="00000000" w:rsidRDefault="00AA2EA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</w:t>
      </w:r>
    </w:p>
    <w:p w:rsidR="00000000" w:rsidRDefault="00AA2EA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EA2"/>
    <w:rsid w:val="00AA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BADD1-08E9-4D87-A53B-6E92D19A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101</Words>
  <Characters>642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Bad-Königshofen</dc:title>
  <dc:subject>Grünert</dc:subject>
  <dc:creator>Fischer</dc:creator>
  <cp:keywords>DFG-Quellenrepertorium Stadtarchiv Bad-Königshofen</cp:keywords>
  <dc:description/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