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71C3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Hornbach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Bitscher Str. 7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66500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Hornbach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</w:t>
      </w:r>
      <w:r>
        <w:t>rung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Hornbach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Hornbach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Hornbach</w:t>
      </w:r>
      <w:r>
        <w:rPr>
          <w:vanish/>
        </w:rPr>
        <w:t>]o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Hornbach sind in der Pfarrei Hornbach zu benutzen.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 - &gt;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7 Gemeindearbeit \ 77 Pfarrbücherei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77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Hornbach, 77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0F71C3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1935 - </w:t>
      </w:r>
    </w:p>
    <w:p w:rsidR="00000000" w:rsidRDefault="000F71C3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C3"/>
    <w:rsid w:val="000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3042B-6B38-4DB0-9EEF-D61547EA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75</Words>
  <Characters>477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Hornbach,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