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Langenbach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Langgasse 26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35789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Weilmünster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</w:t>
      </w:r>
      <w:r>
        <w:rPr>
          <w:rFonts w:ascii="CoArier" w:hAnsi="CoArier"/>
          <w:sz w:val="24"/>
          <w:szCs w:val="24"/>
        </w:rPr>
        <w:t>ehmigung im Pfarrarmt Weilmünster.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Langenbach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Langenbach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Langenbach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1621 - 1982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Weilmünster.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II. Gemeindeämter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24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024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Langenbach Nr. 24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Pfarrkonferenzen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Rundschreiben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Superintendent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Gieße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 und einzureichenden Abhandlungen, 1820.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1820 ; 1843 - 1980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III. Dienst an der Gemeinde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45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045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Langenbach Nr. 45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1886 - 1887 ; 1917 ; 1977 - 1982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46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046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Langenbach Nr. 46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Anfrage zur "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Säuberung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Gemeindebüchereien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", 1947. - Errichtung einer Gemeindebücherei, 1948.</w:t>
      </w:r>
    </w:p>
    <w:p w:rsidR="00000000" w:rsidRDefault="002C56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1947 - 1956</w:t>
      </w:r>
    </w:p>
    <w:p w:rsidR="00000000" w:rsidRDefault="002C567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567B"/>
    <w:rsid w:val="002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2ADB0-0F51-43C4-B642-13E0E612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140</Words>
  <Characters>889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Langenbach</dc:title>
  <dc:subject>Ludwig</dc:subject>
  <dc:creator>Fischer</dc:creator>
  <cp:keywords>DFG-Quellenrepertorium Pfarrarchiv Langenbach</cp:keywords>
  <dc:description>aus Zentralarchiv Darmstadt</dc:description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