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B966D4" w14:textId="77777777" w:rsidR="0043291E" w:rsidRPr="00B43A0A" w:rsidRDefault="0043291E" w:rsidP="00BE1A69">
      <w:pPr>
        <w:rPr>
          <w:szCs w:val="22"/>
        </w:rPr>
      </w:pPr>
    </w:p>
    <w:p w14:paraId="61AA8597" w14:textId="77777777" w:rsidR="0043291E" w:rsidRPr="00B43A0A" w:rsidRDefault="0043291E" w:rsidP="00BE1A69">
      <w:pPr>
        <w:rPr>
          <w:szCs w:val="22"/>
        </w:rPr>
      </w:pPr>
    </w:p>
    <w:p w14:paraId="65D3E2FF" w14:textId="77777777" w:rsidR="0043291E" w:rsidRPr="00B43A0A" w:rsidRDefault="0043291E" w:rsidP="00985F82"/>
    <w:p w14:paraId="0CB8351E" w14:textId="6D09A90D" w:rsidR="0043291E" w:rsidRPr="00F344AE" w:rsidRDefault="00DD1CB1" w:rsidP="00BE1A69">
      <w:pPr>
        <w:jc w:val="left"/>
        <w:rPr>
          <w:b/>
          <w:bCs/>
          <w:sz w:val="44"/>
          <w:szCs w:val="44"/>
        </w:rPr>
      </w:pPr>
      <w:r w:rsidRPr="00F344AE">
        <w:rPr>
          <w:b/>
          <w:bCs/>
          <w:sz w:val="44"/>
          <w:szCs w:val="44"/>
        </w:rPr>
        <w:t>Guide de l’utilisateur du fichier de microdonnées à grande diffusion de l’Enquête sur les dépenses des ménages, 2019</w:t>
      </w:r>
    </w:p>
    <w:p w14:paraId="11DA89A2" w14:textId="77777777" w:rsidR="004B30FD" w:rsidRPr="00F344AE" w:rsidRDefault="004B30FD" w:rsidP="00BE1A69">
      <w:pPr>
        <w:rPr>
          <w:b/>
          <w:bCs/>
          <w:sz w:val="26"/>
          <w:szCs w:val="26"/>
        </w:rPr>
      </w:pPr>
    </w:p>
    <w:p w14:paraId="07DEB524" w14:textId="77777777" w:rsidR="004B30FD" w:rsidRPr="00F344AE" w:rsidRDefault="004B30FD" w:rsidP="00BE1A69">
      <w:pPr>
        <w:jc w:val="left"/>
        <w:rPr>
          <w:b/>
          <w:bCs/>
          <w:sz w:val="26"/>
          <w:szCs w:val="26"/>
        </w:rPr>
      </w:pPr>
    </w:p>
    <w:p w14:paraId="453D88B2" w14:textId="4C9E692D" w:rsidR="0043291E" w:rsidRPr="00F344AE" w:rsidRDefault="00AC035D" w:rsidP="00BE1A69">
      <w:pPr>
        <w:rPr>
          <w:b/>
          <w:bCs/>
          <w:sz w:val="26"/>
          <w:szCs w:val="26"/>
        </w:rPr>
      </w:pPr>
      <w:r w:rsidRPr="006E774B">
        <w:rPr>
          <w:b/>
          <w:bCs/>
          <w:sz w:val="24"/>
        </w:rPr>
        <w:t> </w:t>
      </w:r>
      <w:r w:rsidR="00681EF6">
        <w:rPr>
          <w:b/>
          <w:bCs/>
          <w:sz w:val="24"/>
        </w:rPr>
        <w:t xml:space="preserve">Juin </w:t>
      </w:r>
      <w:r w:rsidR="00D95BD1" w:rsidRPr="006E774B">
        <w:rPr>
          <w:b/>
          <w:bCs/>
          <w:sz w:val="24"/>
        </w:rPr>
        <w:t>2022</w:t>
      </w:r>
    </w:p>
    <w:p w14:paraId="64B1FCAA" w14:textId="77777777" w:rsidR="0043291E" w:rsidRPr="00F344AE" w:rsidRDefault="0043291E" w:rsidP="00BE1A69">
      <w:pPr>
        <w:rPr>
          <w:b/>
          <w:bCs/>
          <w:sz w:val="26"/>
          <w:szCs w:val="26"/>
        </w:rPr>
      </w:pPr>
    </w:p>
    <w:p w14:paraId="0CC350EB" w14:textId="77777777" w:rsidR="00CF42DC" w:rsidRPr="00F344AE" w:rsidRDefault="00CF42DC" w:rsidP="00BE1A69">
      <w:pPr>
        <w:jc w:val="left"/>
        <w:rPr>
          <w:b/>
          <w:bCs/>
          <w:sz w:val="24"/>
        </w:rPr>
      </w:pPr>
      <w:r w:rsidRPr="00F344AE">
        <w:rPr>
          <w:b/>
          <w:bCs/>
          <w:sz w:val="24"/>
        </w:rPr>
        <w:t>Centre de la statistique du revenu et du bien-être socioéconomique</w:t>
      </w:r>
    </w:p>
    <w:p w14:paraId="23D93A7F" w14:textId="3C03FFA5" w:rsidR="00D75AD5" w:rsidRPr="00F344AE" w:rsidRDefault="00742CB2" w:rsidP="00BE1A69">
      <w:pPr>
        <w:jc w:val="left"/>
        <w:rPr>
          <w:b/>
          <w:bCs/>
          <w:sz w:val="24"/>
        </w:rPr>
      </w:pPr>
      <w:r w:rsidRPr="00F344AE">
        <w:rPr>
          <w:b/>
          <w:bCs/>
          <w:sz w:val="24"/>
        </w:rPr>
        <w:t>Statistique Canada</w:t>
      </w:r>
    </w:p>
    <w:p w14:paraId="1E2CD61F" w14:textId="77777777" w:rsidR="00D571B1" w:rsidRPr="00F344AE" w:rsidRDefault="00052025" w:rsidP="00BE1A69">
      <w:pPr>
        <w:jc w:val="left"/>
        <w:rPr>
          <w:b/>
          <w:bCs/>
          <w:sz w:val="24"/>
        </w:rPr>
      </w:pPr>
      <w:r w:rsidRPr="00F344AE">
        <w:rPr>
          <w:b/>
          <w:bCs/>
          <w:sz w:val="24"/>
        </w:rPr>
        <w:t>150, promenade Tunney’s Pasture</w:t>
      </w:r>
    </w:p>
    <w:p w14:paraId="5FA5E271" w14:textId="391F3862" w:rsidR="0043291E" w:rsidRPr="00F344AE" w:rsidRDefault="00742CB2" w:rsidP="00BE1A69">
      <w:pPr>
        <w:jc w:val="left"/>
        <w:rPr>
          <w:b/>
          <w:bCs/>
          <w:sz w:val="24"/>
        </w:rPr>
      </w:pPr>
      <w:r w:rsidRPr="00F344AE">
        <w:rPr>
          <w:b/>
          <w:bCs/>
          <w:sz w:val="24"/>
        </w:rPr>
        <w:t>Ottawa, ON K1A 0T6</w:t>
      </w:r>
    </w:p>
    <w:p w14:paraId="79ECEDC0" w14:textId="27C7305B" w:rsidR="007A457A" w:rsidRPr="006E774B" w:rsidRDefault="00D75AD5" w:rsidP="00BE1A69">
      <w:pPr>
        <w:jc w:val="left"/>
        <w:rPr>
          <w:b/>
          <w:bCs/>
          <w:sz w:val="24"/>
        </w:rPr>
      </w:pPr>
      <w:r w:rsidRPr="006E774B">
        <w:rPr>
          <w:b/>
          <w:bCs/>
          <w:sz w:val="24"/>
        </w:rPr>
        <w:t>Téléphone : 1-800-263-1136</w:t>
      </w:r>
    </w:p>
    <w:p w14:paraId="28785B96" w14:textId="4F1885E5" w:rsidR="006E774B" w:rsidRPr="00F344AE" w:rsidRDefault="004B1455" w:rsidP="00052025">
      <w:pPr>
        <w:jc w:val="left"/>
        <w:rPr>
          <w:b/>
          <w:bCs/>
          <w:sz w:val="24"/>
        </w:rPr>
      </w:pPr>
      <w:hyperlink r:id="rId8" w:history="1"/>
      <w:hyperlink r:id="rId9" w:history="1">
        <w:r w:rsidR="006E774B">
          <w:rPr>
            <w:rStyle w:val="Hyperlink"/>
            <w:lang w:eastAsia="en-US"/>
          </w:rPr>
          <w:t>infostats@statcan.gc.ca</w:t>
        </w:r>
      </w:hyperlink>
    </w:p>
    <w:p w14:paraId="2653001D" w14:textId="77777777" w:rsidR="00F13378" w:rsidRPr="00F344AE" w:rsidRDefault="00F13378" w:rsidP="00BE1A69">
      <w:pPr>
        <w:jc w:val="left"/>
        <w:rPr>
          <w:b/>
          <w:bCs/>
          <w:sz w:val="24"/>
        </w:rPr>
      </w:pPr>
    </w:p>
    <w:p w14:paraId="59381753" w14:textId="77777777" w:rsidR="00F13378" w:rsidRPr="00F344AE" w:rsidRDefault="00F13378" w:rsidP="00BE1A69">
      <w:pPr>
        <w:jc w:val="left"/>
        <w:rPr>
          <w:b/>
          <w:bCs/>
          <w:sz w:val="24"/>
        </w:rPr>
      </w:pPr>
    </w:p>
    <w:p w14:paraId="57E3AD3B" w14:textId="77777777" w:rsidR="00F13378" w:rsidRPr="00F344AE" w:rsidRDefault="00F13378" w:rsidP="00BE1A69">
      <w:pPr>
        <w:jc w:val="left"/>
        <w:rPr>
          <w:b/>
          <w:bCs/>
          <w:sz w:val="24"/>
        </w:rPr>
      </w:pPr>
    </w:p>
    <w:p w14:paraId="5479A7B8" w14:textId="77777777" w:rsidR="00F13378" w:rsidRPr="00F344AE" w:rsidRDefault="00F13378" w:rsidP="00BE1A69">
      <w:pPr>
        <w:jc w:val="left"/>
        <w:rPr>
          <w:b/>
          <w:bCs/>
          <w:sz w:val="24"/>
        </w:rPr>
      </w:pPr>
    </w:p>
    <w:p w14:paraId="5A241E46" w14:textId="122DE6B4" w:rsidR="0043291E" w:rsidRPr="00081C79" w:rsidRDefault="0095034A" w:rsidP="00BE1A69">
      <w:pPr>
        <w:jc w:val="left"/>
        <w:rPr>
          <w:i/>
          <w:iCs/>
          <w:sz w:val="24"/>
          <w:lang w:val="fr-FR"/>
        </w:rPr>
      </w:pPr>
      <w:r w:rsidRPr="00081C79">
        <w:rPr>
          <w:i/>
          <w:iCs/>
          <w:sz w:val="24"/>
          <w:lang w:val="fr-FR"/>
        </w:rPr>
        <w:t>This document is available in English.</w:t>
      </w:r>
    </w:p>
    <w:p w14:paraId="36AA5ADE" w14:textId="77777777" w:rsidR="0043291E" w:rsidRPr="00081C79" w:rsidRDefault="0043291E" w:rsidP="00BE1A69">
      <w:pPr>
        <w:rPr>
          <w:sz w:val="24"/>
          <w:lang w:val="fr-FR"/>
        </w:rPr>
      </w:pPr>
    </w:p>
    <w:p w14:paraId="406CBEA8" w14:textId="77777777" w:rsidR="0043291E" w:rsidRPr="00081C79" w:rsidRDefault="0043291E" w:rsidP="00BE1A69">
      <w:pPr>
        <w:jc w:val="left"/>
        <w:rPr>
          <w:b/>
          <w:bCs/>
          <w:sz w:val="24"/>
          <w:lang w:val="fr-FR"/>
        </w:rPr>
      </w:pPr>
    </w:p>
    <w:p w14:paraId="26DAFBDD" w14:textId="77777777" w:rsidR="0043291E" w:rsidRPr="00081C79" w:rsidRDefault="0043291E" w:rsidP="00BE1A69">
      <w:pPr>
        <w:jc w:val="left"/>
        <w:rPr>
          <w:sz w:val="24"/>
          <w:lang w:val="fr-FR"/>
        </w:rPr>
      </w:pPr>
    </w:p>
    <w:p w14:paraId="39FD160B" w14:textId="77777777" w:rsidR="00AC4F8F" w:rsidRPr="00081C79" w:rsidRDefault="00AC4F8F" w:rsidP="00BE1A69">
      <w:pPr>
        <w:jc w:val="left"/>
        <w:rPr>
          <w:szCs w:val="22"/>
          <w:lang w:val="fr-FR"/>
        </w:rPr>
      </w:pPr>
    </w:p>
    <w:p w14:paraId="3D4365C9" w14:textId="77777777" w:rsidR="00947F21" w:rsidRPr="00081C79" w:rsidRDefault="00947F21" w:rsidP="00BE1A69">
      <w:pPr>
        <w:jc w:val="center"/>
        <w:rPr>
          <w:rStyle w:val="QuickFormat1"/>
          <w:sz w:val="37"/>
          <w:szCs w:val="37"/>
          <w:lang w:val="fr-FR"/>
        </w:rPr>
      </w:pPr>
    </w:p>
    <w:p w14:paraId="5DA495ED" w14:textId="77777777" w:rsidR="000153E3" w:rsidRPr="00081C79" w:rsidRDefault="00C912EA" w:rsidP="00742F6C">
      <w:pPr>
        <w:jc w:val="left"/>
        <w:rPr>
          <w:noProof/>
          <w:szCs w:val="22"/>
          <w:lang w:val="fr-FR"/>
        </w:rPr>
      </w:pPr>
      <w:r w:rsidRPr="00081C79">
        <w:rPr>
          <w:lang w:val="fr-FR"/>
        </w:rPr>
        <w:br w:type="page"/>
      </w:r>
      <w:bookmarkStart w:id="0" w:name="_Ref104180296"/>
      <w:bookmarkStart w:id="1" w:name="_Ref104179186"/>
      <w:bookmarkStart w:id="2" w:name="_Ref104179127"/>
    </w:p>
    <w:p w14:paraId="0E1890FF" w14:textId="5EFB8C5C" w:rsidR="00237DE9" w:rsidRPr="00F344AE" w:rsidRDefault="00EC07C1" w:rsidP="00EC07C1">
      <w:pPr>
        <w:pStyle w:val="Heading1"/>
      </w:pPr>
      <w:bookmarkStart w:id="3" w:name="_Toc294768456"/>
      <w:bookmarkStart w:id="4" w:name="_Toc294768328"/>
      <w:bookmarkStart w:id="5" w:name="_Toc294768022"/>
      <w:r w:rsidRPr="00F344AE">
        <w:lastRenderedPageBreak/>
        <w:t>1. Introduction</w:t>
      </w:r>
      <w:bookmarkEnd w:id="3"/>
      <w:bookmarkEnd w:id="4"/>
      <w:bookmarkEnd w:id="5"/>
      <w:bookmarkEnd w:id="0"/>
      <w:bookmarkEnd w:id="1"/>
      <w:bookmarkEnd w:id="2"/>
    </w:p>
    <w:p w14:paraId="47CBF0FD" w14:textId="77777777" w:rsidR="00B8290D" w:rsidRPr="00F344AE" w:rsidRDefault="00B8290D" w:rsidP="005C44CE">
      <w:pPr>
        <w:keepNext/>
        <w:autoSpaceDE w:val="0"/>
        <w:autoSpaceDN w:val="0"/>
        <w:adjustRightInd w:val="0"/>
        <w:rPr>
          <w:rFonts w:cs="Arial"/>
          <w:szCs w:val="22"/>
        </w:rPr>
      </w:pPr>
    </w:p>
    <w:p w14:paraId="048A04D7" w14:textId="743E6C7D" w:rsidR="00661558" w:rsidRPr="00F344AE" w:rsidRDefault="00A1649E" w:rsidP="00661558">
      <w:pPr>
        <w:spacing w:line="250" w:lineRule="auto"/>
        <w:ind w:right="49"/>
        <w:rPr>
          <w:rFonts w:cs="Arial"/>
          <w:szCs w:val="22"/>
        </w:rPr>
      </w:pPr>
      <w:r w:rsidRPr="00F344AE">
        <w:t>Ce guide fournit de l’information à l’intention des utilisateurs des données du Fichier de microdonnées à grande diffusion (FMGD) de l’</w:t>
      </w:r>
      <w:r w:rsidR="00B237C8">
        <w:t>Enquête sur les dépenses des ménages (</w:t>
      </w:r>
      <w:r w:rsidRPr="00F344AE">
        <w:t>EDM</w:t>
      </w:r>
      <w:r w:rsidR="00B237C8">
        <w:t>)</w:t>
      </w:r>
      <w:r w:rsidRPr="00F344AE">
        <w:t xml:space="preserve"> de 2019. Le FMGD de l’EDM est un fichier de microdonnées anonymisé contenant seulement un sous-ensemble des variables comprises dans le fichier principal confidentiel de l’EDM. Différentes techniques ont été utilisées afin de s’assurer que les répondants à l’EDM ne puissent pas être identifiés.</w:t>
      </w:r>
    </w:p>
    <w:p w14:paraId="4533AB28" w14:textId="2C065582" w:rsidR="003C1D78" w:rsidRPr="00F344AE" w:rsidRDefault="003C1D78" w:rsidP="00E370BF">
      <w:pPr>
        <w:spacing w:line="250" w:lineRule="auto"/>
        <w:ind w:right="49"/>
        <w:rPr>
          <w:rFonts w:cs="Arial"/>
          <w:szCs w:val="22"/>
        </w:rPr>
      </w:pPr>
    </w:p>
    <w:p w14:paraId="0A2B4144" w14:textId="756B7397" w:rsidR="00AC035D" w:rsidRDefault="00A1649E" w:rsidP="00AC035D">
      <w:pPr>
        <w:pStyle w:val="CommentText"/>
      </w:pPr>
      <w:r w:rsidRPr="00F344AE">
        <w:t xml:space="preserve">Des FMGD annuels ont été produits au moyen des données de l’EDM de 1997 à 2009, avant </w:t>
      </w:r>
      <w:r w:rsidR="006C76E0" w:rsidRPr="00F344AE">
        <w:t xml:space="preserve">le remaniement de l’enquête </w:t>
      </w:r>
      <w:r w:rsidR="006C76E0">
        <w:t>en</w:t>
      </w:r>
      <w:r w:rsidR="006C76E0" w:rsidRPr="00F344AE">
        <w:t xml:space="preserve"> 2010</w:t>
      </w:r>
      <w:r w:rsidRPr="00F344AE">
        <w:t xml:space="preserve">. Le FMGD de l’EDM de 2017 </w:t>
      </w:r>
      <w:r w:rsidR="006E03CC">
        <w:t>fut</w:t>
      </w:r>
      <w:r w:rsidRPr="00F344AE">
        <w:t xml:space="preserve"> le premier FMGD de l’EDM fondé sur les données recueillies après le remaniement de l’enquête de 2010.</w:t>
      </w:r>
      <w:r w:rsidRPr="00F344AE">
        <w:rPr>
          <w:szCs w:val="22"/>
        </w:rPr>
        <w:t xml:space="preserve"> Plusieurs changements ont été apportés à partir de 2019. Plus particulièrement, le FMGD ne comprendra qu’un fichier de données contenant des </w:t>
      </w:r>
      <w:r w:rsidR="00C53C6A" w:rsidRPr="00F344AE">
        <w:rPr>
          <w:szCs w:val="22"/>
        </w:rPr>
        <w:t>renseignements</w:t>
      </w:r>
      <w:r w:rsidRPr="00F344AE">
        <w:rPr>
          <w:szCs w:val="22"/>
        </w:rPr>
        <w:t xml:space="preserve"> sur les ménages qui ont </w:t>
      </w:r>
      <w:r w:rsidR="006C76E0" w:rsidRPr="00F344AE">
        <w:rPr>
          <w:szCs w:val="22"/>
        </w:rPr>
        <w:t xml:space="preserve">participé à </w:t>
      </w:r>
      <w:r w:rsidR="006C76E0" w:rsidRPr="00AC035D">
        <w:rPr>
          <w:szCs w:val="22"/>
        </w:rPr>
        <w:t>l’interview</w:t>
      </w:r>
      <w:r w:rsidR="006C76E0">
        <w:rPr>
          <w:szCs w:val="22"/>
        </w:rPr>
        <w:t xml:space="preserve"> </w:t>
      </w:r>
      <w:r w:rsidR="006C76E0" w:rsidRPr="00F344AE">
        <w:rPr>
          <w:szCs w:val="22"/>
        </w:rPr>
        <w:t xml:space="preserve">et </w:t>
      </w:r>
      <w:r w:rsidRPr="00F344AE">
        <w:rPr>
          <w:szCs w:val="22"/>
        </w:rPr>
        <w:t xml:space="preserve">rempli le journal. Cela a été possible puisque dans l’EDM de 2019, tous les ménages admissibles de l’échantillon ont reçu un journal et, dans une certaine mesure, en raison des taux plus élevés </w:t>
      </w:r>
      <w:r w:rsidR="00AC035D">
        <w:rPr>
          <w:szCs w:val="22"/>
        </w:rPr>
        <w:t xml:space="preserve">des </w:t>
      </w:r>
      <w:r w:rsidR="00AC035D">
        <w:t>journaux complétés</w:t>
      </w:r>
    </w:p>
    <w:p w14:paraId="0353BE17" w14:textId="709B4098" w:rsidR="00A1649E" w:rsidRPr="00F344AE" w:rsidRDefault="00A1649E" w:rsidP="00E370BF">
      <w:pPr>
        <w:spacing w:line="250" w:lineRule="auto"/>
        <w:ind w:right="49"/>
        <w:rPr>
          <w:rFonts w:cs="Arial"/>
          <w:szCs w:val="22"/>
        </w:rPr>
      </w:pPr>
      <w:r w:rsidRPr="00F344AE">
        <w:rPr>
          <w:szCs w:val="22"/>
        </w:rPr>
        <w:t>chez les répondants qui ont participé à l’interview.</w:t>
      </w:r>
    </w:p>
    <w:p w14:paraId="02C4D8F2" w14:textId="77777777" w:rsidR="00DD1CB1" w:rsidRPr="00F344AE" w:rsidRDefault="00DD1CB1" w:rsidP="00F463EB">
      <w:pPr>
        <w:autoSpaceDE w:val="0"/>
        <w:autoSpaceDN w:val="0"/>
        <w:adjustRightInd w:val="0"/>
        <w:rPr>
          <w:rFonts w:cs="Arial"/>
          <w:szCs w:val="22"/>
        </w:rPr>
      </w:pPr>
    </w:p>
    <w:p w14:paraId="3C17101F" w14:textId="632E2F8C" w:rsidR="00527907" w:rsidRPr="00F344AE" w:rsidRDefault="00EC07C1" w:rsidP="00E370BF">
      <w:pPr>
        <w:pStyle w:val="Heading2"/>
      </w:pPr>
      <w:r w:rsidRPr="00F344AE">
        <w:t xml:space="preserve">1.1 </w:t>
      </w:r>
      <w:r w:rsidR="006C76E0">
        <w:t>L</w:t>
      </w:r>
      <w:r w:rsidR="006C76E0" w:rsidRPr="00043DBE">
        <w:rPr>
          <w:lang w:val="fr-FR"/>
        </w:rPr>
        <w:t>’</w:t>
      </w:r>
      <w:r w:rsidRPr="00F344AE">
        <w:t>Enquête sur les dépenses des ménages</w:t>
      </w:r>
    </w:p>
    <w:p w14:paraId="6872A28D" w14:textId="77777777" w:rsidR="00DD1CB1" w:rsidRPr="00F344AE" w:rsidRDefault="00DD1CB1" w:rsidP="005C44CE">
      <w:pPr>
        <w:keepNext/>
        <w:autoSpaceDE w:val="0"/>
        <w:autoSpaceDN w:val="0"/>
        <w:adjustRightInd w:val="0"/>
        <w:rPr>
          <w:rFonts w:cs="Arial"/>
          <w:szCs w:val="22"/>
        </w:rPr>
      </w:pPr>
    </w:p>
    <w:p w14:paraId="77F9F276" w14:textId="0ABDFAFF" w:rsidR="00D95BD1" w:rsidRPr="00F344AE" w:rsidRDefault="00D95BD1" w:rsidP="00D95BD1">
      <w:pPr>
        <w:rPr>
          <w:rFonts w:cs="Arial"/>
          <w:color w:val="333333"/>
        </w:rPr>
      </w:pPr>
      <w:r w:rsidRPr="00F344AE">
        <w:rPr>
          <w:color w:val="333333"/>
        </w:rPr>
        <w:t>L’</w:t>
      </w:r>
      <w:r w:rsidRPr="00C22966">
        <w:t>E</w:t>
      </w:r>
      <w:r w:rsidRPr="00F344AE">
        <w:t xml:space="preserve">nquête sur les dépenses des ménages </w:t>
      </w:r>
      <w:r w:rsidRPr="00F344AE">
        <w:rPr>
          <w:color w:val="333333"/>
        </w:rPr>
        <w:t>est menée dans les 10 provinces et les capitales des 3 territoires. Elle est menée tous les deux ans à compter de l’année de référence 2017. Jusqu’à 2017, elle était menée chaque année dans les provinces. Elle est menée dans les capitales des territoires tous les deux ans depuis 2015.</w:t>
      </w:r>
    </w:p>
    <w:p w14:paraId="4AD790E7" w14:textId="77777777" w:rsidR="00D95BD1" w:rsidRPr="00F344AE" w:rsidRDefault="00D95BD1" w:rsidP="00D95BD1">
      <w:pPr>
        <w:rPr>
          <w:rFonts w:cs="Arial"/>
        </w:rPr>
      </w:pPr>
    </w:p>
    <w:p w14:paraId="4ADEC775" w14:textId="58D0F0E1" w:rsidR="00D95BD1" w:rsidRPr="00F344AE" w:rsidRDefault="00D95BD1" w:rsidP="00D95BD1">
      <w:pPr>
        <w:autoSpaceDE w:val="0"/>
        <w:autoSpaceDN w:val="0"/>
        <w:adjustRightInd w:val="0"/>
        <w:rPr>
          <w:rFonts w:cs="Arial"/>
        </w:rPr>
      </w:pPr>
      <w:r w:rsidRPr="00F344AE">
        <w:t xml:space="preserve">L’EDM recueille des données détaillées sur les dépenses des ménages, ainsi que des renseignements sélectionnés sur les caractéristiques des logements et l’équipement ménager. Les données sont recueillies à l’aide d’un questionnaire avec des périodes de </w:t>
      </w:r>
      <w:r w:rsidR="004713F3">
        <w:t xml:space="preserve"> rappel</w:t>
      </w:r>
      <w:r w:rsidR="004713F3" w:rsidRPr="00F344AE">
        <w:t xml:space="preserve"> </w:t>
      </w:r>
      <w:r w:rsidRPr="00F344AE">
        <w:t xml:space="preserve">qui varient selon le type de dépenses (le mois dernier, les trois derniers mois, les 12 derniers mois, le dernier paiement ou les quatre dernières semaines) et un journal des dépenses quotidiennes que les ménages remplissent à la suite de l’interview. La collecte de données est effectuée sur une base mensuelle continue, de janvier à décembre, à partir d’un échantillon de ménages répartis sur 12 cycles de collecte mensuels. </w:t>
      </w:r>
    </w:p>
    <w:p w14:paraId="5F96AFAA" w14:textId="77777777" w:rsidR="00D95BD1" w:rsidRPr="00F344AE" w:rsidRDefault="00D95BD1" w:rsidP="00D95BD1">
      <w:pPr>
        <w:autoSpaceDE w:val="0"/>
        <w:autoSpaceDN w:val="0"/>
        <w:adjustRightInd w:val="0"/>
        <w:rPr>
          <w:rFonts w:cs="Arial"/>
        </w:rPr>
      </w:pPr>
    </w:p>
    <w:p w14:paraId="1F217AD3" w14:textId="5CD504D1" w:rsidR="00DD791F" w:rsidRPr="00F344AE" w:rsidRDefault="00D95BD1" w:rsidP="00EC2F15">
      <w:pPr>
        <w:autoSpaceDE w:val="0"/>
        <w:autoSpaceDN w:val="0"/>
        <w:adjustRightInd w:val="0"/>
        <w:rPr>
          <w:rFonts w:cs="Arial"/>
          <w:szCs w:val="22"/>
        </w:rPr>
      </w:pPr>
      <w:r w:rsidRPr="00F344AE">
        <w:t>Le questionnaire de l’EDM de 2019 a été allégé afin de réduire le fardeau de</w:t>
      </w:r>
      <w:r w:rsidR="00B237C8">
        <w:t>s</w:t>
      </w:r>
      <w:r w:rsidRPr="00F344AE">
        <w:t xml:space="preserve"> répondant</w:t>
      </w:r>
      <w:r w:rsidR="00B237C8">
        <w:t>s</w:t>
      </w:r>
      <w:r w:rsidRPr="00F344AE">
        <w:t xml:space="preserve">. Par conséquent, à partir de l’année de référence 2019, certaines séries de données ne sont plus disponibles ou encore elles ont été combinées créant ainsi de nouvelles séries. De plus, en 2019, les estimations pour certaines catégories de dépenses pourraient ne plus être directement comparables à celles des années précédentes en raison de changements apportés au questionnaire et/ou au mode de collecte utilisé pour certaines dépenses. Par exemple, certaines variables liées aux </w:t>
      </w:r>
      <w:r w:rsidR="00B237C8">
        <w:t>logements</w:t>
      </w:r>
      <w:r w:rsidR="00B237C8" w:rsidRPr="00F344AE">
        <w:t xml:space="preserve"> </w:t>
      </w:r>
      <w:r w:rsidRPr="00F344AE">
        <w:t xml:space="preserve">ont été regroupées, ce qui a donné lieu à l’introduction de nouveaux noms de variables, et certaines variables de 2017 ont été abandonnées. Les achats liés aux vêtements, qui </w:t>
      </w:r>
      <w:r w:rsidR="00043DBE">
        <w:t xml:space="preserve">auparavant </w:t>
      </w:r>
      <w:r w:rsidRPr="00F344AE">
        <w:t xml:space="preserve"> été recueillis à l’aide </w:t>
      </w:r>
      <w:r w:rsidR="00B237C8">
        <w:t>du</w:t>
      </w:r>
      <w:r w:rsidRPr="00F344AE">
        <w:t xml:space="preserve"> journal et d</w:t>
      </w:r>
      <w:r w:rsidR="00B237C8">
        <w:t>e l’</w:t>
      </w:r>
      <w:r w:rsidRPr="00F344AE">
        <w:t>interview, figurent exclusivement dans le questionnaire d’interview</w:t>
      </w:r>
      <w:r w:rsidR="00043DBE">
        <w:t xml:space="preserve"> en 2019</w:t>
      </w:r>
      <w:r w:rsidRPr="00F344AE">
        <w:t xml:space="preserve">. Pour la première fois, l’EDM a recueilli des renseignements sur les dépenses liées au cannabis en 2019. De l’information supplémentaire en ce qui concerne l’impact de ces changements est disponible sur demande. Aussi, à partir de 2019, la période de déclaration du journal a été réduite de deux semaines à une semaine dans les provinces. Pour compenser l’effet de cette période de déclaration plus courte sur la qualité </w:t>
      </w:r>
      <w:r w:rsidRPr="00F344AE">
        <w:lastRenderedPageBreak/>
        <w:t>des données, la taille de l’échantillon des ménages sélectionnés pour compléter le journal dans les provinces est passée de 50</w:t>
      </w:r>
      <w:r w:rsidR="00521277" w:rsidRPr="00F344AE">
        <w:t> </w:t>
      </w:r>
      <w:r w:rsidRPr="00F344AE">
        <w:t>% à 100</w:t>
      </w:r>
      <w:r w:rsidR="00521277" w:rsidRPr="00F344AE">
        <w:t> </w:t>
      </w:r>
      <w:r w:rsidRPr="00F344AE">
        <w:t xml:space="preserve">% de la taille de </w:t>
      </w:r>
      <w:r w:rsidRPr="009C278D">
        <w:t xml:space="preserve">l’échantillon de </w:t>
      </w:r>
      <w:r w:rsidR="00521277" w:rsidRPr="009C278D">
        <w:t>l’interview</w:t>
      </w:r>
      <w:r w:rsidRPr="00F344AE">
        <w:t>.</w:t>
      </w:r>
    </w:p>
    <w:p w14:paraId="74D56853" w14:textId="77777777" w:rsidR="009B636B" w:rsidRPr="00F344AE" w:rsidRDefault="009B636B" w:rsidP="00F463EB">
      <w:pPr>
        <w:autoSpaceDE w:val="0"/>
        <w:autoSpaceDN w:val="0"/>
        <w:adjustRightInd w:val="0"/>
      </w:pPr>
    </w:p>
    <w:p w14:paraId="75AE4E6F" w14:textId="59FDC09B" w:rsidR="003A64CF" w:rsidRPr="00F344AE" w:rsidRDefault="00527907" w:rsidP="00F463EB">
      <w:pPr>
        <w:autoSpaceDE w:val="0"/>
        <w:autoSpaceDN w:val="0"/>
        <w:adjustRightInd w:val="0"/>
        <w:rPr>
          <w:rFonts w:cs="Arial"/>
          <w:szCs w:val="22"/>
        </w:rPr>
      </w:pPr>
      <w:r w:rsidRPr="00F344AE">
        <w:t xml:space="preserve">L’EDM a subi un remaniement important en 2010. </w:t>
      </w:r>
      <w:r w:rsidRPr="00F344AE">
        <w:rPr>
          <w:szCs w:val="22"/>
        </w:rPr>
        <w:t xml:space="preserve">Avant 2010, toutes les données étaient recueillies au moyen d’un questionnaire et la période de référence pour toutes les données sur les dépenses était l’année civile de référence. </w:t>
      </w:r>
      <w:r w:rsidRPr="00F344AE">
        <w:t>Bien que les données sur les dépenses recueillies depuis l’EDM de 2010 soient semblables à celles des années antérieures, les changements apportés aux méthodes de collecte des données, de traitement et d’estimation ont causé une rupture dans les séries de données. Par conséquent, les utilisateurs sont priés de ne pas comparer les données de l’EDM depuis 2010 à celles d’années antérieures, à moins d’indication contraire.</w:t>
      </w:r>
    </w:p>
    <w:p w14:paraId="1F51AA62" w14:textId="77777777" w:rsidR="002721B1" w:rsidRPr="00F344AE" w:rsidRDefault="002721B1" w:rsidP="00F463EB">
      <w:pPr>
        <w:autoSpaceDE w:val="0"/>
        <w:autoSpaceDN w:val="0"/>
        <w:adjustRightInd w:val="0"/>
        <w:rPr>
          <w:rFonts w:cs="Arial"/>
          <w:szCs w:val="22"/>
        </w:rPr>
      </w:pPr>
    </w:p>
    <w:p w14:paraId="05CAC476" w14:textId="6703175A" w:rsidR="005C44CE" w:rsidRPr="00F344AE" w:rsidRDefault="002721B1" w:rsidP="00F463EB">
      <w:pPr>
        <w:autoSpaceDE w:val="0"/>
        <w:autoSpaceDN w:val="0"/>
        <w:adjustRightInd w:val="0"/>
      </w:pPr>
      <w:r w:rsidRPr="00F344AE">
        <w:t>La section 3 du « Guide de l’utilisateur, Enquête sur les dépenses des ménages, 2019 », diffusé le 22 janvier 2021, décrit la méthodologie utilisée dans le cadre de cette enquête, y compris une description du contenu de l’enquête, ainsi que d</w:t>
      </w:r>
      <w:r w:rsidR="005178BA">
        <w:t xml:space="preserve">es renseignements détaillés sur </w:t>
      </w:r>
      <w:r w:rsidR="00354670" w:rsidRPr="002F134E">
        <w:t>le plan</w:t>
      </w:r>
      <w:r w:rsidRPr="002F134E">
        <w:t xml:space="preserve"> </w:t>
      </w:r>
      <w:r w:rsidR="00D047AC">
        <w:t>d’échantillonnage</w:t>
      </w:r>
      <w:r w:rsidRPr="00F344AE">
        <w:t>, la collecte de données, le traitement et le contrôle de la qualité, et les méthodes de pondération et d’estimation et les révisions historiques</w:t>
      </w:r>
      <w:r w:rsidR="00750087">
        <w:t>.</w:t>
      </w:r>
      <w:r w:rsidR="00354670" w:rsidRPr="00750087">
        <w:rPr>
          <w:rStyle w:val="FootnoteReference"/>
          <w:vertAlign w:val="superscript"/>
        </w:rPr>
        <w:footnoteReference w:id="1"/>
      </w:r>
      <w:r w:rsidR="00354670" w:rsidRPr="00750087">
        <w:rPr>
          <w:rStyle w:val="FootnoteReference"/>
          <w:vertAlign w:val="superscript"/>
        </w:rPr>
        <w:t xml:space="preserve"> </w:t>
      </w:r>
    </w:p>
    <w:p w14:paraId="665ECFE6" w14:textId="41200E20" w:rsidR="006E7158" w:rsidRPr="00F344AE" w:rsidRDefault="006E7158" w:rsidP="00F463EB">
      <w:pPr>
        <w:autoSpaceDE w:val="0"/>
        <w:autoSpaceDN w:val="0"/>
        <w:adjustRightInd w:val="0"/>
        <w:rPr>
          <w:rFonts w:cs="Arial"/>
          <w:szCs w:val="22"/>
        </w:rPr>
      </w:pPr>
    </w:p>
    <w:p w14:paraId="61F791B3" w14:textId="799877A8" w:rsidR="00452B0E" w:rsidRPr="00F344AE" w:rsidRDefault="00452B0E" w:rsidP="00452B0E">
      <w:pPr>
        <w:pStyle w:val="Heading1"/>
      </w:pPr>
      <w:r w:rsidRPr="00F344AE">
        <w:t>2. Fichier de microdonnées à grande diffusion</w:t>
      </w:r>
    </w:p>
    <w:p w14:paraId="620EEC56" w14:textId="77777777" w:rsidR="00452B0E" w:rsidRPr="00F344AE" w:rsidRDefault="00452B0E" w:rsidP="00452B0E">
      <w:pPr>
        <w:pStyle w:val="CommentText"/>
        <w:rPr>
          <w:sz w:val="22"/>
          <w:szCs w:val="22"/>
        </w:rPr>
      </w:pPr>
    </w:p>
    <w:p w14:paraId="3D48B6E6" w14:textId="675C0ECF" w:rsidR="00C24BD4" w:rsidRPr="00F344AE" w:rsidRDefault="00C24BD4" w:rsidP="0028528D">
      <w:pPr>
        <w:pStyle w:val="Heading2"/>
      </w:pPr>
      <w:r w:rsidRPr="00F344AE">
        <w:t>2.1 Description du fichier de microdonnées</w:t>
      </w:r>
    </w:p>
    <w:p w14:paraId="4E69B1D3" w14:textId="77777777" w:rsidR="00C24BD4" w:rsidRPr="00F344AE" w:rsidRDefault="00C24BD4" w:rsidP="005C44CE">
      <w:pPr>
        <w:pStyle w:val="CommentText"/>
        <w:keepNext/>
        <w:rPr>
          <w:sz w:val="22"/>
          <w:szCs w:val="22"/>
        </w:rPr>
      </w:pPr>
    </w:p>
    <w:p w14:paraId="34DC1F4A" w14:textId="19FEC68A" w:rsidR="005C44CE" w:rsidRPr="00F344AE" w:rsidRDefault="00B06716" w:rsidP="00452B0E">
      <w:pPr>
        <w:autoSpaceDE w:val="0"/>
        <w:autoSpaceDN w:val="0"/>
        <w:adjustRightInd w:val="0"/>
      </w:pPr>
      <w:r>
        <w:t>Pour le</w:t>
      </w:r>
      <w:r w:rsidR="009B636B" w:rsidRPr="00F344AE">
        <w:t xml:space="preserve"> FMGD de 2019, un seul</w:t>
      </w:r>
      <w:r w:rsidR="004E34A2" w:rsidRPr="00F344AE">
        <w:t xml:space="preserve"> </w:t>
      </w:r>
      <w:r w:rsidR="009B636B" w:rsidRPr="00F344AE">
        <w:t xml:space="preserve">fichier de microdonnées </w:t>
      </w:r>
      <w:r w:rsidR="00D520FE">
        <w:t>est</w:t>
      </w:r>
      <w:r w:rsidR="009B636B" w:rsidRPr="00F344AE">
        <w:t xml:space="preserve"> publié qui renferme des renseignements tirés du sous-ensemble de ménages qui ont participé à </w:t>
      </w:r>
      <w:r w:rsidR="00521277" w:rsidRPr="00F344AE">
        <w:t xml:space="preserve">l’interview </w:t>
      </w:r>
      <w:r w:rsidR="009B636B" w:rsidRPr="00F344AE">
        <w:t xml:space="preserve">et rempli le journal. Les ménages qui ont </w:t>
      </w:r>
      <w:r w:rsidR="00521277" w:rsidRPr="00F344AE">
        <w:t>participé à l’interview</w:t>
      </w:r>
      <w:r w:rsidR="009B636B" w:rsidRPr="00F344AE">
        <w:t xml:space="preserve"> mais qui n’ont pas rempli le journal sont exclus. Ce fichier se fonde sur les renseignements recueillis auprès de 7</w:t>
      </w:r>
      <w:r w:rsidR="00666E46" w:rsidRPr="00F344AE">
        <w:t> </w:t>
      </w:r>
      <w:r w:rsidR="009B636B" w:rsidRPr="00F344AE">
        <w:t>566 ménages (sur les 10</w:t>
      </w:r>
      <w:r w:rsidR="00666E46" w:rsidRPr="00F344AE">
        <w:t> </w:t>
      </w:r>
      <w:r w:rsidR="009B636B" w:rsidRPr="00F344AE">
        <w:t xml:space="preserve">890 ménages qui ont participé à </w:t>
      </w:r>
      <w:r w:rsidR="00521277" w:rsidRPr="00F344AE">
        <w:t>l’interview</w:t>
      </w:r>
      <w:r w:rsidR="009B636B" w:rsidRPr="00F344AE">
        <w:t xml:space="preserve">) dans toutes les provinces et de 364 ménages (sur les 590 ménages qui ont participé à </w:t>
      </w:r>
      <w:r w:rsidR="00521277" w:rsidRPr="00F344AE">
        <w:t>l’interview</w:t>
      </w:r>
      <w:r w:rsidR="009B636B" w:rsidRPr="00F344AE">
        <w:t>) dans les capitales des territoires. Les poids ont été produits afin que les 7</w:t>
      </w:r>
      <w:r w:rsidR="00666E46" w:rsidRPr="00F344AE">
        <w:t> </w:t>
      </w:r>
      <w:r w:rsidR="009B636B" w:rsidRPr="00F344AE">
        <w:t xml:space="preserve">930 ménages ayant pris part à </w:t>
      </w:r>
      <w:r w:rsidR="00521277" w:rsidRPr="00F344AE">
        <w:t xml:space="preserve">l’interview </w:t>
      </w:r>
      <w:r w:rsidR="009B636B" w:rsidRPr="00F344AE">
        <w:t>et rempli le journal représentent tout de même tous les ménages de la population cible dans les provinces et les capitales des territoires.</w:t>
      </w:r>
    </w:p>
    <w:p w14:paraId="3246A6AD" w14:textId="77777777" w:rsidR="009E0CD2" w:rsidRPr="00F344AE" w:rsidRDefault="009E0CD2" w:rsidP="00492BDC">
      <w:pPr>
        <w:jc w:val="left"/>
      </w:pPr>
    </w:p>
    <w:p w14:paraId="57EE5749" w14:textId="6524865B" w:rsidR="00712E0E" w:rsidRPr="00F344AE" w:rsidRDefault="00EC07C1" w:rsidP="00FF1B98">
      <w:pPr>
        <w:jc w:val="left"/>
      </w:pPr>
      <w:r w:rsidRPr="00F344AE">
        <w:t xml:space="preserve">Le FMGD de l’EDM est un fichier de microdonnées anonymisé contenant seulement un sous-ensemble des variables comprises dans le fichier principal confidentiel de l’EDM. </w:t>
      </w:r>
      <w:r w:rsidRPr="00F344AE">
        <w:rPr>
          <w:szCs w:val="22"/>
        </w:rPr>
        <w:t xml:space="preserve">Le nombre de variables et le niveau de détail publiés dans le FMGD de 2019 sont semblables à ceux publiés dans le FMGD de 2017. Une amélioration majeure est la désagrégation des provinces du Canada atlantique. Des changements ont également été apportés aux variables liées aux dépenses, qui tiennent compte de la rationalisation du questionnaire effectuée pour l’année de référence de l’EDM de 2019. </w:t>
      </w:r>
      <w:r w:rsidR="00081C79">
        <w:rPr>
          <w:szCs w:val="22"/>
        </w:rPr>
        <w:t xml:space="preserve"> </w:t>
      </w:r>
    </w:p>
    <w:p w14:paraId="661AD4F1" w14:textId="77777777" w:rsidR="00712E0E" w:rsidRPr="00F344AE" w:rsidRDefault="00712E0E" w:rsidP="00492BDC">
      <w:pPr>
        <w:jc w:val="left"/>
      </w:pPr>
    </w:p>
    <w:p w14:paraId="0EB05315" w14:textId="77777777" w:rsidR="00B84FB0" w:rsidRDefault="00B84FB0">
      <w:pPr>
        <w:jc w:val="left"/>
      </w:pPr>
      <w:r>
        <w:br w:type="page"/>
      </w:r>
    </w:p>
    <w:p w14:paraId="1176251E" w14:textId="16D17987" w:rsidR="005C44CE" w:rsidRPr="00F344AE" w:rsidRDefault="00EC07C1" w:rsidP="00492BDC">
      <w:pPr>
        <w:jc w:val="left"/>
      </w:pPr>
      <w:r w:rsidRPr="00F344AE">
        <w:lastRenderedPageBreak/>
        <w:t xml:space="preserve">Le tableau 1 </w:t>
      </w:r>
      <w:r w:rsidR="001326AE">
        <w:t xml:space="preserve">illustre </w:t>
      </w:r>
      <w:r w:rsidRPr="00F344AE">
        <w:t>le nombre d’enregistrements et le nombre de variables</w:t>
      </w:r>
      <w:r w:rsidR="001326AE">
        <w:t xml:space="preserve"> dans le FMGD de l’EDM de 2019 ainsi que le nom du fichier</w:t>
      </w:r>
      <w:r w:rsidRPr="00F344AE">
        <w:t>.</w:t>
      </w:r>
    </w:p>
    <w:p w14:paraId="5B7510B7" w14:textId="77777777" w:rsidR="009E0CD2" w:rsidRPr="00F344AE" w:rsidRDefault="009E0CD2" w:rsidP="00492BDC">
      <w:pPr>
        <w:jc w:val="left"/>
      </w:pPr>
    </w:p>
    <w:p w14:paraId="0A645198" w14:textId="77777777" w:rsidR="00364386" w:rsidRPr="00F344AE" w:rsidRDefault="00364386" w:rsidP="00492BDC">
      <w:pPr>
        <w:jc w:val="left"/>
        <w:rPr>
          <w:b/>
        </w:rPr>
      </w:pPr>
    </w:p>
    <w:p w14:paraId="4A99D3EF" w14:textId="01008A59" w:rsidR="00364386" w:rsidRPr="00F344AE" w:rsidRDefault="00364386" w:rsidP="00666E46">
      <w:pPr>
        <w:keepNext/>
        <w:keepLines/>
        <w:rPr>
          <w:rFonts w:eastAsia="Arial" w:cs="Arial"/>
          <w:b/>
          <w:color w:val="231F20"/>
          <w:sz w:val="20"/>
          <w:szCs w:val="20"/>
        </w:rPr>
      </w:pPr>
      <w:r w:rsidRPr="00F344AE">
        <w:rPr>
          <w:b/>
          <w:bCs/>
          <w:szCs w:val="22"/>
        </w:rPr>
        <w:t xml:space="preserve">Tableau 1 : Caractéristiques techniques du fichier </w:t>
      </w:r>
      <w:r w:rsidRPr="00F344AE">
        <w:rPr>
          <w:b/>
          <w:bCs/>
        </w:rPr>
        <w:t>du FMGD de l’EDM de 2019</w:t>
      </w:r>
    </w:p>
    <w:tbl>
      <w:tblPr>
        <w:tblW w:w="5000" w:type="pct"/>
        <w:tblInd w:w="-5" w:type="dxa"/>
        <w:tblLayout w:type="fixed"/>
        <w:tblLook w:val="04A0" w:firstRow="1" w:lastRow="0" w:firstColumn="1" w:lastColumn="0" w:noHBand="0" w:noVBand="1"/>
      </w:tblPr>
      <w:tblGrid>
        <w:gridCol w:w="3682"/>
        <w:gridCol w:w="3263"/>
        <w:gridCol w:w="2405"/>
      </w:tblGrid>
      <w:tr w:rsidR="00712E0E" w:rsidRPr="00F344AE" w14:paraId="08505DE5" w14:textId="77777777" w:rsidTr="00D571B1">
        <w:trPr>
          <w:trHeight w:val="854"/>
        </w:trPr>
        <w:tc>
          <w:tcPr>
            <w:tcW w:w="1969"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4EC85C9" w14:textId="78D939DA" w:rsidR="00712E0E" w:rsidRPr="00F344AE" w:rsidRDefault="00712E0E" w:rsidP="00666E46">
            <w:pPr>
              <w:keepNext/>
              <w:keepLines/>
              <w:jc w:val="center"/>
              <w:rPr>
                <w:rFonts w:cs="Arial"/>
                <w:b/>
                <w:bCs/>
                <w:color w:val="000000"/>
                <w:szCs w:val="22"/>
              </w:rPr>
            </w:pPr>
            <w:r w:rsidRPr="00F344AE">
              <w:rPr>
                <w:b/>
                <w:bCs/>
                <w:color w:val="000000"/>
                <w:szCs w:val="22"/>
              </w:rPr>
              <w:t>Nom du fichier</w:t>
            </w:r>
          </w:p>
        </w:tc>
        <w:tc>
          <w:tcPr>
            <w:tcW w:w="1745"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0D54451" w14:textId="2C99673A" w:rsidR="00712E0E" w:rsidRPr="00F344AE" w:rsidRDefault="00712E0E" w:rsidP="00666E46">
            <w:pPr>
              <w:keepNext/>
              <w:keepLines/>
              <w:jc w:val="center"/>
              <w:rPr>
                <w:rFonts w:cs="Arial"/>
                <w:b/>
                <w:bCs/>
                <w:color w:val="000000"/>
                <w:szCs w:val="22"/>
              </w:rPr>
            </w:pPr>
            <w:r w:rsidRPr="00F344AE">
              <w:rPr>
                <w:b/>
                <w:bCs/>
                <w:szCs w:val="22"/>
              </w:rPr>
              <w:t>Nombre d’enregistrements</w:t>
            </w:r>
          </w:p>
        </w:tc>
        <w:tc>
          <w:tcPr>
            <w:tcW w:w="1286"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0AA982A" w14:textId="0824BBC5" w:rsidR="00712E0E" w:rsidRPr="006D78E3" w:rsidRDefault="00712E0E" w:rsidP="00666E46">
            <w:pPr>
              <w:keepNext/>
              <w:keepLines/>
              <w:jc w:val="center"/>
              <w:rPr>
                <w:rFonts w:cs="Arial"/>
                <w:b/>
                <w:bCs/>
                <w:color w:val="000000"/>
                <w:szCs w:val="22"/>
              </w:rPr>
            </w:pPr>
            <w:r w:rsidRPr="006D78E3">
              <w:rPr>
                <w:b/>
                <w:bCs/>
                <w:szCs w:val="22"/>
              </w:rPr>
              <w:t>Nombre de variables</w:t>
            </w:r>
          </w:p>
        </w:tc>
      </w:tr>
      <w:tr w:rsidR="00712E0E" w:rsidRPr="00F344AE" w14:paraId="035D8823" w14:textId="77777777" w:rsidTr="00D571B1">
        <w:trPr>
          <w:trHeight w:val="284"/>
        </w:trPr>
        <w:tc>
          <w:tcPr>
            <w:tcW w:w="19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2D42E" w14:textId="0CC81E19" w:rsidR="00712E0E" w:rsidRPr="00F344AE" w:rsidRDefault="00712E0E" w:rsidP="00666E46">
            <w:pPr>
              <w:keepNext/>
              <w:keepLines/>
              <w:jc w:val="left"/>
              <w:rPr>
                <w:rFonts w:cs="Arial"/>
                <w:color w:val="000000"/>
                <w:szCs w:val="22"/>
              </w:rPr>
            </w:pPr>
            <w:r w:rsidRPr="00F344AE">
              <w:rPr>
                <w:color w:val="000000"/>
                <w:szCs w:val="22"/>
              </w:rPr>
              <w:t>pumf_shs2019_flatfile.txt</w:t>
            </w:r>
          </w:p>
        </w:tc>
        <w:tc>
          <w:tcPr>
            <w:tcW w:w="174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E29EE2" w14:textId="6E18B5B8" w:rsidR="00712E0E" w:rsidRPr="00F344AE" w:rsidRDefault="00712E0E" w:rsidP="00666E46">
            <w:pPr>
              <w:keepNext/>
              <w:keepLines/>
              <w:jc w:val="right"/>
              <w:rPr>
                <w:rFonts w:cs="Arial"/>
                <w:color w:val="000000"/>
                <w:szCs w:val="22"/>
              </w:rPr>
            </w:pPr>
            <w:r w:rsidRPr="00F344AE">
              <w:rPr>
                <w:szCs w:val="22"/>
              </w:rPr>
              <w:t>7 930</w:t>
            </w:r>
          </w:p>
        </w:tc>
        <w:tc>
          <w:tcPr>
            <w:tcW w:w="128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F62A74" w14:textId="45005552" w:rsidR="00712E0E" w:rsidRPr="006D78E3" w:rsidRDefault="00712E0E" w:rsidP="00666E46">
            <w:pPr>
              <w:keepNext/>
              <w:keepLines/>
              <w:jc w:val="right"/>
              <w:rPr>
                <w:rFonts w:cs="Arial"/>
                <w:color w:val="000000"/>
                <w:szCs w:val="22"/>
              </w:rPr>
            </w:pPr>
            <w:r w:rsidRPr="006D78E3">
              <w:rPr>
                <w:szCs w:val="22"/>
              </w:rPr>
              <w:t>400</w:t>
            </w:r>
          </w:p>
        </w:tc>
      </w:tr>
    </w:tbl>
    <w:p w14:paraId="0F14FAF0" w14:textId="77777777" w:rsidR="007E1FC7" w:rsidRPr="00F344AE" w:rsidRDefault="007E1FC7" w:rsidP="00891BD1">
      <w:pPr>
        <w:spacing w:before="3"/>
        <w:ind w:right="510"/>
        <w:rPr>
          <w:rFonts w:eastAsia="Arial" w:cs="Arial"/>
          <w:color w:val="231F20"/>
          <w:sz w:val="20"/>
          <w:szCs w:val="20"/>
        </w:rPr>
      </w:pPr>
    </w:p>
    <w:p w14:paraId="35B5D92D" w14:textId="77777777" w:rsidR="00EC07C1" w:rsidRPr="00F344AE" w:rsidRDefault="00EC07C1" w:rsidP="00EC07C1">
      <w:pPr>
        <w:pStyle w:val="Heading2"/>
      </w:pPr>
      <w:r w:rsidRPr="00F344AE">
        <w:t>2.2 Confidentialité</w:t>
      </w:r>
    </w:p>
    <w:p w14:paraId="1C59653F" w14:textId="77777777" w:rsidR="00EC07C1" w:rsidRPr="00F344AE" w:rsidRDefault="00EC07C1" w:rsidP="005C44CE">
      <w:pPr>
        <w:keepNext/>
        <w:rPr>
          <w:rFonts w:cs="Arial"/>
          <w:sz w:val="16"/>
          <w:szCs w:val="16"/>
        </w:rPr>
      </w:pPr>
    </w:p>
    <w:p w14:paraId="2C8DE9D2" w14:textId="7D3000E3" w:rsidR="00EC07C1" w:rsidRPr="00F344AE" w:rsidRDefault="00EC07C1" w:rsidP="005C44CE">
      <w:pPr>
        <w:keepNext/>
        <w:spacing w:line="250" w:lineRule="auto"/>
        <w:ind w:left="136" w:right="49"/>
        <w:rPr>
          <w:rFonts w:cs="Arial"/>
          <w:szCs w:val="22"/>
        </w:rPr>
      </w:pPr>
      <w:r w:rsidRPr="00F344AE">
        <w:t xml:space="preserve">Lors de la production d’un fichier de microdonnées à grande diffusion, de nombreuses mesures de protection servent à empêcher l’identification des ménages. Un certain nombre de techniques </w:t>
      </w:r>
      <w:r w:rsidR="001326AE">
        <w:t>ont été</w:t>
      </w:r>
      <w:r w:rsidRPr="00F344AE">
        <w:t xml:space="preserve"> utilisées pour assurer la confidentialité des répondants à l’EDM (prendre note qu’il ne s’agit pas d’une liste exhaustive des méthodes utilisées) :</w:t>
      </w:r>
    </w:p>
    <w:p w14:paraId="5B4FDF26" w14:textId="77777777" w:rsidR="00EC07C1" w:rsidRPr="00F344AE" w:rsidRDefault="00EC07C1" w:rsidP="003D5B44">
      <w:pPr>
        <w:spacing w:line="250" w:lineRule="auto"/>
        <w:ind w:left="136" w:right="49"/>
        <w:rPr>
          <w:rFonts w:cs="Arial"/>
          <w:szCs w:val="22"/>
        </w:rPr>
      </w:pPr>
    </w:p>
    <w:p w14:paraId="2230A80C" w14:textId="359F044B" w:rsidR="00EC07C1" w:rsidRPr="00F344AE" w:rsidRDefault="00EC07C1" w:rsidP="003D5B44">
      <w:pPr>
        <w:pStyle w:val="ListParagraph"/>
        <w:numPr>
          <w:ilvl w:val="0"/>
          <w:numId w:val="30"/>
        </w:numPr>
        <w:spacing w:line="250" w:lineRule="auto"/>
        <w:ind w:right="49"/>
        <w:rPr>
          <w:rFonts w:cs="Arial"/>
          <w:szCs w:val="22"/>
        </w:rPr>
      </w:pPr>
      <w:r w:rsidRPr="00F344AE">
        <w:t xml:space="preserve">La réduction des données </w:t>
      </w:r>
      <w:r w:rsidR="001326AE">
        <w:t>pour</w:t>
      </w:r>
      <w:r w:rsidRPr="00F344AE">
        <w:t xml:space="preserve"> limiter la quantité d’information pouvant permettre d’identifier quelqu’un dans le FMGD. Les techniques comprennent la suppression des variables permettant l’identification directe des personnes, la réduction du niveau de détail, le regroupement des catégories et la suppression de certaines valeurs pour des enregistrements particuliers.</w:t>
      </w:r>
    </w:p>
    <w:p w14:paraId="3FAB95C6" w14:textId="33B15395" w:rsidR="00EC07C1" w:rsidRPr="00F344AE" w:rsidRDefault="00EC07C1" w:rsidP="003D5B44">
      <w:pPr>
        <w:pStyle w:val="ListParagraph"/>
        <w:numPr>
          <w:ilvl w:val="0"/>
          <w:numId w:val="30"/>
        </w:numPr>
        <w:spacing w:line="250" w:lineRule="auto"/>
        <w:ind w:right="49"/>
        <w:rPr>
          <w:rFonts w:cs="Arial"/>
          <w:szCs w:val="22"/>
        </w:rPr>
      </w:pPr>
      <w:r w:rsidRPr="00F344AE">
        <w:t>La perturbation des données consiste à appliquer des mesures protectrices afin d’empêcher les tentatives d’identification. Parmi les exemples courants de techniques de perturbation, il y a l’ajout de bruit, l’arrondissement aléatoire et la permutation des données.</w:t>
      </w:r>
    </w:p>
    <w:p w14:paraId="349D965C" w14:textId="19A1E860" w:rsidR="00EC07C1" w:rsidRPr="00F344AE" w:rsidRDefault="00EC07C1" w:rsidP="003D5B44">
      <w:pPr>
        <w:pStyle w:val="ListParagraph"/>
        <w:numPr>
          <w:ilvl w:val="0"/>
          <w:numId w:val="30"/>
        </w:numPr>
        <w:spacing w:line="250" w:lineRule="auto"/>
        <w:ind w:right="49"/>
        <w:rPr>
          <w:rFonts w:cs="Arial"/>
          <w:szCs w:val="22"/>
        </w:rPr>
      </w:pPr>
      <w:r w:rsidRPr="00F344AE">
        <w:t>Les variables quantitatives ayant des valeurs positives ou négatives très élevées sont généralement rares ou uniques au sein de la population. Ces valeurs extrêmes sont habituellement plafonnées. Des mesures additionnelles sont prises pour préserver l’intégrité du fichier afin de produire des statistiques précises et exactes.</w:t>
      </w:r>
    </w:p>
    <w:p w14:paraId="1C9E2190" w14:textId="77777777" w:rsidR="00EC07C1" w:rsidRPr="00F344AE" w:rsidRDefault="00EC07C1" w:rsidP="005279FB">
      <w:pPr>
        <w:spacing w:line="250" w:lineRule="auto"/>
        <w:ind w:right="49"/>
        <w:rPr>
          <w:rFonts w:cs="Arial"/>
          <w:szCs w:val="22"/>
        </w:rPr>
      </w:pPr>
    </w:p>
    <w:p w14:paraId="797A587E" w14:textId="77777777" w:rsidR="00EC07C1" w:rsidRPr="00F344AE" w:rsidRDefault="00EC07C1" w:rsidP="00EC07C1">
      <w:pPr>
        <w:pStyle w:val="Heading2"/>
      </w:pPr>
      <w:r w:rsidRPr="00F344AE">
        <w:t>2.3 Codes réservés</w:t>
      </w:r>
    </w:p>
    <w:p w14:paraId="65A1C90A" w14:textId="77777777" w:rsidR="00EC07C1" w:rsidRPr="00F344AE" w:rsidRDefault="00EC07C1" w:rsidP="005C44CE">
      <w:pPr>
        <w:keepNext/>
        <w:rPr>
          <w:rFonts w:cs="Arial"/>
          <w:sz w:val="16"/>
          <w:szCs w:val="16"/>
        </w:rPr>
      </w:pPr>
    </w:p>
    <w:p w14:paraId="0AAA7ACC" w14:textId="04C46E71" w:rsidR="00EC07C1" w:rsidRPr="00F344AE" w:rsidRDefault="00EC07C1" w:rsidP="003A1FC1">
      <w:pPr>
        <w:rPr>
          <w:rFonts w:cs="Arial"/>
          <w:szCs w:val="22"/>
        </w:rPr>
      </w:pPr>
      <w:r w:rsidRPr="00F344AE">
        <w:t>Si la couverture d’une variable ne touche pas un certain sous-groupe de la population, il n’existe pas de valeur valide pour ce sous-groupe. Lorsque cela se produit, les valeurs (codes réservés) prennent la forme de 6 et 96. Cela indique que la variable ne s’applique pas aux ménages en question.</w:t>
      </w:r>
    </w:p>
    <w:p w14:paraId="4935A8BE" w14:textId="77777777" w:rsidR="00EC07C1" w:rsidRPr="00F344AE" w:rsidRDefault="00EC07C1" w:rsidP="003A1FC1">
      <w:pPr>
        <w:rPr>
          <w:rFonts w:cs="Arial"/>
          <w:szCs w:val="22"/>
        </w:rPr>
      </w:pPr>
    </w:p>
    <w:p w14:paraId="2A97698D" w14:textId="7B299172" w:rsidR="00EC07C1" w:rsidRPr="00F344AE" w:rsidRDefault="00D50789" w:rsidP="003A1FC1">
      <w:pPr>
        <w:rPr>
          <w:rFonts w:cs="Arial"/>
          <w:szCs w:val="22"/>
        </w:rPr>
      </w:pPr>
      <w:r>
        <w:t>Pour</w:t>
      </w:r>
      <w:r w:rsidR="00EC07C1" w:rsidRPr="00F344AE">
        <w:t xml:space="preserve"> certaines variables dans des régions géographiques plus petites telles que</w:t>
      </w:r>
      <w:r w:rsidR="004E34A2" w:rsidRPr="00F344AE">
        <w:t xml:space="preserve"> </w:t>
      </w:r>
      <w:r w:rsidR="00EC07C1" w:rsidRPr="00F344AE">
        <w:t>l’</w:t>
      </w:r>
      <w:r w:rsidR="00C53C6A" w:rsidRPr="00F344AE">
        <w:t>Île-du-Prince-Édouard</w:t>
      </w:r>
      <w:r w:rsidR="00EC07C1" w:rsidRPr="00F344AE">
        <w:t xml:space="preserve"> et les capitales des territoires, les données ont été réduites pour assurer la confidentialité. Ces valeurs manquantes apparaissent sous la forme du code réservé</w:t>
      </w:r>
      <w:r w:rsidR="00666E46" w:rsidRPr="00F344AE">
        <w:t> </w:t>
      </w:r>
      <w:r w:rsidR="00EC07C1" w:rsidRPr="00F344AE">
        <w:t>9.</w:t>
      </w:r>
    </w:p>
    <w:p w14:paraId="0DB9089D" w14:textId="77777777" w:rsidR="00EC07C1" w:rsidRPr="00F344AE" w:rsidRDefault="00EC07C1" w:rsidP="003A1FC1">
      <w:pPr>
        <w:rPr>
          <w:rFonts w:cs="Arial"/>
          <w:szCs w:val="22"/>
        </w:rPr>
      </w:pPr>
    </w:p>
    <w:p w14:paraId="61486871" w14:textId="04BDBF40" w:rsidR="003D5B44" w:rsidRPr="00F344AE" w:rsidRDefault="00EC07C1" w:rsidP="003A1FC1">
      <w:pPr>
        <w:rPr>
          <w:rFonts w:cs="Arial"/>
          <w:szCs w:val="22"/>
        </w:rPr>
      </w:pPr>
      <w:r w:rsidRPr="00F344AE">
        <w:t xml:space="preserve">Aucun code réservé n’est utilisé </w:t>
      </w:r>
      <w:r w:rsidR="004A3BE8">
        <w:t>pour</w:t>
      </w:r>
      <w:r w:rsidRPr="00F344AE">
        <w:t xml:space="preserve"> les variables quantitatives continues, y compris toutes les dépenses du ménage.</w:t>
      </w:r>
    </w:p>
    <w:p w14:paraId="2DEA30B4" w14:textId="6036D2A1" w:rsidR="00A33E31" w:rsidRPr="00F344AE" w:rsidRDefault="00A33E31">
      <w:pPr>
        <w:jc w:val="left"/>
        <w:rPr>
          <w:rFonts w:cs="Arial"/>
          <w:b/>
          <w:bCs/>
          <w:kern w:val="32"/>
          <w:sz w:val="28"/>
        </w:rPr>
      </w:pPr>
    </w:p>
    <w:p w14:paraId="15BBEB58" w14:textId="5E51F6C9" w:rsidR="00C31CD1" w:rsidRPr="00F344AE" w:rsidRDefault="00452B0E" w:rsidP="000F6EA5">
      <w:pPr>
        <w:pStyle w:val="Heading1"/>
      </w:pPr>
      <w:r w:rsidRPr="00F344AE">
        <w:lastRenderedPageBreak/>
        <w:t>3. Lignes directrices concernant l’analyse</w:t>
      </w:r>
    </w:p>
    <w:p w14:paraId="66DAA9BE" w14:textId="77777777" w:rsidR="001C268A" w:rsidRPr="00F344AE" w:rsidRDefault="001C268A" w:rsidP="005C44CE">
      <w:pPr>
        <w:keepNext/>
      </w:pPr>
    </w:p>
    <w:p w14:paraId="350F1C77" w14:textId="0A92B2B6" w:rsidR="009E0CD2" w:rsidRPr="00F344AE" w:rsidRDefault="00A33E31" w:rsidP="00053812">
      <w:r w:rsidRPr="00F344AE">
        <w:t xml:space="preserve">De légères différences seront observées entre les estimations produites au moyen du FMGD et celles se trouvant dans les tableaux de données publiées sur le site Web de Statistique Canada. Cette situation prévaut même si les lignes directrices recommandées dans cette section sont appliquées. Les fichiers de microdonnées à grande diffusion diffèrent de nombreuses façons par rapport aux fichiers de microdonnées confidentielles de l’enquête détenus par Statistique Canada, en raison des mesures prises pour préserver l’anonymat des répondants. De plus, les statistiques officielles sur les catégories de dépenses qui sont publiées dans les tableaux de données en ligne sont calculées à partir des données de tous les répondants à l’enquête, tandis que le FMGD de 2019 contient uniquement les données sur les ménages qui ont participé à l’interview et </w:t>
      </w:r>
      <w:r w:rsidR="004A3BE8">
        <w:t xml:space="preserve">ont </w:t>
      </w:r>
      <w:r w:rsidRPr="00F344AE">
        <w:t>rempli le journal.</w:t>
      </w:r>
    </w:p>
    <w:p w14:paraId="205C1DB8" w14:textId="77777777" w:rsidR="009E0CD2" w:rsidRPr="00F344AE" w:rsidRDefault="009E0CD2" w:rsidP="00053812"/>
    <w:p w14:paraId="0BEC9E46" w14:textId="2D6E4961" w:rsidR="00C31CD1" w:rsidRPr="00F344AE" w:rsidRDefault="00C31CD1" w:rsidP="005C44CE">
      <w:pPr>
        <w:pStyle w:val="Heading2"/>
        <w:keepNext w:val="0"/>
      </w:pPr>
      <w:r w:rsidRPr="00F344AE">
        <w:t>3.1 Produire des estimations pour le Canada</w:t>
      </w:r>
    </w:p>
    <w:p w14:paraId="12C868EF" w14:textId="77777777" w:rsidR="00C31CD1" w:rsidRPr="00F344AE" w:rsidRDefault="00C31CD1" w:rsidP="00836F38"/>
    <w:p w14:paraId="061142CA" w14:textId="312DE902" w:rsidR="00EF4D07" w:rsidRPr="00F344AE" w:rsidRDefault="00C31CD1">
      <w:r w:rsidRPr="00F344AE">
        <w:t xml:space="preserve">Les estimations de l’EDM de 2019 pour le Canada qui se trouvent dans les tableaux de données publiés sur le site Web de Statistique Canada se fondent sur les renseignements recueillis auprès des ménages des 10 provinces seulement. Les estimations sont publiées pour chaque capitale de territoire séparément. Pour produire des estimations semblables pour le Canada au moyen du FMGD, les utilisateurs devraient exclure les données recueillies auprès des ménages des capitales des territoires. Ces enregistrements sont déterminés avec la variable </w:t>
      </w:r>
      <w:r w:rsidR="00344D86">
        <w:t>géographique</w:t>
      </w:r>
      <w:r w:rsidR="00344D86" w:rsidRPr="00F344AE">
        <w:t xml:space="preserve"> </w:t>
      </w:r>
      <w:r w:rsidRPr="00F344AE">
        <w:t>(Prov).</w:t>
      </w:r>
    </w:p>
    <w:p w14:paraId="4723E1C5" w14:textId="6CC0EF22" w:rsidR="009F704E" w:rsidRPr="00F344AE" w:rsidRDefault="0069183E" w:rsidP="00D571B1">
      <w:pPr>
        <w:pStyle w:val="Heading2"/>
        <w:keepNext w:val="0"/>
        <w:rPr>
          <w:b w:val="0"/>
        </w:rPr>
      </w:pPr>
      <w:r w:rsidRPr="00F344AE">
        <w:t>3.2 Estimation de la variance</w:t>
      </w:r>
    </w:p>
    <w:p w14:paraId="69957F69" w14:textId="7698FD30" w:rsidR="009F704E" w:rsidRPr="00F344AE" w:rsidRDefault="009F704E" w:rsidP="005C44CE">
      <w:pPr>
        <w:keepNext/>
        <w:rPr>
          <w:b/>
        </w:rPr>
      </w:pPr>
    </w:p>
    <w:p w14:paraId="7100183B" w14:textId="4922A077" w:rsidR="004E6B81" w:rsidRPr="00F344AE" w:rsidRDefault="002542B8">
      <w:pPr>
        <w:autoSpaceDE w:val="0"/>
        <w:autoSpaceDN w:val="0"/>
        <w:adjustRightInd w:val="0"/>
      </w:pPr>
      <w:r w:rsidRPr="00F344AE">
        <w:t>Bien que de nombreuses méthodes d’analyse intégrées aux progiciels statistiques permettent d’utiliser des poids, le sens ou la définition du poids diffère de celui qui convient à une enquête par sondage. Ainsi, même si les estimations pondérées produites au moyen des progiciels peuvent être exactes, les estimations de la variance calculées ne sont pas pertinentes dans le contexte d’une enquête par sondage puisqu’elles ne reflètent pas précisément la variance due à l’échantillonnage. La trousse du FMGD de l’EDM de 2019 comprend un ensemble de 1</w:t>
      </w:r>
      <w:r w:rsidR="00666E46" w:rsidRPr="00F344AE">
        <w:t> </w:t>
      </w:r>
      <w:r w:rsidRPr="00F344AE">
        <w:t>000</w:t>
      </w:r>
      <w:r w:rsidR="00666E46" w:rsidRPr="00F344AE">
        <w:t> </w:t>
      </w:r>
      <w:r w:rsidRPr="00F344AE">
        <w:t xml:space="preserve">poids bootstrap qui peuvent servir à obtenir les estimations appropriées pour la variance des statistiques, comme les moyennes et les totaux. </w:t>
      </w:r>
    </w:p>
    <w:p w14:paraId="2BAE8453" w14:textId="77777777" w:rsidR="004E6B81" w:rsidRPr="00F344AE" w:rsidRDefault="004E6B81">
      <w:pPr>
        <w:autoSpaceDE w:val="0"/>
        <w:autoSpaceDN w:val="0"/>
        <w:adjustRightInd w:val="0"/>
      </w:pPr>
    </w:p>
    <w:p w14:paraId="46991A28" w14:textId="4920F4B7" w:rsidR="009F704E" w:rsidRDefault="00CC61EE">
      <w:pPr>
        <w:autoSpaceDE w:val="0"/>
        <w:autoSpaceDN w:val="0"/>
        <w:adjustRightInd w:val="0"/>
      </w:pPr>
      <w:r w:rsidRPr="00F344AE">
        <w:t>Pour obtenir une estimation de la variance</w:t>
      </w:r>
      <w:r w:rsidR="00521277" w:rsidRPr="00F344AE">
        <w:t>,</w:t>
      </w:r>
      <w:r w:rsidRPr="00F344AE">
        <w:t xml:space="preserve"> il est recommandé aux utilisateurs de suivre la procédure ci-dessous. Ces étapes illustrent l’estimation de la variance de la moyenne. Cependant, il faudrait suivre les mêmes étapes pour obtenir une estimation de la variance de l’estimation des dépenses agrégées.</w:t>
      </w:r>
    </w:p>
    <w:p w14:paraId="5B256CDB" w14:textId="77777777" w:rsidR="008E3E80" w:rsidRPr="00F344AE" w:rsidRDefault="008E3E80">
      <w:pPr>
        <w:autoSpaceDE w:val="0"/>
        <w:autoSpaceDN w:val="0"/>
        <w:adjustRightInd w:val="0"/>
      </w:pPr>
    </w:p>
    <w:p w14:paraId="5CF00760" w14:textId="77777777" w:rsidR="004500AE" w:rsidRPr="00F344AE" w:rsidRDefault="004500AE" w:rsidP="004500AE">
      <w:pPr>
        <w:pStyle w:val="ListParagraph"/>
        <w:numPr>
          <w:ilvl w:val="0"/>
          <w:numId w:val="22"/>
        </w:numPr>
        <w:spacing w:after="80" w:line="252" w:lineRule="auto"/>
        <w:ind w:left="714" w:hanging="357"/>
        <w:contextualSpacing w:val="0"/>
      </w:pPr>
      <w:r w:rsidRPr="00F344AE">
        <w:t xml:space="preserve">Calculez la moyenne pour la catégorie de dépenses en utilisant les poids bootstrap </w:t>
      </w:r>
      <w:r w:rsidRPr="00F344AE">
        <w:rPr>
          <w:i/>
          <w:iCs/>
        </w:rPr>
        <w:t>BSW1</w:t>
      </w:r>
      <w:r w:rsidRPr="00F344AE">
        <w:t xml:space="preserve"> du fichier de poids bootstrap. Appelons cette moyenne </w:t>
      </w:r>
      <w:r w:rsidRPr="00F344AE">
        <w:rPr>
          <w:i/>
          <w:iCs/>
        </w:rPr>
        <w:t>Moyenne_PBS1</w:t>
      </w:r>
      <w:r w:rsidRPr="00F344AE">
        <w:t>.</w:t>
      </w:r>
    </w:p>
    <w:p w14:paraId="7F57C4B7" w14:textId="77777777" w:rsidR="004500AE" w:rsidRPr="00F344AE" w:rsidRDefault="004500AE" w:rsidP="004500AE">
      <w:pPr>
        <w:pStyle w:val="ListParagraph"/>
        <w:numPr>
          <w:ilvl w:val="0"/>
          <w:numId w:val="22"/>
        </w:numPr>
        <w:spacing w:after="80" w:line="252" w:lineRule="auto"/>
        <w:ind w:left="714" w:hanging="357"/>
        <w:contextualSpacing w:val="0"/>
      </w:pPr>
      <w:r w:rsidRPr="00F344AE">
        <w:t xml:space="preserve">Calculez la moyenne pour chaque réplique bootstrap supplémentaire pour obtenir </w:t>
      </w:r>
      <w:r w:rsidRPr="00F344AE">
        <w:rPr>
          <w:i/>
          <w:iCs/>
        </w:rPr>
        <w:t>Moyenne_PBS2</w:t>
      </w:r>
      <w:r w:rsidRPr="00F344AE">
        <w:t xml:space="preserve">, </w:t>
      </w:r>
      <w:r w:rsidRPr="00F344AE">
        <w:rPr>
          <w:i/>
          <w:iCs/>
        </w:rPr>
        <w:t>Moyenne_PBS3</w:t>
      </w:r>
      <w:r w:rsidRPr="00F344AE">
        <w:t xml:space="preserve">, …, </w:t>
      </w:r>
      <w:r w:rsidRPr="00F344AE">
        <w:rPr>
          <w:i/>
          <w:iCs/>
        </w:rPr>
        <w:t>Moyenne_PBS1000</w:t>
      </w:r>
      <w:r w:rsidRPr="00F344AE">
        <w:t>.</w:t>
      </w:r>
    </w:p>
    <w:p w14:paraId="65228E53" w14:textId="77777777" w:rsidR="004500AE" w:rsidRPr="00F344AE" w:rsidRDefault="004500AE" w:rsidP="004500AE">
      <w:pPr>
        <w:pStyle w:val="ListParagraph"/>
        <w:numPr>
          <w:ilvl w:val="0"/>
          <w:numId w:val="22"/>
        </w:numPr>
        <w:spacing w:after="80" w:line="252" w:lineRule="auto"/>
        <w:ind w:left="714" w:hanging="357"/>
        <w:contextualSpacing w:val="0"/>
      </w:pPr>
      <w:r w:rsidRPr="00F344AE">
        <w:t>Calculez l’estimation de la variance en utilisant ces 1 000 estimations bootstrap (</w:t>
      </w:r>
      <w:r w:rsidRPr="00F344AE">
        <w:rPr>
          <w:i/>
          <w:iCs/>
        </w:rPr>
        <w:t>Moyenne_PBS1</w:t>
      </w:r>
      <w:r w:rsidRPr="00F344AE">
        <w:t xml:space="preserve">, </w:t>
      </w:r>
      <w:r w:rsidRPr="00F344AE">
        <w:rPr>
          <w:i/>
          <w:iCs/>
        </w:rPr>
        <w:t>Moyenne_PBS2</w:t>
      </w:r>
      <w:r w:rsidRPr="00F344AE">
        <w:t xml:space="preserve">, …, </w:t>
      </w:r>
      <w:r w:rsidRPr="00F344AE">
        <w:rPr>
          <w:i/>
          <w:iCs/>
        </w:rPr>
        <w:t>Moyenne_PBS1000</w:t>
      </w:r>
      <w:r w:rsidRPr="00F344AE">
        <w:t xml:space="preserve">) comme données d’entrée. </w:t>
      </w:r>
    </w:p>
    <w:p w14:paraId="001A4608" w14:textId="3DE6E78D" w:rsidR="006E0308" w:rsidRPr="00F344AE" w:rsidRDefault="006E0308" w:rsidP="00E805B6">
      <w:pPr>
        <w:autoSpaceDE w:val="0"/>
        <w:autoSpaceDN w:val="0"/>
        <w:adjustRightInd w:val="0"/>
        <w:spacing w:line="252" w:lineRule="auto"/>
      </w:pPr>
    </w:p>
    <w:p w14:paraId="6B370F32" w14:textId="77777777" w:rsidR="00B84FB0" w:rsidRDefault="00B84FB0">
      <w:pPr>
        <w:jc w:val="left"/>
      </w:pPr>
      <w:r>
        <w:br w:type="page"/>
      </w:r>
    </w:p>
    <w:p w14:paraId="2658A64D" w14:textId="57681356" w:rsidR="003610F4" w:rsidRPr="00F344AE" w:rsidRDefault="003610F4" w:rsidP="00A23E13">
      <w:r w:rsidRPr="0038279F">
        <w:lastRenderedPageBreak/>
        <w:t>Le tableau</w:t>
      </w:r>
      <w:r w:rsidR="001C04DE">
        <w:t xml:space="preserve"> ci-dessous</w:t>
      </w:r>
      <w:r w:rsidRPr="00F344AE">
        <w:t xml:space="preserve"> </w:t>
      </w:r>
      <w:r w:rsidR="008E3E80">
        <w:t xml:space="preserve">illustre </w:t>
      </w:r>
      <w:r w:rsidRPr="00F344AE">
        <w:t>les étapes précédentes et donne un aperçu des résultats pour quelques répliques bootstrap en lien avec l’exemple de la catégorie mixte « Dépenses pour les animaux domestiques » (HO003). La dernière colonne « Moyenne HO003 » contient les estimations bootstrap qui doivent être utilisées pour calculer l’estimation de la variance.</w:t>
      </w:r>
    </w:p>
    <w:p w14:paraId="73D64363" w14:textId="77777777" w:rsidR="004E6B81" w:rsidRPr="00F344AE" w:rsidRDefault="004E6B81" w:rsidP="00A23E13"/>
    <w:p w14:paraId="6E362376" w14:textId="004FA298" w:rsidR="003610F4" w:rsidRPr="00F344AE" w:rsidRDefault="0061246B" w:rsidP="005C44CE">
      <w:pPr>
        <w:keepNext/>
        <w:jc w:val="left"/>
        <w:rPr>
          <w:b/>
        </w:rPr>
      </w:pPr>
      <w:r w:rsidRPr="00F344AE">
        <w:rPr>
          <w:b/>
          <w:bCs/>
        </w:rPr>
        <w:t>Tableau </w:t>
      </w:r>
      <w:r w:rsidR="001C04DE">
        <w:rPr>
          <w:b/>
          <w:bCs/>
        </w:rPr>
        <w:t xml:space="preserve">2 </w:t>
      </w:r>
      <w:r w:rsidRPr="00F344AE">
        <w:rPr>
          <w:b/>
          <w:bCs/>
        </w:rPr>
        <w:t>: Illustration du calcul des dépenses moyennes pour les animaux domestiques pour chaque réplique bootstrap (données du FMGD de l’EDM de 2019), Canada</w:t>
      </w:r>
      <w:r w:rsidR="008E3E80">
        <w:rPr>
          <w:b/>
          <w:bCs/>
        </w:rPr>
        <w:t>*</w:t>
      </w:r>
    </w:p>
    <w:tbl>
      <w:tblPr>
        <w:tblW w:w="3604" w:type="dxa"/>
        <w:tblLook w:val="04A0" w:firstRow="1" w:lastRow="0" w:firstColumn="1" w:lastColumn="0" w:noHBand="0" w:noVBand="1"/>
      </w:tblPr>
      <w:tblGrid>
        <w:gridCol w:w="1195"/>
        <w:gridCol w:w="2409"/>
      </w:tblGrid>
      <w:tr w:rsidR="004E6B81" w:rsidRPr="00F344AE" w14:paraId="1FCD99DF" w14:textId="5FC863D3" w:rsidTr="00D571B1">
        <w:trPr>
          <w:trHeight w:val="416"/>
        </w:trPr>
        <w:tc>
          <w:tcPr>
            <w:tcW w:w="1195" w:type="dxa"/>
            <w:vMerge w:val="restart"/>
            <w:tcBorders>
              <w:top w:val="single" w:sz="4" w:space="0" w:color="auto"/>
              <w:left w:val="single" w:sz="4" w:space="0" w:color="auto"/>
              <w:right w:val="single" w:sz="4" w:space="0" w:color="auto"/>
            </w:tcBorders>
            <w:shd w:val="clear" w:color="auto" w:fill="auto"/>
            <w:vAlign w:val="center"/>
            <w:hideMark/>
          </w:tcPr>
          <w:p w14:paraId="1BD0489B" w14:textId="615EDDB4" w:rsidR="004E6B81" w:rsidRPr="00F344AE" w:rsidRDefault="004E6B81" w:rsidP="005C44CE">
            <w:pPr>
              <w:keepNext/>
              <w:jc w:val="center"/>
              <w:rPr>
                <w:rFonts w:cs="Arial"/>
                <w:color w:val="000000"/>
                <w:szCs w:val="22"/>
              </w:rPr>
            </w:pPr>
            <w:r w:rsidRPr="00F344AE">
              <w:rPr>
                <w:color w:val="000000"/>
                <w:szCs w:val="22"/>
              </w:rPr>
              <w:t>Répliques bootstrap</w:t>
            </w:r>
          </w:p>
        </w:tc>
        <w:tc>
          <w:tcPr>
            <w:tcW w:w="2409" w:type="dxa"/>
            <w:tcBorders>
              <w:top w:val="single" w:sz="4" w:space="0" w:color="auto"/>
              <w:left w:val="nil"/>
              <w:right w:val="single" w:sz="4" w:space="0" w:color="auto"/>
            </w:tcBorders>
            <w:shd w:val="clear" w:color="auto" w:fill="auto"/>
            <w:vAlign w:val="center"/>
            <w:hideMark/>
          </w:tcPr>
          <w:p w14:paraId="62743978" w14:textId="1DF51F8F" w:rsidR="004E6B81" w:rsidRPr="00F344AE" w:rsidRDefault="004E6B81" w:rsidP="005C44CE">
            <w:pPr>
              <w:keepNext/>
              <w:jc w:val="center"/>
              <w:rPr>
                <w:rFonts w:cs="Arial"/>
                <w:color w:val="000000"/>
                <w:szCs w:val="22"/>
              </w:rPr>
            </w:pPr>
            <w:r w:rsidRPr="00F344AE">
              <w:rPr>
                <w:color w:val="000000"/>
                <w:szCs w:val="22"/>
              </w:rPr>
              <w:t>Moyenne HO003</w:t>
            </w:r>
          </w:p>
        </w:tc>
      </w:tr>
      <w:tr w:rsidR="004E6B81" w:rsidRPr="00F344AE" w14:paraId="09A4D71F" w14:textId="187AA314" w:rsidTr="00D571B1">
        <w:trPr>
          <w:trHeight w:val="72"/>
        </w:trPr>
        <w:tc>
          <w:tcPr>
            <w:tcW w:w="1195" w:type="dxa"/>
            <w:vMerge/>
            <w:tcBorders>
              <w:left w:val="single" w:sz="4" w:space="0" w:color="auto"/>
              <w:bottom w:val="single" w:sz="4" w:space="0" w:color="auto"/>
              <w:right w:val="single" w:sz="4" w:space="0" w:color="auto"/>
            </w:tcBorders>
            <w:shd w:val="clear" w:color="auto" w:fill="auto"/>
            <w:vAlign w:val="center"/>
          </w:tcPr>
          <w:p w14:paraId="68151297" w14:textId="25AA7C4E" w:rsidR="004E6B81" w:rsidRPr="00F344AE" w:rsidRDefault="004E6B81" w:rsidP="00C31CD1">
            <w:pPr>
              <w:jc w:val="center"/>
              <w:rPr>
                <w:rFonts w:cs="Arial"/>
                <w:color w:val="000000"/>
                <w:szCs w:val="22"/>
              </w:rPr>
            </w:pPr>
          </w:p>
        </w:tc>
        <w:tc>
          <w:tcPr>
            <w:tcW w:w="2409" w:type="dxa"/>
            <w:tcBorders>
              <w:left w:val="nil"/>
              <w:bottom w:val="single" w:sz="4" w:space="0" w:color="auto"/>
              <w:right w:val="single" w:sz="4" w:space="0" w:color="auto"/>
            </w:tcBorders>
            <w:shd w:val="clear" w:color="auto" w:fill="auto"/>
            <w:vAlign w:val="center"/>
          </w:tcPr>
          <w:p w14:paraId="6E3BDD47" w14:textId="3BD2B2FC" w:rsidR="004E6B81" w:rsidRPr="00F344AE" w:rsidRDefault="004E6B81" w:rsidP="009F05C0">
            <w:pPr>
              <w:jc w:val="center"/>
              <w:rPr>
                <w:rFonts w:cs="Arial"/>
                <w:color w:val="000000"/>
                <w:szCs w:val="22"/>
              </w:rPr>
            </w:pPr>
          </w:p>
        </w:tc>
      </w:tr>
      <w:tr w:rsidR="004E6B81" w:rsidRPr="00F344AE" w14:paraId="490A7891" w14:textId="452EC490" w:rsidTr="00D571B1">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2D94BB5B" w14:textId="28259EF1" w:rsidR="004E6B81" w:rsidRPr="00F344AE" w:rsidRDefault="004E6B81" w:rsidP="00AA3C14">
            <w:pPr>
              <w:jc w:val="center"/>
              <w:rPr>
                <w:rFonts w:cs="Arial"/>
                <w:color w:val="000000"/>
                <w:szCs w:val="22"/>
              </w:rPr>
            </w:pPr>
            <w:r w:rsidRPr="00F344AE">
              <w:rPr>
                <w:color w:val="000000"/>
                <w:szCs w:val="22"/>
              </w:rPr>
              <w:t>1</w:t>
            </w:r>
          </w:p>
        </w:tc>
        <w:tc>
          <w:tcPr>
            <w:tcW w:w="2409" w:type="dxa"/>
            <w:tcBorders>
              <w:top w:val="nil"/>
              <w:left w:val="nil"/>
              <w:bottom w:val="single" w:sz="4" w:space="0" w:color="auto"/>
              <w:right w:val="single" w:sz="4" w:space="0" w:color="auto"/>
            </w:tcBorders>
            <w:shd w:val="clear" w:color="auto" w:fill="auto"/>
            <w:noWrap/>
            <w:vAlign w:val="bottom"/>
          </w:tcPr>
          <w:p w14:paraId="0CA24A56" w14:textId="0A1D46C3" w:rsidR="004E6B81" w:rsidRPr="00E94377" w:rsidRDefault="00370D08" w:rsidP="0088602A">
            <w:pPr>
              <w:jc w:val="right"/>
              <w:rPr>
                <w:rFonts w:cs="Arial"/>
                <w:color w:val="000000"/>
                <w:szCs w:val="22"/>
                <w:highlight w:val="yellow"/>
              </w:rPr>
            </w:pPr>
            <w:r>
              <w:rPr>
                <w:color w:val="000000"/>
                <w:szCs w:val="22"/>
              </w:rPr>
              <w:t>763,</w:t>
            </w:r>
            <w:r w:rsidRPr="00370D08">
              <w:rPr>
                <w:color w:val="000000"/>
                <w:szCs w:val="22"/>
              </w:rPr>
              <w:t>47</w:t>
            </w:r>
          </w:p>
        </w:tc>
      </w:tr>
      <w:tr w:rsidR="004E6B81" w:rsidRPr="00F344AE" w14:paraId="60F85189" w14:textId="60F21278" w:rsidTr="00D571B1">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31C03CC7" w14:textId="2796B7DF" w:rsidR="004E6B81" w:rsidRPr="00F344AE" w:rsidRDefault="004E6B81" w:rsidP="00AA3C14">
            <w:pPr>
              <w:jc w:val="center"/>
              <w:rPr>
                <w:rFonts w:cs="Arial"/>
                <w:color w:val="000000"/>
                <w:szCs w:val="22"/>
              </w:rPr>
            </w:pPr>
            <w:r w:rsidRPr="00F344AE">
              <w:rPr>
                <w:color w:val="000000"/>
                <w:szCs w:val="22"/>
              </w:rPr>
              <w:t>2</w:t>
            </w:r>
          </w:p>
        </w:tc>
        <w:tc>
          <w:tcPr>
            <w:tcW w:w="2409" w:type="dxa"/>
            <w:tcBorders>
              <w:top w:val="nil"/>
              <w:left w:val="nil"/>
              <w:bottom w:val="single" w:sz="4" w:space="0" w:color="auto"/>
              <w:right w:val="single" w:sz="4" w:space="0" w:color="auto"/>
            </w:tcBorders>
            <w:shd w:val="clear" w:color="auto" w:fill="auto"/>
            <w:noWrap/>
            <w:vAlign w:val="bottom"/>
          </w:tcPr>
          <w:p w14:paraId="1E31362E" w14:textId="20305A65" w:rsidR="004E6B81" w:rsidRPr="00E94377" w:rsidRDefault="00370D08" w:rsidP="0088602A">
            <w:pPr>
              <w:jc w:val="right"/>
              <w:rPr>
                <w:rFonts w:cs="Arial"/>
                <w:color w:val="000000"/>
                <w:szCs w:val="22"/>
                <w:highlight w:val="yellow"/>
              </w:rPr>
            </w:pPr>
            <w:r>
              <w:rPr>
                <w:color w:val="000000"/>
                <w:szCs w:val="22"/>
              </w:rPr>
              <w:t>792,</w:t>
            </w:r>
            <w:r w:rsidRPr="00370D08">
              <w:rPr>
                <w:color w:val="000000"/>
                <w:szCs w:val="22"/>
              </w:rPr>
              <w:t>65</w:t>
            </w:r>
          </w:p>
        </w:tc>
      </w:tr>
      <w:tr w:rsidR="004E6B81" w:rsidRPr="00F344AE" w14:paraId="295EC44B" w14:textId="66AB5549" w:rsidTr="00D571B1">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315CD1E8" w14:textId="4EB5DB10" w:rsidR="004E6B81" w:rsidRPr="00F344AE" w:rsidRDefault="004E6B81" w:rsidP="00AA3C14">
            <w:pPr>
              <w:jc w:val="center"/>
              <w:rPr>
                <w:rFonts w:cs="Arial"/>
                <w:color w:val="000000"/>
                <w:szCs w:val="22"/>
              </w:rPr>
            </w:pPr>
            <w:r w:rsidRPr="00F344AE">
              <w:rPr>
                <w:color w:val="000000"/>
                <w:szCs w:val="22"/>
              </w:rPr>
              <w:t>3</w:t>
            </w:r>
          </w:p>
        </w:tc>
        <w:tc>
          <w:tcPr>
            <w:tcW w:w="2409" w:type="dxa"/>
            <w:tcBorders>
              <w:top w:val="nil"/>
              <w:left w:val="nil"/>
              <w:bottom w:val="single" w:sz="4" w:space="0" w:color="auto"/>
              <w:right w:val="single" w:sz="4" w:space="0" w:color="auto"/>
            </w:tcBorders>
            <w:shd w:val="clear" w:color="auto" w:fill="auto"/>
            <w:noWrap/>
            <w:vAlign w:val="bottom"/>
          </w:tcPr>
          <w:p w14:paraId="7A18ED91" w14:textId="7A089558" w:rsidR="004E6B81" w:rsidRPr="00E94377" w:rsidRDefault="00370D08" w:rsidP="0088602A">
            <w:pPr>
              <w:jc w:val="right"/>
              <w:rPr>
                <w:rFonts w:cs="Arial"/>
                <w:color w:val="000000"/>
                <w:szCs w:val="22"/>
                <w:highlight w:val="yellow"/>
              </w:rPr>
            </w:pPr>
            <w:r>
              <w:rPr>
                <w:color w:val="000000"/>
                <w:szCs w:val="22"/>
              </w:rPr>
              <w:t>760,</w:t>
            </w:r>
            <w:r w:rsidRPr="00370D08">
              <w:rPr>
                <w:color w:val="000000"/>
                <w:szCs w:val="22"/>
              </w:rPr>
              <w:t>95</w:t>
            </w:r>
          </w:p>
        </w:tc>
      </w:tr>
      <w:tr w:rsidR="004E6B81" w:rsidRPr="00F344AE" w14:paraId="2537D323" w14:textId="6B31364F" w:rsidTr="00D571B1">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339D4B63" w14:textId="01606A52" w:rsidR="004E6B81" w:rsidRPr="00F344AE" w:rsidRDefault="004E6B81" w:rsidP="00AA3C14">
            <w:pPr>
              <w:jc w:val="center"/>
              <w:rPr>
                <w:rFonts w:cs="Arial"/>
                <w:color w:val="000000"/>
                <w:szCs w:val="22"/>
              </w:rPr>
            </w:pPr>
            <w:r w:rsidRPr="00F344AE">
              <w:rPr>
                <w:color w:val="000000"/>
                <w:szCs w:val="22"/>
              </w:rPr>
              <w:t>4</w:t>
            </w:r>
          </w:p>
        </w:tc>
        <w:tc>
          <w:tcPr>
            <w:tcW w:w="2409" w:type="dxa"/>
            <w:tcBorders>
              <w:top w:val="nil"/>
              <w:left w:val="nil"/>
              <w:bottom w:val="single" w:sz="4" w:space="0" w:color="auto"/>
              <w:right w:val="single" w:sz="4" w:space="0" w:color="auto"/>
            </w:tcBorders>
            <w:shd w:val="clear" w:color="auto" w:fill="auto"/>
            <w:noWrap/>
            <w:vAlign w:val="bottom"/>
          </w:tcPr>
          <w:p w14:paraId="333C23D8" w14:textId="3656388F" w:rsidR="004E6B81" w:rsidRPr="00E94377" w:rsidRDefault="00370D08" w:rsidP="0088602A">
            <w:pPr>
              <w:jc w:val="right"/>
              <w:rPr>
                <w:rFonts w:cs="Arial"/>
                <w:color w:val="000000"/>
                <w:szCs w:val="22"/>
                <w:highlight w:val="yellow"/>
              </w:rPr>
            </w:pPr>
            <w:r>
              <w:rPr>
                <w:color w:val="000000"/>
                <w:szCs w:val="22"/>
              </w:rPr>
              <w:t>796,</w:t>
            </w:r>
            <w:r w:rsidRPr="00370D08">
              <w:rPr>
                <w:color w:val="000000"/>
                <w:szCs w:val="22"/>
              </w:rPr>
              <w:t>87</w:t>
            </w:r>
          </w:p>
        </w:tc>
      </w:tr>
      <w:tr w:rsidR="004E6B81" w:rsidRPr="00F344AE" w14:paraId="46624052" w14:textId="48963A18" w:rsidTr="00D571B1">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69ABABFF" w14:textId="699D6921" w:rsidR="004E6B81" w:rsidRPr="00F344AE" w:rsidRDefault="004E6B81" w:rsidP="00AA3C14">
            <w:pPr>
              <w:jc w:val="center"/>
              <w:rPr>
                <w:rFonts w:cs="Arial"/>
                <w:color w:val="000000"/>
                <w:szCs w:val="22"/>
              </w:rPr>
            </w:pPr>
            <w:r w:rsidRPr="00F344AE">
              <w:rPr>
                <w:color w:val="000000"/>
                <w:szCs w:val="22"/>
              </w:rPr>
              <w:t>5</w:t>
            </w:r>
          </w:p>
        </w:tc>
        <w:tc>
          <w:tcPr>
            <w:tcW w:w="2409" w:type="dxa"/>
            <w:tcBorders>
              <w:top w:val="nil"/>
              <w:left w:val="nil"/>
              <w:bottom w:val="single" w:sz="4" w:space="0" w:color="auto"/>
              <w:right w:val="single" w:sz="4" w:space="0" w:color="auto"/>
            </w:tcBorders>
            <w:shd w:val="clear" w:color="auto" w:fill="auto"/>
            <w:noWrap/>
            <w:vAlign w:val="bottom"/>
          </w:tcPr>
          <w:p w14:paraId="416B2474" w14:textId="24C49141" w:rsidR="004E6B81" w:rsidRPr="00E94377" w:rsidRDefault="00370D08" w:rsidP="0088602A">
            <w:pPr>
              <w:jc w:val="right"/>
              <w:rPr>
                <w:rFonts w:cs="Arial"/>
                <w:color w:val="000000"/>
                <w:szCs w:val="22"/>
                <w:highlight w:val="yellow"/>
              </w:rPr>
            </w:pPr>
            <w:r>
              <w:rPr>
                <w:color w:val="000000"/>
                <w:szCs w:val="22"/>
              </w:rPr>
              <w:t>749,</w:t>
            </w:r>
            <w:r w:rsidRPr="00370D08">
              <w:rPr>
                <w:color w:val="000000"/>
                <w:szCs w:val="22"/>
              </w:rPr>
              <w:t>37</w:t>
            </w:r>
          </w:p>
        </w:tc>
      </w:tr>
      <w:tr w:rsidR="004E6B81" w:rsidRPr="0038279F" w14:paraId="3539B4EF" w14:textId="01CEBE52" w:rsidTr="00D571B1">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424A5CE2" w14:textId="0E06B10A" w:rsidR="004E6B81" w:rsidRPr="00F344AE" w:rsidRDefault="004E6B81" w:rsidP="00AA3C14">
            <w:pPr>
              <w:jc w:val="center"/>
              <w:rPr>
                <w:rFonts w:cs="Arial"/>
                <w:color w:val="000000"/>
                <w:szCs w:val="22"/>
              </w:rPr>
            </w:pPr>
            <w:r w:rsidRPr="00F344AE">
              <w:rPr>
                <w:color w:val="000000"/>
                <w:szCs w:val="22"/>
              </w:rPr>
              <w:t>…</w:t>
            </w:r>
          </w:p>
        </w:tc>
        <w:tc>
          <w:tcPr>
            <w:tcW w:w="2409" w:type="dxa"/>
            <w:tcBorders>
              <w:top w:val="nil"/>
              <w:left w:val="nil"/>
              <w:bottom w:val="single" w:sz="4" w:space="0" w:color="auto"/>
              <w:right w:val="single" w:sz="4" w:space="0" w:color="auto"/>
            </w:tcBorders>
            <w:shd w:val="clear" w:color="auto" w:fill="auto"/>
            <w:noWrap/>
            <w:vAlign w:val="bottom"/>
          </w:tcPr>
          <w:p w14:paraId="4055C37F" w14:textId="42C7B099" w:rsidR="004E6B81" w:rsidRPr="0038279F" w:rsidRDefault="004E6B81" w:rsidP="0088602A">
            <w:pPr>
              <w:jc w:val="right"/>
              <w:rPr>
                <w:rFonts w:cs="Arial"/>
                <w:color w:val="000000"/>
                <w:szCs w:val="22"/>
              </w:rPr>
            </w:pPr>
            <w:r w:rsidRPr="0038279F">
              <w:rPr>
                <w:color w:val="000000"/>
                <w:szCs w:val="22"/>
              </w:rPr>
              <w:t>…</w:t>
            </w:r>
          </w:p>
        </w:tc>
      </w:tr>
      <w:tr w:rsidR="004E6B81" w:rsidRPr="00F344AE" w14:paraId="6C526E14" w14:textId="5A776B63" w:rsidTr="00D571B1">
        <w:trPr>
          <w:trHeight w:val="314"/>
        </w:trPr>
        <w:tc>
          <w:tcPr>
            <w:tcW w:w="1195" w:type="dxa"/>
            <w:tcBorders>
              <w:top w:val="nil"/>
              <w:left w:val="single" w:sz="4" w:space="0" w:color="auto"/>
              <w:bottom w:val="single" w:sz="4" w:space="0" w:color="auto"/>
              <w:right w:val="single" w:sz="4" w:space="0" w:color="auto"/>
            </w:tcBorders>
            <w:shd w:val="clear" w:color="auto" w:fill="auto"/>
            <w:noWrap/>
            <w:vAlign w:val="bottom"/>
            <w:hideMark/>
          </w:tcPr>
          <w:p w14:paraId="01DEFE7C" w14:textId="6EA46030" w:rsidR="004E6B81" w:rsidRPr="00F344AE" w:rsidRDefault="004E6B81" w:rsidP="00AA3C14">
            <w:pPr>
              <w:jc w:val="center"/>
              <w:rPr>
                <w:rFonts w:cs="Arial"/>
                <w:color w:val="000000"/>
                <w:szCs w:val="22"/>
              </w:rPr>
            </w:pPr>
            <w:r w:rsidRPr="00F344AE">
              <w:rPr>
                <w:color w:val="000000"/>
                <w:szCs w:val="22"/>
              </w:rPr>
              <w:t>1 000</w:t>
            </w:r>
          </w:p>
        </w:tc>
        <w:tc>
          <w:tcPr>
            <w:tcW w:w="2409" w:type="dxa"/>
            <w:tcBorders>
              <w:top w:val="nil"/>
              <w:left w:val="nil"/>
              <w:bottom w:val="single" w:sz="4" w:space="0" w:color="auto"/>
              <w:right w:val="single" w:sz="4" w:space="0" w:color="auto"/>
            </w:tcBorders>
            <w:shd w:val="clear" w:color="auto" w:fill="auto"/>
            <w:noWrap/>
            <w:vAlign w:val="bottom"/>
          </w:tcPr>
          <w:p w14:paraId="68B7C020" w14:textId="24053325" w:rsidR="004E6B81" w:rsidRPr="00E94377" w:rsidRDefault="00370D08" w:rsidP="0088602A">
            <w:pPr>
              <w:jc w:val="right"/>
              <w:rPr>
                <w:rFonts w:cs="Arial"/>
                <w:color w:val="000000"/>
                <w:szCs w:val="22"/>
                <w:highlight w:val="yellow"/>
              </w:rPr>
            </w:pPr>
            <w:r>
              <w:rPr>
                <w:color w:val="000000"/>
                <w:szCs w:val="22"/>
              </w:rPr>
              <w:t>767,</w:t>
            </w:r>
            <w:r w:rsidRPr="00370D08">
              <w:rPr>
                <w:color w:val="000000"/>
                <w:szCs w:val="22"/>
              </w:rPr>
              <w:t>97</w:t>
            </w:r>
          </w:p>
        </w:tc>
      </w:tr>
    </w:tbl>
    <w:p w14:paraId="1D024392" w14:textId="79822F30" w:rsidR="005C44CE" w:rsidRPr="00F344AE" w:rsidRDefault="003610F4" w:rsidP="002A4B5E">
      <w:pPr>
        <w:rPr>
          <w:sz w:val="18"/>
        </w:rPr>
      </w:pPr>
      <w:r w:rsidRPr="00F344AE">
        <w:rPr>
          <w:sz w:val="18"/>
        </w:rPr>
        <w:t>Note : Les résultats présentés ont été arrondis à 2 décimales près.</w:t>
      </w:r>
    </w:p>
    <w:p w14:paraId="2DFB469A" w14:textId="1D294BE2" w:rsidR="003610F4" w:rsidRDefault="006F5B51" w:rsidP="008E3E80">
      <w:pPr>
        <w:rPr>
          <w:sz w:val="18"/>
        </w:rPr>
      </w:pPr>
      <w:r w:rsidRPr="00F344AE">
        <w:rPr>
          <w:sz w:val="18"/>
        </w:rPr>
        <w:t>Source : Statistique Canada, Fichier de microdonnées à grande diffusion, Enquête sur les dépenses des ménages, 2019.</w:t>
      </w:r>
    </w:p>
    <w:p w14:paraId="5020F1B1" w14:textId="1A849346" w:rsidR="008E3E80" w:rsidRPr="00F344AE" w:rsidRDefault="008E3E80" w:rsidP="008E3E80">
      <w:r>
        <w:rPr>
          <w:sz w:val="18"/>
        </w:rPr>
        <w:t>*Seulement les 10 provinces</w:t>
      </w:r>
    </w:p>
    <w:p w14:paraId="2F48E5D6" w14:textId="56A36888" w:rsidR="007E1FC7" w:rsidRPr="00F344AE" w:rsidRDefault="007E1FC7" w:rsidP="00F04D38">
      <w:pPr>
        <w:spacing w:after="120" w:line="257" w:lineRule="auto"/>
        <w:jc w:val="left"/>
        <w:rPr>
          <w:sz w:val="12"/>
          <w:szCs w:val="12"/>
        </w:rPr>
      </w:pPr>
    </w:p>
    <w:p w14:paraId="0108299D" w14:textId="7687E5AF" w:rsidR="00CB3C2B" w:rsidRPr="00F344AE" w:rsidRDefault="00CB3C2B" w:rsidP="00D571B1">
      <w:pPr>
        <w:spacing w:after="120" w:line="257" w:lineRule="auto"/>
      </w:pPr>
      <w:r w:rsidRPr="00F344AE">
        <w:t xml:space="preserve">L’erreur-type ainsi obtenue pour l’estimation des dépenses moyennes pour les animaux domestiques est de </w:t>
      </w:r>
      <w:r w:rsidR="00370D08">
        <w:t>44,</w:t>
      </w:r>
      <w:r w:rsidR="00370D08" w:rsidRPr="00370D08">
        <w:t>17</w:t>
      </w:r>
      <w:r w:rsidRPr="00F344AE">
        <w:t xml:space="preserve">. </w:t>
      </w:r>
    </w:p>
    <w:p w14:paraId="6286F073" w14:textId="77777777" w:rsidR="007A3C55" w:rsidRDefault="007A3C55" w:rsidP="007A3C55">
      <w:pPr>
        <w:pStyle w:val="NoSpacing"/>
      </w:pPr>
    </w:p>
    <w:p w14:paraId="45D62B1A" w14:textId="013032EF" w:rsidR="00234F27" w:rsidRPr="00F344AE" w:rsidRDefault="00234F27" w:rsidP="00EE410D">
      <w:pPr>
        <w:pStyle w:val="Heading2"/>
        <w:rPr>
          <w:color w:val="222222"/>
        </w:rPr>
      </w:pPr>
      <w:r w:rsidRPr="00F344AE">
        <w:t xml:space="preserve">3.3 </w:t>
      </w:r>
      <w:r w:rsidR="003154FA">
        <w:t>P</w:t>
      </w:r>
      <w:r w:rsidRPr="00F344AE">
        <w:t xml:space="preserve">ériodes de référence </w:t>
      </w:r>
      <w:r w:rsidR="00C50A69">
        <w:t>et annualisation</w:t>
      </w:r>
    </w:p>
    <w:p w14:paraId="44407117" w14:textId="52DDA2B5" w:rsidR="00234F27" w:rsidRPr="00F344AE" w:rsidRDefault="00234F27" w:rsidP="005C44CE">
      <w:pPr>
        <w:keepNext/>
        <w:rPr>
          <w:rFonts w:cs="Arial"/>
          <w:b/>
          <w:color w:val="222222"/>
        </w:rPr>
      </w:pPr>
    </w:p>
    <w:p w14:paraId="08721547" w14:textId="548F46E7" w:rsidR="000A338B" w:rsidRDefault="00234F27" w:rsidP="00C72972">
      <w:r w:rsidRPr="00F344AE">
        <w:rPr>
          <w:color w:val="222222"/>
        </w:rPr>
        <w:t xml:space="preserve">Les dépenses recueillies avec une période de référence de moins de 12 mois ont été </w:t>
      </w:r>
      <w:r w:rsidR="0012477D">
        <w:rPr>
          <w:color w:val="222222"/>
        </w:rPr>
        <w:t>ajustées</w:t>
      </w:r>
      <w:r w:rsidR="0012477D" w:rsidRPr="00F344AE">
        <w:rPr>
          <w:color w:val="222222"/>
        </w:rPr>
        <w:t xml:space="preserve"> </w:t>
      </w:r>
      <w:r w:rsidRPr="00F344AE">
        <w:rPr>
          <w:color w:val="222222"/>
        </w:rPr>
        <w:t xml:space="preserve">(annualisées), afin de couvrir 12 mois. Cela s’applique aux dépenses recueillies lors de </w:t>
      </w:r>
      <w:r w:rsidR="00521277" w:rsidRPr="00F344AE">
        <w:t>l’interview</w:t>
      </w:r>
      <w:r w:rsidR="00521277" w:rsidRPr="00F344AE">
        <w:rPr>
          <w:color w:val="222222"/>
        </w:rPr>
        <w:t xml:space="preserve"> </w:t>
      </w:r>
      <w:r w:rsidRPr="00F344AE">
        <w:rPr>
          <w:color w:val="222222"/>
        </w:rPr>
        <w:t xml:space="preserve">avec une période de </w:t>
      </w:r>
      <w:r w:rsidR="000A338B">
        <w:rPr>
          <w:color w:val="222222"/>
        </w:rPr>
        <w:t xml:space="preserve">rappel </w:t>
      </w:r>
      <w:r w:rsidRPr="00F344AE">
        <w:rPr>
          <w:color w:val="222222"/>
        </w:rPr>
        <w:t xml:space="preserve">de moins de 12 mois, ainsi qu’aux montants déclarés dans le journal. </w:t>
      </w:r>
      <w:r w:rsidR="009D1E6B">
        <w:rPr>
          <w:color w:val="222222"/>
        </w:rPr>
        <w:t xml:space="preserve">Par </w:t>
      </w:r>
      <w:r w:rsidRPr="00F344AE">
        <w:rPr>
          <w:color w:val="222222"/>
        </w:rPr>
        <w:t>exemple</w:t>
      </w:r>
      <w:r w:rsidR="009D1E6B">
        <w:rPr>
          <w:color w:val="222222"/>
        </w:rPr>
        <w:t>, l</w:t>
      </w:r>
      <w:r w:rsidRPr="00F344AE">
        <w:rPr>
          <w:color w:val="222222"/>
        </w:rPr>
        <w:t xml:space="preserve">es dépenses pour l’essence sont recueillies au moyen du journal. </w:t>
      </w:r>
      <w:r w:rsidRPr="00F344AE">
        <w:t>Pour annualiser cette dépense, le montant total déclaré par un ménage dans une des provinces au cours de la période d’une semaine couverte par le journal est multiplié par 52 pour obtenir le montant annualisé</w:t>
      </w:r>
      <w:r w:rsidRPr="00F344AE">
        <w:rPr>
          <w:rStyle w:val="FootnoteReference"/>
          <w:rFonts w:cs="Arial"/>
          <w:vertAlign w:val="superscript"/>
        </w:rPr>
        <w:footnoteReference w:id="2"/>
      </w:r>
      <w:r w:rsidR="00666E46" w:rsidRPr="00F344AE">
        <w:t>.</w:t>
      </w:r>
      <w:r w:rsidRPr="00F344AE">
        <w:t xml:space="preserve"> Pour un ménage dans une des capitales territoriales, le journal est rempli pendant une période de deux semaines. Par conséquent le multiplicateur utilisé pour l’annualisation est de 26.</w:t>
      </w:r>
    </w:p>
    <w:p w14:paraId="48DC0E00" w14:textId="179FF8CB" w:rsidR="000A338B" w:rsidRDefault="000A338B" w:rsidP="00C72972"/>
    <w:p w14:paraId="52FB0C65" w14:textId="1C287FAE" w:rsidR="00AD602F" w:rsidRPr="00F344AE" w:rsidRDefault="00E15F1D" w:rsidP="00C72972">
      <w:pPr>
        <w:rPr>
          <w:rFonts w:cs="Arial"/>
        </w:rPr>
      </w:pPr>
      <w:r w:rsidRPr="00E15F1D">
        <w:t>Ainsi obtenue, la valeur annualisée n’est pas nécessairement représentative des véritables dépenses en essence d’un ménage individuel au cours d’une période de 12 mois.</w:t>
      </w:r>
      <w:r>
        <w:t xml:space="preserve"> </w:t>
      </w:r>
      <w:r w:rsidR="00234F27" w:rsidRPr="00F344AE">
        <w:t xml:space="preserve">La valeur peut être surestimée pour certains ménages, et sous-estimée pour d’autres. En outre, certains ménages qui ont </w:t>
      </w:r>
      <w:r w:rsidR="000A338B">
        <w:t xml:space="preserve">dépensé en </w:t>
      </w:r>
      <w:r w:rsidR="00234F27" w:rsidRPr="00F344AE">
        <w:t>essence au cours de l’année de référence peuvent avoir une valeur annualisée de zéro, parce qu’ils n’ont pas déclaré de dépenses relatives à l’essence au cours de la période de référence tenue du journal.</w:t>
      </w:r>
    </w:p>
    <w:p w14:paraId="10F690B3" w14:textId="77777777" w:rsidR="00AD602F" w:rsidRPr="00F344AE" w:rsidRDefault="00AD602F" w:rsidP="00C72972">
      <w:pPr>
        <w:rPr>
          <w:rFonts w:cs="Arial"/>
        </w:rPr>
      </w:pPr>
    </w:p>
    <w:p w14:paraId="22EB50B2" w14:textId="7F295A6B" w:rsidR="00C72972" w:rsidRDefault="001349C9" w:rsidP="0090313A">
      <w:r w:rsidRPr="001349C9">
        <w:lastRenderedPageBreak/>
        <w:t>Les estimations annuelles des dépenses totales et des dépenses moyennes basées sur les dépenses annualisées de tous les ménages, y compris ceux qui n’ont pas de dépenses, sont considérées comme étant représentatives des dépenses annuelles puisque les biais à la hausse et à la baisse au niveau du ménage individuel se compensent. Puisque l’échantillon final comprend tous les ménages répondants répartis sur les 12 sous-échantillons mensuels, les estimations des dépenses totales et moyennes annuelles tiennent compte des variations saisonnières.</w:t>
      </w:r>
    </w:p>
    <w:p w14:paraId="671B7ED5" w14:textId="77777777" w:rsidR="001349C9" w:rsidRPr="00F344AE" w:rsidRDefault="001349C9" w:rsidP="0090313A">
      <w:pPr>
        <w:rPr>
          <w:rFonts w:cs="Arial"/>
        </w:rPr>
      </w:pPr>
    </w:p>
    <w:p w14:paraId="71F4B2E6" w14:textId="680091C5" w:rsidR="002872B6" w:rsidRPr="00F344AE" w:rsidRDefault="002872B6" w:rsidP="002872B6">
      <w:r w:rsidRPr="00F344AE">
        <w:t xml:space="preserve">Toutes les </w:t>
      </w:r>
      <w:r w:rsidRPr="00F344AE">
        <w:rPr>
          <w:color w:val="222222"/>
        </w:rPr>
        <w:t xml:space="preserve">données sur les dépenses du FMGD ont été annualisées pour qu’elles couvrent une période de 12 mois. </w:t>
      </w:r>
      <w:r w:rsidRPr="00F344AE">
        <w:t>Le champ « période de référence » dans les dictionnaires de données renvoie à la durée de la période de référence utilisée pour recueillir les dépenses (c.-à-d. la période de</w:t>
      </w:r>
      <w:r w:rsidR="000A338B">
        <w:t xml:space="preserve"> rappel</w:t>
      </w:r>
      <w:r w:rsidRPr="00F344AE">
        <w:t xml:space="preserve"> utilisée lors de </w:t>
      </w:r>
      <w:r w:rsidR="00521277" w:rsidRPr="001C04DE">
        <w:t>l’interview</w:t>
      </w:r>
      <w:r w:rsidR="00521277" w:rsidRPr="00F344AE">
        <w:t xml:space="preserve"> </w:t>
      </w:r>
      <w:r w:rsidRPr="00F344AE">
        <w:t>ou la période de déclaration de 1 semaine ou 2 semaines dans le cas du journal). Ces renseignements se trouvent aussi dans le document « Hiérarchie des catégories de dépenses, FMGD 2019 »</w:t>
      </w:r>
      <w:r w:rsidR="00C145A8">
        <w:t xml:space="preserve">, </w:t>
      </w:r>
      <w:r w:rsidR="00C145A8">
        <w:rPr>
          <w:szCs w:val="22"/>
        </w:rPr>
        <w:t>disponible dans la trousse de documents</w:t>
      </w:r>
      <w:r w:rsidRPr="00F344AE">
        <w:t>.</w:t>
      </w:r>
    </w:p>
    <w:p w14:paraId="13524453" w14:textId="77777777" w:rsidR="00B43A0A" w:rsidRPr="00F344AE" w:rsidRDefault="00B43A0A" w:rsidP="002872B6">
      <w:pPr>
        <w:rPr>
          <w:rFonts w:cs="Arial"/>
          <w:color w:val="222222"/>
        </w:rPr>
      </w:pPr>
    </w:p>
    <w:p w14:paraId="11B0986F" w14:textId="77777777" w:rsidR="00F80406" w:rsidRPr="00F344AE" w:rsidRDefault="00F80406">
      <w:pPr>
        <w:jc w:val="left"/>
        <w:rPr>
          <w:rFonts w:cs="Arial"/>
          <w:b/>
          <w:bCs/>
          <w:kern w:val="32"/>
          <w:sz w:val="28"/>
        </w:rPr>
      </w:pPr>
      <w:r w:rsidRPr="00F344AE">
        <w:br w:type="page"/>
      </w:r>
    </w:p>
    <w:p w14:paraId="2C7CF9D9" w14:textId="02625702" w:rsidR="008E594B" w:rsidRPr="00F344AE" w:rsidRDefault="00AB7A38">
      <w:pPr>
        <w:pStyle w:val="Heading1"/>
      </w:pPr>
      <w:r w:rsidRPr="00F344AE">
        <w:lastRenderedPageBreak/>
        <w:t>4. Références</w:t>
      </w:r>
    </w:p>
    <w:p w14:paraId="3CC1CB12" w14:textId="77777777" w:rsidR="008D0DEA" w:rsidRPr="00F344AE" w:rsidRDefault="008D0DEA" w:rsidP="0079582F"/>
    <w:p w14:paraId="3CD5930F" w14:textId="1DCBF4C6" w:rsidR="00A71BCD" w:rsidRPr="00F344AE" w:rsidRDefault="00AB7A38" w:rsidP="00F463EB">
      <w:pPr>
        <w:pStyle w:val="Heading2"/>
      </w:pPr>
      <w:r w:rsidRPr="00F344AE">
        <w:t>4.1 Tous les produits offerts</w:t>
      </w:r>
    </w:p>
    <w:p w14:paraId="68777499" w14:textId="77777777" w:rsidR="00E37703" w:rsidRPr="00F344AE" w:rsidRDefault="00E37703" w:rsidP="005C44CE">
      <w:pPr>
        <w:keepNext/>
        <w:jc w:val="left"/>
      </w:pPr>
    </w:p>
    <w:p w14:paraId="2092C687" w14:textId="100CE63F" w:rsidR="00FD1408" w:rsidRDefault="00FD1408" w:rsidP="000F6EA5">
      <w:pPr>
        <w:pStyle w:val="ListParagraph"/>
        <w:numPr>
          <w:ilvl w:val="0"/>
          <w:numId w:val="14"/>
        </w:numPr>
        <w:spacing w:after="40"/>
        <w:contextualSpacing w:val="0"/>
        <w:jc w:val="left"/>
      </w:pPr>
      <w:r>
        <w:t xml:space="preserve"> </w:t>
      </w:r>
      <w:r w:rsidRPr="00F344AE">
        <w:t>Le fichier de microd</w:t>
      </w:r>
      <w:r>
        <w:t>onnées accessible en format SAS</w:t>
      </w:r>
    </w:p>
    <w:p w14:paraId="7B707DFF" w14:textId="4530347B" w:rsidR="003D5B44" w:rsidRPr="00F344AE" w:rsidRDefault="00131CE5" w:rsidP="000F6EA5">
      <w:pPr>
        <w:pStyle w:val="ListParagraph"/>
        <w:numPr>
          <w:ilvl w:val="0"/>
          <w:numId w:val="14"/>
        </w:numPr>
        <w:spacing w:after="40"/>
        <w:contextualSpacing w:val="0"/>
        <w:jc w:val="left"/>
      </w:pPr>
      <w:r w:rsidRPr="00F344AE">
        <w:t>Le fichier de microdonnées accessible en format .TXT</w:t>
      </w:r>
    </w:p>
    <w:p w14:paraId="33277E80" w14:textId="4F6242BD" w:rsidR="00E370BF" w:rsidRDefault="00215B3E" w:rsidP="00DB15A2">
      <w:pPr>
        <w:pStyle w:val="ListParagraph"/>
        <w:numPr>
          <w:ilvl w:val="1"/>
          <w:numId w:val="14"/>
        </w:numPr>
        <w:spacing w:after="40"/>
        <w:contextualSpacing w:val="0"/>
        <w:jc w:val="left"/>
      </w:pPr>
      <w:r w:rsidRPr="00F344AE">
        <w:t>pumf_shs2019_flatfile.txt</w:t>
      </w:r>
    </w:p>
    <w:p w14:paraId="1FF60722" w14:textId="77777777" w:rsidR="00155B4C" w:rsidRPr="00E812FC" w:rsidRDefault="00155B4C" w:rsidP="00155B4C">
      <w:pPr>
        <w:pStyle w:val="ListParagraph"/>
        <w:numPr>
          <w:ilvl w:val="1"/>
          <w:numId w:val="14"/>
        </w:numPr>
        <w:spacing w:after="40"/>
        <w:contextualSpacing w:val="0"/>
        <w:jc w:val="left"/>
      </w:pPr>
      <w:r>
        <w:t>pumf_shs2019_layout.txt</w:t>
      </w:r>
    </w:p>
    <w:p w14:paraId="566D9702" w14:textId="77777777" w:rsidR="00131CE5" w:rsidRPr="00F344AE" w:rsidRDefault="00131CE5" w:rsidP="00131CE5">
      <w:pPr>
        <w:pStyle w:val="ListParagraph"/>
        <w:numPr>
          <w:ilvl w:val="1"/>
          <w:numId w:val="14"/>
        </w:numPr>
        <w:spacing w:after="40"/>
        <w:contextualSpacing w:val="0"/>
        <w:jc w:val="left"/>
      </w:pPr>
      <w:r w:rsidRPr="00F344AE">
        <w:t>Cartes de lecture pour SAS, SPSS et STATA</w:t>
      </w:r>
    </w:p>
    <w:p w14:paraId="2D6B6CBD" w14:textId="77777777" w:rsidR="004500AE" w:rsidRPr="00F344AE" w:rsidRDefault="004500AE" w:rsidP="004500AE">
      <w:pPr>
        <w:pStyle w:val="ListParagraph"/>
        <w:numPr>
          <w:ilvl w:val="0"/>
          <w:numId w:val="14"/>
        </w:numPr>
        <w:spacing w:after="40"/>
        <w:contextualSpacing w:val="0"/>
        <w:jc w:val="left"/>
      </w:pPr>
      <w:r w:rsidRPr="00F344AE">
        <w:t>Les métadonnées suivantes pour le fichier de microdonnées :</w:t>
      </w:r>
    </w:p>
    <w:p w14:paraId="342F4C2F" w14:textId="4F714A63" w:rsidR="00E37703" w:rsidRPr="00F344AE" w:rsidRDefault="00E37703" w:rsidP="000F6EA5">
      <w:pPr>
        <w:pStyle w:val="ListParagraph"/>
        <w:numPr>
          <w:ilvl w:val="1"/>
          <w:numId w:val="14"/>
        </w:numPr>
        <w:spacing w:after="40"/>
        <w:ind w:left="1077" w:hanging="357"/>
        <w:contextualSpacing w:val="0"/>
        <w:jc w:val="left"/>
      </w:pPr>
      <w:r w:rsidRPr="00F344AE">
        <w:t>Cliché d’enregistrement</w:t>
      </w:r>
    </w:p>
    <w:p w14:paraId="158A7740" w14:textId="77777777" w:rsidR="00E37703" w:rsidRPr="00F344AE" w:rsidRDefault="00E37703" w:rsidP="000F6EA5">
      <w:pPr>
        <w:pStyle w:val="ListParagraph"/>
        <w:numPr>
          <w:ilvl w:val="1"/>
          <w:numId w:val="14"/>
        </w:numPr>
        <w:spacing w:after="40"/>
        <w:ind w:left="1077" w:hanging="357"/>
        <w:contextualSpacing w:val="0"/>
        <w:jc w:val="left"/>
      </w:pPr>
      <w:r w:rsidRPr="00F344AE">
        <w:t>Dictionnaire des données</w:t>
      </w:r>
    </w:p>
    <w:p w14:paraId="7C0D935C" w14:textId="77777777" w:rsidR="00E37703" w:rsidRPr="00F344AE" w:rsidRDefault="00E37703" w:rsidP="000F6EA5">
      <w:pPr>
        <w:pStyle w:val="ListParagraph"/>
        <w:numPr>
          <w:ilvl w:val="1"/>
          <w:numId w:val="14"/>
        </w:numPr>
        <w:spacing w:after="40"/>
        <w:ind w:left="1077" w:hanging="357"/>
        <w:contextualSpacing w:val="0"/>
        <w:jc w:val="left"/>
      </w:pPr>
      <w:r w:rsidRPr="00F344AE">
        <w:t>Moyennes</w:t>
      </w:r>
    </w:p>
    <w:p w14:paraId="2FDB2AB5" w14:textId="77777777" w:rsidR="00E17B68" w:rsidRPr="00F344AE" w:rsidRDefault="00A71BCD" w:rsidP="000F6EA5">
      <w:pPr>
        <w:pStyle w:val="ListParagraph"/>
        <w:numPr>
          <w:ilvl w:val="1"/>
          <w:numId w:val="14"/>
        </w:numPr>
        <w:spacing w:after="40"/>
        <w:ind w:left="1077" w:hanging="357"/>
        <w:contextualSpacing w:val="0"/>
        <w:jc w:val="left"/>
      </w:pPr>
      <w:r w:rsidRPr="00F344AE">
        <w:t>Fréquences</w:t>
      </w:r>
    </w:p>
    <w:p w14:paraId="7955D15A" w14:textId="51798C26" w:rsidR="00515A00" w:rsidRPr="00F344AE" w:rsidRDefault="00131CE5" w:rsidP="0088602A">
      <w:pPr>
        <w:pStyle w:val="ListParagraph"/>
        <w:numPr>
          <w:ilvl w:val="0"/>
          <w:numId w:val="14"/>
        </w:numPr>
        <w:spacing w:after="40"/>
        <w:contextualSpacing w:val="0"/>
        <w:jc w:val="left"/>
      </w:pPr>
      <w:bookmarkStart w:id="6" w:name="_Ref104180281"/>
      <w:bookmarkStart w:id="7" w:name="_Ref104180315"/>
      <w:bookmarkStart w:id="8" w:name="_Ref126396413"/>
      <w:bookmarkStart w:id="9" w:name="_Toc294768025"/>
      <w:bookmarkStart w:id="10" w:name="_Toc294768331"/>
      <w:bookmarkStart w:id="11" w:name="_Toc294768459"/>
      <w:r w:rsidRPr="00F344AE">
        <w:t>Le fichier de poids bootstrap accessible en format .TXT</w:t>
      </w:r>
    </w:p>
    <w:p w14:paraId="6F1E42BB" w14:textId="59B97D56" w:rsidR="00515A00" w:rsidRDefault="00215B3E" w:rsidP="0088602A">
      <w:pPr>
        <w:pStyle w:val="ListParagraph"/>
        <w:numPr>
          <w:ilvl w:val="1"/>
          <w:numId w:val="14"/>
        </w:numPr>
        <w:spacing w:after="40"/>
        <w:contextualSpacing w:val="0"/>
        <w:jc w:val="left"/>
      </w:pPr>
      <w:r w:rsidRPr="00F344AE">
        <w:t>pumf_shs2019_bsw_flatfile.txt</w:t>
      </w:r>
    </w:p>
    <w:p w14:paraId="49C2F79B" w14:textId="6616931E" w:rsidR="00131CE5" w:rsidRPr="00F344AE" w:rsidRDefault="00155B4C" w:rsidP="00056DD8">
      <w:pPr>
        <w:pStyle w:val="ListParagraph"/>
        <w:numPr>
          <w:ilvl w:val="1"/>
          <w:numId w:val="14"/>
        </w:numPr>
        <w:spacing w:after="40"/>
        <w:contextualSpacing w:val="0"/>
        <w:jc w:val="left"/>
      </w:pPr>
      <w:r>
        <w:t>pumf_shs2019_bsw_layout.txt</w:t>
      </w:r>
    </w:p>
    <w:p w14:paraId="5058F787" w14:textId="68D07D88" w:rsidR="00E05FBC" w:rsidRPr="00F344AE" w:rsidRDefault="00131CE5" w:rsidP="00434CE6">
      <w:pPr>
        <w:pStyle w:val="ListParagraph"/>
        <w:numPr>
          <w:ilvl w:val="0"/>
          <w:numId w:val="14"/>
        </w:numPr>
        <w:spacing w:after="40"/>
        <w:contextualSpacing w:val="0"/>
        <w:jc w:val="left"/>
      </w:pPr>
      <w:r w:rsidRPr="00F344AE">
        <w:t xml:space="preserve"> « Guide de l’utilisateur du fichier de microdonnées à grande diffusion de l’Enquête sur les dépenses des ménages, </w:t>
      </w:r>
      <w:r w:rsidR="00155B4C" w:rsidRPr="00F344AE">
        <w:t>201</w:t>
      </w:r>
      <w:r w:rsidR="00155B4C">
        <w:t>9</w:t>
      </w:r>
      <w:r w:rsidRPr="00F344AE">
        <w:t>» (le présent document)</w:t>
      </w:r>
    </w:p>
    <w:p w14:paraId="6B868AB6" w14:textId="6894D2A1" w:rsidR="000C70E3" w:rsidRPr="00F344AE" w:rsidRDefault="001606F5" w:rsidP="00E05FBC">
      <w:pPr>
        <w:pStyle w:val="ListParagraph"/>
        <w:numPr>
          <w:ilvl w:val="0"/>
          <w:numId w:val="14"/>
        </w:numPr>
        <w:spacing w:after="40"/>
        <w:ind w:left="357" w:hanging="357"/>
        <w:contextualSpacing w:val="0"/>
        <w:jc w:val="left"/>
        <w:rPr>
          <w:sz w:val="24"/>
        </w:rPr>
      </w:pPr>
      <w:r w:rsidRPr="00F344AE">
        <w:t>« Hiérarchie des catégories de dépenses, FMGD 2019 »</w:t>
      </w:r>
    </w:p>
    <w:p w14:paraId="23CBEFCF" w14:textId="3DA92187" w:rsidR="004500AE" w:rsidRPr="00F344AE" w:rsidRDefault="00081C79" w:rsidP="00081C79">
      <w:pPr>
        <w:pStyle w:val="ListParagraph"/>
        <w:spacing w:after="40"/>
        <w:ind w:left="357"/>
        <w:contextualSpacing w:val="0"/>
        <w:jc w:val="left"/>
        <w:rPr>
          <w:sz w:val="24"/>
        </w:rPr>
      </w:pPr>
      <w:bookmarkStart w:id="12" w:name="_GoBack"/>
      <w:r>
        <w:rPr>
          <w:rFonts w:cs="Arial"/>
          <w:szCs w:val="22"/>
        </w:rPr>
        <w:t xml:space="preserve"> </w:t>
      </w:r>
    </w:p>
    <w:bookmarkEnd w:id="12"/>
    <w:p w14:paraId="5D014511" w14:textId="77777777" w:rsidR="008D035A" w:rsidRPr="00F344AE" w:rsidRDefault="008D035A">
      <w:pPr>
        <w:jc w:val="left"/>
        <w:rPr>
          <w:rFonts w:cs="Arial"/>
          <w:b/>
          <w:bCs/>
          <w:sz w:val="28"/>
        </w:rPr>
      </w:pPr>
    </w:p>
    <w:p w14:paraId="12C56EB6" w14:textId="55A93549" w:rsidR="00237DE9" w:rsidRPr="00F344AE" w:rsidRDefault="00AB7A38" w:rsidP="005C44CE">
      <w:pPr>
        <w:pStyle w:val="Heading2"/>
        <w:rPr>
          <w:sz w:val="24"/>
          <w:szCs w:val="24"/>
        </w:rPr>
      </w:pPr>
      <w:r w:rsidRPr="00F344AE">
        <w:t>4.2 Pour plus d’information</w:t>
      </w:r>
      <w:bookmarkEnd w:id="6"/>
      <w:bookmarkEnd w:id="7"/>
      <w:bookmarkEnd w:id="8"/>
      <w:bookmarkEnd w:id="9"/>
      <w:bookmarkEnd w:id="10"/>
      <w:bookmarkEnd w:id="11"/>
    </w:p>
    <w:p w14:paraId="3B34EB2C" w14:textId="77777777" w:rsidR="00237DE9" w:rsidRPr="00F344AE" w:rsidRDefault="00237DE9" w:rsidP="005C44CE">
      <w:pPr>
        <w:keepNext/>
        <w:jc w:val="left"/>
      </w:pPr>
    </w:p>
    <w:p w14:paraId="04AEA9E5" w14:textId="658050C5" w:rsidR="005C44CE" w:rsidRPr="00F344AE" w:rsidRDefault="00237DE9" w:rsidP="006C3F7A">
      <w:pPr>
        <w:numPr>
          <w:ilvl w:val="0"/>
          <w:numId w:val="20"/>
        </w:numPr>
        <w:tabs>
          <w:tab w:val="left" w:pos="426"/>
        </w:tabs>
        <w:autoSpaceDE w:val="0"/>
        <w:autoSpaceDN w:val="0"/>
        <w:adjustRightInd w:val="0"/>
        <w:ind w:left="426" w:hanging="426"/>
        <w:jc w:val="left"/>
      </w:pPr>
      <w:r w:rsidRPr="00F344AE">
        <w:t>Guide de l’utilisateur, Enquête sur les dépenses des ménages, 201</w:t>
      </w:r>
      <w:r w:rsidR="000D4F18">
        <w:t>9</w:t>
      </w:r>
      <w:r w:rsidRPr="00F344AE">
        <w:t xml:space="preserve"> (62F0026M, n</w:t>
      </w:r>
      <w:r w:rsidRPr="00F344AE">
        <w:rPr>
          <w:vertAlign w:val="superscript"/>
        </w:rPr>
        <w:t>o</w:t>
      </w:r>
      <w:r w:rsidRPr="00F344AE">
        <w:t> 1)</w:t>
      </w:r>
    </w:p>
    <w:p w14:paraId="1A9C8BB9" w14:textId="113F2738" w:rsidR="00225D52" w:rsidRPr="00F344AE" w:rsidRDefault="00155B4C" w:rsidP="00BF211E">
      <w:pPr>
        <w:pStyle w:val="ListParagraph"/>
        <w:tabs>
          <w:tab w:val="left" w:pos="426"/>
        </w:tabs>
        <w:ind w:left="426"/>
        <w:jc w:val="left"/>
      </w:pPr>
      <w:r>
        <w:rPr>
          <w:rStyle w:val="Hyperlink"/>
        </w:rPr>
        <w:t xml:space="preserve"> </w:t>
      </w:r>
    </w:p>
    <w:p w14:paraId="5407B0D7" w14:textId="77777777" w:rsidR="00155B4C" w:rsidRPr="00155B4C" w:rsidRDefault="004B1455" w:rsidP="00155B4C">
      <w:pPr>
        <w:pStyle w:val="ListParagraph"/>
        <w:tabs>
          <w:tab w:val="left" w:pos="426"/>
        </w:tabs>
        <w:ind w:left="852" w:hanging="426"/>
        <w:jc w:val="left"/>
        <w:rPr>
          <w:rStyle w:val="Hyperlink"/>
        </w:rPr>
      </w:pPr>
      <w:hyperlink r:id="rId10" w:history="1">
        <w:r w:rsidR="00155B4C" w:rsidRPr="00F96C4C">
          <w:rPr>
            <w:rStyle w:val="Hyperlink"/>
          </w:rPr>
          <w:t>https://www150.statcan.gc.ca/n1/pub/62f0026m/62f0026m2021001-fra.htm</w:t>
        </w:r>
      </w:hyperlink>
      <w:r w:rsidR="00155B4C" w:rsidRPr="00155B4C">
        <w:rPr>
          <w:rStyle w:val="Hyperlink"/>
        </w:rPr>
        <w:t xml:space="preserve">  </w:t>
      </w:r>
    </w:p>
    <w:p w14:paraId="4924BEAE" w14:textId="77777777" w:rsidR="003A243A" w:rsidRPr="00F344AE" w:rsidRDefault="003A243A" w:rsidP="00BF211E">
      <w:pPr>
        <w:pStyle w:val="ListParagraph"/>
        <w:tabs>
          <w:tab w:val="left" w:pos="426"/>
        </w:tabs>
        <w:ind w:left="426"/>
        <w:jc w:val="left"/>
      </w:pPr>
    </w:p>
    <w:p w14:paraId="39724562" w14:textId="04992610" w:rsidR="000278A0" w:rsidRPr="00F344AE" w:rsidRDefault="00E17B68" w:rsidP="00390268">
      <w:pPr>
        <w:pStyle w:val="ListParagraph"/>
        <w:numPr>
          <w:ilvl w:val="0"/>
          <w:numId w:val="20"/>
        </w:numPr>
        <w:tabs>
          <w:tab w:val="left" w:pos="426"/>
        </w:tabs>
        <w:ind w:left="426" w:hanging="426"/>
        <w:jc w:val="left"/>
      </w:pPr>
      <w:r w:rsidRPr="00F344AE">
        <w:t>Note aux utilisateurs de données de l’Enquête sur les dépenses des ménages de 2010 (62F0026M, n</w:t>
      </w:r>
      <w:r w:rsidRPr="00F344AE">
        <w:rPr>
          <w:vertAlign w:val="superscript"/>
        </w:rPr>
        <w:t>o</w:t>
      </w:r>
      <w:r w:rsidRPr="00F344AE">
        <w:t> 2)</w:t>
      </w:r>
    </w:p>
    <w:p w14:paraId="6FDC9126" w14:textId="77777777" w:rsidR="000278A0" w:rsidRPr="00F344AE" w:rsidRDefault="00E50547" w:rsidP="00390268">
      <w:pPr>
        <w:pStyle w:val="ListParagraph"/>
        <w:tabs>
          <w:tab w:val="left" w:pos="426"/>
        </w:tabs>
        <w:ind w:left="426" w:hanging="426"/>
        <w:jc w:val="left"/>
      </w:pPr>
      <w:r w:rsidRPr="00F344AE">
        <w:tab/>
      </w:r>
      <w:hyperlink w:history="1">
        <w:r w:rsidRPr="00F344AE">
          <w:rPr>
            <w:rStyle w:val="Hyperlink"/>
          </w:rPr>
          <w:t>https://www150.statcan.gc.ca/n1/fr/catalogue/62F0026M2012002</w:t>
        </w:r>
      </w:hyperlink>
    </w:p>
    <w:p w14:paraId="7BB942C1" w14:textId="77777777" w:rsidR="006037B7" w:rsidRPr="00F344AE" w:rsidRDefault="006037B7" w:rsidP="00373B71"/>
    <w:p w14:paraId="5C566E7B" w14:textId="1207E7FB" w:rsidR="006037B7" w:rsidRPr="00F344AE" w:rsidRDefault="006037B7" w:rsidP="00423037">
      <w:pPr>
        <w:jc w:val="left"/>
      </w:pPr>
      <w:r w:rsidRPr="00F344AE">
        <w:t>Pour obtenir plus d’information au sujet de l’Enquête sur les dépenses des ménages et des produits et services connexes, veuillez communiquer avec InfoStats</w:t>
      </w:r>
      <w:r w:rsidR="00521277" w:rsidRPr="00F344AE">
        <w:t>.</w:t>
      </w:r>
    </w:p>
    <w:p w14:paraId="1E106E79" w14:textId="77777777" w:rsidR="008B650C" w:rsidRPr="00F344AE" w:rsidRDefault="008B650C" w:rsidP="00423037">
      <w:pPr>
        <w:jc w:val="left"/>
      </w:pPr>
    </w:p>
    <w:p w14:paraId="077A8BCF" w14:textId="034D9F2A" w:rsidR="004500AE" w:rsidRPr="00B43A0A" w:rsidRDefault="004500AE" w:rsidP="00F80406">
      <w:pPr>
        <w:keepNext/>
        <w:keepLines/>
        <w:jc w:val="left"/>
      </w:pPr>
      <w:r w:rsidRPr="00F344AE">
        <w:rPr>
          <w:b/>
          <w:bCs/>
        </w:rPr>
        <w:t>Sans frais </w:t>
      </w:r>
      <w:r w:rsidRPr="00F344AE">
        <w:t>: 1-800-263-1136</w:t>
      </w:r>
      <w:r w:rsidRPr="00F344AE">
        <w:br/>
      </w:r>
      <w:r w:rsidRPr="00F344AE">
        <w:rPr>
          <w:b/>
          <w:bCs/>
        </w:rPr>
        <w:t>International </w:t>
      </w:r>
      <w:r w:rsidRPr="00F344AE">
        <w:t>: 1-514-283-8300</w:t>
      </w:r>
      <w:r w:rsidRPr="00F344AE">
        <w:br/>
      </w:r>
      <w:r w:rsidRPr="00F344AE">
        <w:rPr>
          <w:b/>
          <w:bCs/>
        </w:rPr>
        <w:t>ATS </w:t>
      </w:r>
      <w:r w:rsidRPr="00F344AE">
        <w:t>: 1-800-363-7629</w:t>
      </w:r>
      <w:r w:rsidRPr="00F344AE">
        <w:br/>
      </w:r>
      <w:hyperlink r:id="rId11" w:history="1">
        <w:r w:rsidRPr="00F344AE">
          <w:t>Formulaire en ligne</w:t>
        </w:r>
      </w:hyperlink>
      <w:r w:rsidRPr="00F344AE">
        <w:br/>
      </w:r>
      <w:r w:rsidRPr="00F344AE">
        <w:rPr>
          <w:b/>
          <w:bCs/>
        </w:rPr>
        <w:t>Courriel </w:t>
      </w:r>
      <w:r w:rsidRPr="00F344AE">
        <w:t xml:space="preserve">: </w:t>
      </w:r>
      <w:hyperlink r:id="rId12" w:history="1"/>
      <w:r w:rsidR="00BC19CB">
        <w:t xml:space="preserve"> </w:t>
      </w:r>
      <w:hyperlink r:id="rId13" w:history="1">
        <w:r w:rsidR="00BC19CB" w:rsidRPr="007B3688">
          <w:t>infostats@statcan.gc.ca</w:t>
        </w:r>
      </w:hyperlink>
      <w:hyperlink r:id="rId14" w:history="1"/>
    </w:p>
    <w:p w14:paraId="776AE967" w14:textId="77777777" w:rsidR="008B650C" w:rsidRPr="00B43A0A" w:rsidRDefault="008B650C" w:rsidP="00423037">
      <w:pPr>
        <w:jc w:val="left"/>
      </w:pPr>
    </w:p>
    <w:sectPr w:rsidR="008B650C" w:rsidRPr="00B43A0A" w:rsidSect="00423037">
      <w:footerReference w:type="default" r:id="rId15"/>
      <w:pgSz w:w="12240" w:h="15840" w:code="1"/>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FA828B" w14:textId="77777777" w:rsidR="00520704" w:rsidRDefault="00520704">
      <w:r>
        <w:separator/>
      </w:r>
    </w:p>
  </w:endnote>
  <w:endnote w:type="continuationSeparator" w:id="0">
    <w:p w14:paraId="36694AAE" w14:textId="77777777" w:rsidR="00520704" w:rsidRDefault="0052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E2BA6" w14:textId="77777777" w:rsidR="002547B0" w:rsidRPr="00B43A0A" w:rsidRDefault="002547B0" w:rsidP="001112A3">
    <w:pPr>
      <w:pStyle w:val="Footer"/>
      <w:framePr w:wrap="around" w:vAnchor="text" w:hAnchor="margin" w:xAlign="center" w:y="1"/>
      <w:rPr>
        <w:rStyle w:val="PageNumber"/>
        <w:rFonts w:cs="Arial"/>
        <w:sz w:val="18"/>
        <w:szCs w:val="18"/>
      </w:rPr>
    </w:pPr>
    <w:r w:rsidRPr="00B43A0A">
      <w:rPr>
        <w:rStyle w:val="PageNumber"/>
        <w:rFonts w:cs="Arial"/>
        <w:sz w:val="18"/>
        <w:szCs w:val="18"/>
      </w:rPr>
      <w:fldChar w:fldCharType="begin"/>
    </w:r>
    <w:r w:rsidRPr="00B43A0A">
      <w:rPr>
        <w:rStyle w:val="PageNumber"/>
        <w:rFonts w:cs="Arial"/>
        <w:sz w:val="18"/>
        <w:szCs w:val="18"/>
      </w:rPr>
      <w:instrText xml:space="preserve">PAGE  </w:instrText>
    </w:r>
    <w:r w:rsidRPr="00B43A0A">
      <w:rPr>
        <w:rStyle w:val="PageNumber"/>
        <w:rFonts w:cs="Arial"/>
        <w:sz w:val="18"/>
        <w:szCs w:val="18"/>
      </w:rPr>
      <w:fldChar w:fldCharType="separate"/>
    </w:r>
    <w:r w:rsidR="004B1455">
      <w:rPr>
        <w:rStyle w:val="PageNumber"/>
        <w:rFonts w:cs="Arial"/>
        <w:noProof/>
        <w:sz w:val="18"/>
        <w:szCs w:val="18"/>
      </w:rPr>
      <w:t>8</w:t>
    </w:r>
    <w:r w:rsidRPr="00B43A0A">
      <w:rPr>
        <w:rStyle w:val="PageNumber"/>
        <w:rFonts w:cs="Arial"/>
        <w:sz w:val="18"/>
        <w:szCs w:val="18"/>
      </w:rPr>
      <w:fldChar w:fldCharType="end"/>
    </w:r>
  </w:p>
  <w:p w14:paraId="04DD77B8" w14:textId="05F83986" w:rsidR="002547B0" w:rsidRPr="00B43A0A" w:rsidRDefault="002547B0" w:rsidP="00BB1240">
    <w:pPr>
      <w:pStyle w:val="Footer"/>
      <w:pBdr>
        <w:top w:val="single" w:sz="4" w:space="1" w:color="auto"/>
      </w:pBdr>
      <w:tabs>
        <w:tab w:val="clear" w:pos="4320"/>
        <w:tab w:val="clear" w:pos="8640"/>
        <w:tab w:val="right" w:pos="7920"/>
      </w:tabs>
      <w:rPr>
        <w:rFonts w:cs="Arial"/>
        <w:sz w:val="18"/>
        <w:szCs w:val="18"/>
      </w:rPr>
    </w:pPr>
    <w:r w:rsidRPr="00B43A0A">
      <w:rPr>
        <w:sz w:val="18"/>
        <w:szCs w:val="18"/>
      </w:rPr>
      <w:t>Statistique Canada</w:t>
    </w:r>
    <w:r w:rsidRPr="00B43A0A">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64610A" w14:textId="77777777" w:rsidR="00520704" w:rsidRDefault="00520704">
      <w:r>
        <w:separator/>
      </w:r>
    </w:p>
  </w:footnote>
  <w:footnote w:type="continuationSeparator" w:id="0">
    <w:p w14:paraId="60E45288" w14:textId="77777777" w:rsidR="00520704" w:rsidRDefault="00520704">
      <w:r>
        <w:continuationSeparator/>
      </w:r>
    </w:p>
  </w:footnote>
  <w:footnote w:id="1">
    <w:p w14:paraId="23AECA50" w14:textId="77777777" w:rsidR="00354670" w:rsidRDefault="00354670" w:rsidP="00354670">
      <w:pPr>
        <w:pStyle w:val="CommentText"/>
      </w:pPr>
      <w:r>
        <w:rPr>
          <w:rStyle w:val="FootnoteReference"/>
        </w:rPr>
        <w:footnoteRef/>
      </w:r>
      <w:r>
        <w:t xml:space="preserve"> </w:t>
      </w:r>
      <w:hyperlink r:id="rId1" w:history="1">
        <w:r w:rsidRPr="00F96C4C">
          <w:rPr>
            <w:rStyle w:val="Hyperlink"/>
          </w:rPr>
          <w:t>https://www150.statcan.gc.ca/n1/pub/62f0026m/62f0026m2021001-fra.htm</w:t>
        </w:r>
      </w:hyperlink>
      <w:r>
        <w:t xml:space="preserve"> </w:t>
      </w:r>
    </w:p>
    <w:p w14:paraId="7C75D678" w14:textId="722B8218" w:rsidR="00354670" w:rsidRPr="00354670" w:rsidRDefault="00354670">
      <w:pPr>
        <w:pStyle w:val="FootnoteText"/>
        <w:rPr>
          <w:lang w:val="en-CA"/>
        </w:rPr>
      </w:pPr>
    </w:p>
  </w:footnote>
  <w:footnote w:id="2">
    <w:p w14:paraId="12023BE0" w14:textId="7F678470" w:rsidR="004500AE" w:rsidRPr="00B43A0A" w:rsidRDefault="004500AE" w:rsidP="004500AE">
      <w:pPr>
        <w:pStyle w:val="FootnoteText"/>
      </w:pPr>
      <w:r w:rsidRPr="009B0CBF">
        <w:rPr>
          <w:rStyle w:val="FootnoteReference"/>
          <w:vertAlign w:val="superscript"/>
        </w:rPr>
        <w:footnoteRef/>
      </w:r>
      <w:r w:rsidRPr="009B0CBF">
        <w:t xml:space="preserve"> </w:t>
      </w:r>
      <w:r w:rsidR="001349C9">
        <w:t>D’autres ajustements sont effectués pour tenir compte de toute journée de non-réponse dans le journal ainsi que des valeurs extrêmes.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63860"/>
    <w:multiLevelType w:val="hybridMultilevel"/>
    <w:tmpl w:val="4198F830"/>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1B3F0A"/>
    <w:multiLevelType w:val="hybridMultilevel"/>
    <w:tmpl w:val="269442E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D916B5"/>
    <w:multiLevelType w:val="hybridMultilevel"/>
    <w:tmpl w:val="BD8AF77C"/>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7A02FF7"/>
    <w:multiLevelType w:val="hybridMultilevel"/>
    <w:tmpl w:val="8646B698"/>
    <w:lvl w:ilvl="0" w:tplc="10090011">
      <w:start w:val="1"/>
      <w:numFmt w:val="decimal"/>
      <w:lvlText w:val="%1)"/>
      <w:lvlJc w:val="left"/>
      <w:pPr>
        <w:tabs>
          <w:tab w:val="num" w:pos="360"/>
        </w:tabs>
        <w:ind w:left="36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15:restartNumberingAfterBreak="0">
    <w:nsid w:val="09873A2A"/>
    <w:multiLevelType w:val="hybridMultilevel"/>
    <w:tmpl w:val="57D610CE"/>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 w15:restartNumberingAfterBreak="0">
    <w:nsid w:val="0C5551A6"/>
    <w:multiLevelType w:val="hybridMultilevel"/>
    <w:tmpl w:val="0512F6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652023"/>
    <w:multiLevelType w:val="hybridMultilevel"/>
    <w:tmpl w:val="50C638AA"/>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7" w15:restartNumberingAfterBreak="0">
    <w:nsid w:val="1F7213CA"/>
    <w:multiLevelType w:val="hybridMultilevel"/>
    <w:tmpl w:val="7AD25288"/>
    <w:lvl w:ilvl="0" w:tplc="7AE4FA0A">
      <w:start w:val="1"/>
      <w:numFmt w:val="bullet"/>
      <w:pStyle w:val="bullet1"/>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9D4DF6"/>
    <w:multiLevelType w:val="hybridMultilevel"/>
    <w:tmpl w:val="181661EC"/>
    <w:lvl w:ilvl="0" w:tplc="5A70F54C">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35C74762"/>
    <w:multiLevelType w:val="multilevel"/>
    <w:tmpl w:val="27845D3E"/>
    <w:lvl w:ilvl="0">
      <w:start w:val="1"/>
      <w:numFmt w:val="decimal"/>
      <w:lvlText w:val="%1."/>
      <w:lvlJc w:val="left"/>
      <w:pPr>
        <w:tabs>
          <w:tab w:val="num" w:pos="864"/>
        </w:tabs>
        <w:ind w:left="864" w:hanging="864"/>
      </w:pPr>
      <w:rPr>
        <w:rFonts w:ascii="Arial" w:hAnsi="Arial" w:cs="Times New Roman" w:hint="default"/>
        <w:b/>
        <w:bCs w:val="0"/>
        <w:i w:val="0"/>
        <w:iCs w:val="0"/>
        <w:caps w:val="0"/>
        <w:smallCaps w:val="0"/>
        <w:strike w:val="0"/>
        <w:dstrike w:val="0"/>
        <w:vanish w:val="0"/>
        <w:color w:val="auto"/>
        <w:spacing w:val="0"/>
        <w:w w:val="100"/>
        <w:kern w:val="0"/>
        <w:position w:val="0"/>
        <w:sz w:val="32"/>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64"/>
        </w:tabs>
        <w:ind w:left="864" w:hanging="864"/>
      </w:pPr>
      <w:rPr>
        <w:rFonts w:hint="default"/>
        <w:sz w:val="28"/>
        <w:szCs w:val="28"/>
      </w:rPr>
    </w:lvl>
    <w:lvl w:ilvl="2">
      <w:start w:val="1"/>
      <w:numFmt w:val="decimal"/>
      <w:lvlText w:val="%1.%2.%3"/>
      <w:lvlJc w:val="left"/>
      <w:pPr>
        <w:tabs>
          <w:tab w:val="num" w:pos="864"/>
        </w:tabs>
        <w:ind w:left="864" w:hanging="864"/>
      </w:pPr>
      <w:rPr>
        <w:rFonts w:ascii="Arial" w:hAnsi="Arial" w:cs="Arial" w:hint="default"/>
        <w:b/>
        <w:bCs/>
        <w:i w:val="0"/>
        <w:iCs w:val="0"/>
        <w:sz w:val="24"/>
        <w:szCs w:val="24"/>
      </w:rPr>
    </w:lvl>
    <w:lvl w:ilvl="3">
      <w:start w:val="1"/>
      <w:numFmt w:val="decimal"/>
      <w:pStyle w:val="Heading4"/>
      <w:lvlText w:val="%1.%2.%3.%4"/>
      <w:lvlJc w:val="left"/>
      <w:pPr>
        <w:tabs>
          <w:tab w:val="num" w:pos="720"/>
        </w:tabs>
        <w:ind w:left="72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86A0C24"/>
    <w:multiLevelType w:val="hybridMultilevel"/>
    <w:tmpl w:val="E466B5E8"/>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1" w15:restartNumberingAfterBreak="0">
    <w:nsid w:val="462075BD"/>
    <w:multiLevelType w:val="hybridMultilevel"/>
    <w:tmpl w:val="63F07B8C"/>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2" w15:restartNumberingAfterBreak="0">
    <w:nsid w:val="48EE1CDA"/>
    <w:multiLevelType w:val="hybridMultilevel"/>
    <w:tmpl w:val="391C303A"/>
    <w:lvl w:ilvl="0" w:tplc="DC401986">
      <w:start w:val="1"/>
      <w:numFmt w:val="bullet"/>
      <w:pStyle w:val="bullet2"/>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237EE5"/>
    <w:multiLevelType w:val="hybridMultilevel"/>
    <w:tmpl w:val="B76C5B5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2CF16A4"/>
    <w:multiLevelType w:val="hybridMultilevel"/>
    <w:tmpl w:val="51685DF6"/>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F77DF"/>
    <w:multiLevelType w:val="singleLevel"/>
    <w:tmpl w:val="201AF154"/>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16" w15:restartNumberingAfterBreak="0">
    <w:nsid w:val="604F71F6"/>
    <w:multiLevelType w:val="hybridMultilevel"/>
    <w:tmpl w:val="6A92C18E"/>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17" w15:restartNumberingAfterBreak="0">
    <w:nsid w:val="60BC4AFF"/>
    <w:multiLevelType w:val="hybridMultilevel"/>
    <w:tmpl w:val="96E2E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28F4E2A"/>
    <w:multiLevelType w:val="hybridMultilevel"/>
    <w:tmpl w:val="EEA27FB4"/>
    <w:lvl w:ilvl="0" w:tplc="F67A2680">
      <w:numFmt w:val="bullet"/>
      <w:lvlText w:val="-"/>
      <w:lvlJc w:val="left"/>
      <w:pPr>
        <w:tabs>
          <w:tab w:val="num" w:pos="720"/>
        </w:tabs>
        <w:ind w:left="720" w:hanging="360"/>
      </w:pPr>
      <w:rPr>
        <w:rFonts w:ascii="Arial" w:eastAsia="Times New Roman" w:hAnsi="Arial" w:cs="Aria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CCC25CF"/>
    <w:multiLevelType w:val="hybridMultilevel"/>
    <w:tmpl w:val="744621F8"/>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0" w15:restartNumberingAfterBreak="0">
    <w:nsid w:val="6ECC5FF8"/>
    <w:multiLevelType w:val="hybridMultilevel"/>
    <w:tmpl w:val="F932BAF0"/>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1" w15:restartNumberingAfterBreak="0">
    <w:nsid w:val="6F14274F"/>
    <w:multiLevelType w:val="hybridMultilevel"/>
    <w:tmpl w:val="9DECE432"/>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546ADD88">
      <w:start w:val="1"/>
      <w:numFmt w:val="bullet"/>
      <w:lvlText w:val=""/>
      <w:lvlJc w:val="left"/>
      <w:pPr>
        <w:tabs>
          <w:tab w:val="num" w:pos="1800"/>
        </w:tabs>
        <w:ind w:left="2160" w:hanging="360"/>
      </w:pPr>
      <w:rPr>
        <w:rFonts w:ascii="Symbol" w:hAnsi="Symbol" w:hint="default"/>
        <w:sz w:val="24"/>
        <w:szCs w:val="24"/>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BA5111"/>
    <w:multiLevelType w:val="hybridMultilevel"/>
    <w:tmpl w:val="DACC54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3014541"/>
    <w:multiLevelType w:val="hybridMultilevel"/>
    <w:tmpl w:val="2A5437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792E233A"/>
    <w:multiLevelType w:val="hybridMultilevel"/>
    <w:tmpl w:val="4B882F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CA9246D"/>
    <w:multiLevelType w:val="hybridMultilevel"/>
    <w:tmpl w:val="498E51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CFE6532"/>
    <w:multiLevelType w:val="hybridMultilevel"/>
    <w:tmpl w:val="E68AD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15"/>
  </w:num>
  <w:num w:numId="3">
    <w:abstractNumId w:val="14"/>
  </w:num>
  <w:num w:numId="4">
    <w:abstractNumId w:val="18"/>
  </w:num>
  <w:num w:numId="5">
    <w:abstractNumId w:val="10"/>
  </w:num>
  <w:num w:numId="6">
    <w:abstractNumId w:val="4"/>
  </w:num>
  <w:num w:numId="7">
    <w:abstractNumId w:val="6"/>
  </w:num>
  <w:num w:numId="8">
    <w:abstractNumId w:val="3"/>
  </w:num>
  <w:num w:numId="9">
    <w:abstractNumId w:val="11"/>
  </w:num>
  <w:num w:numId="10">
    <w:abstractNumId w:val="21"/>
  </w:num>
  <w:num w:numId="11">
    <w:abstractNumId w:val="20"/>
  </w:num>
  <w:num w:numId="12">
    <w:abstractNumId w:val="7"/>
  </w:num>
  <w:num w:numId="13">
    <w:abstractNumId w:val="12"/>
  </w:num>
  <w:num w:numId="14">
    <w:abstractNumId w:val="23"/>
  </w:num>
  <w:num w:numId="15">
    <w:abstractNumId w:val="0"/>
  </w:num>
  <w:num w:numId="16">
    <w:abstractNumId w:val="8"/>
  </w:num>
  <w:num w:numId="17">
    <w:abstractNumId w:val="25"/>
  </w:num>
  <w:num w:numId="18">
    <w:abstractNumId w:val="26"/>
  </w:num>
  <w:num w:numId="19">
    <w:abstractNumId w:val="5"/>
  </w:num>
  <w:num w:numId="20">
    <w:abstractNumId w:val="1"/>
  </w:num>
  <w:num w:numId="21">
    <w:abstractNumId w:val="13"/>
  </w:num>
  <w:num w:numId="22">
    <w:abstractNumId w:val="17"/>
  </w:num>
  <w:num w:numId="23">
    <w:abstractNumId w:val="2"/>
  </w:num>
  <w:num w:numId="24">
    <w:abstractNumId w:val="17"/>
  </w:num>
  <w:num w:numId="25">
    <w:abstractNumId w:val="2"/>
  </w:num>
  <w:num w:numId="26">
    <w:abstractNumId w:val="17"/>
  </w:num>
  <w:num w:numId="27">
    <w:abstractNumId w:val="22"/>
  </w:num>
  <w:num w:numId="28">
    <w:abstractNumId w:val="24"/>
  </w:num>
  <w:num w:numId="29">
    <w:abstractNumId w:val="1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ReportControlsVisible" w:val="Empty"/>
  </w:docVars>
  <w:rsids>
    <w:rsidRoot w:val="00A96400"/>
    <w:rsid w:val="00001E9E"/>
    <w:rsid w:val="0000545F"/>
    <w:rsid w:val="000060FD"/>
    <w:rsid w:val="000064F9"/>
    <w:rsid w:val="00010618"/>
    <w:rsid w:val="00010BDD"/>
    <w:rsid w:val="000114C7"/>
    <w:rsid w:val="00011E27"/>
    <w:rsid w:val="0001217E"/>
    <w:rsid w:val="00013A9E"/>
    <w:rsid w:val="0001443E"/>
    <w:rsid w:val="0001508C"/>
    <w:rsid w:val="000153E3"/>
    <w:rsid w:val="0001752F"/>
    <w:rsid w:val="00017D95"/>
    <w:rsid w:val="00020575"/>
    <w:rsid w:val="00020767"/>
    <w:rsid w:val="0002129C"/>
    <w:rsid w:val="00022EB7"/>
    <w:rsid w:val="0002357D"/>
    <w:rsid w:val="000240ED"/>
    <w:rsid w:val="0002432E"/>
    <w:rsid w:val="000261C9"/>
    <w:rsid w:val="00027470"/>
    <w:rsid w:val="000278A0"/>
    <w:rsid w:val="00031239"/>
    <w:rsid w:val="00032963"/>
    <w:rsid w:val="00032C31"/>
    <w:rsid w:val="00034630"/>
    <w:rsid w:val="00035A9F"/>
    <w:rsid w:val="00036993"/>
    <w:rsid w:val="00040A06"/>
    <w:rsid w:val="00042741"/>
    <w:rsid w:val="0004305A"/>
    <w:rsid w:val="000431A8"/>
    <w:rsid w:val="000432F2"/>
    <w:rsid w:val="00043DBE"/>
    <w:rsid w:val="0004402B"/>
    <w:rsid w:val="00044EAC"/>
    <w:rsid w:val="00045D1C"/>
    <w:rsid w:val="00047240"/>
    <w:rsid w:val="00050008"/>
    <w:rsid w:val="00050255"/>
    <w:rsid w:val="000505AC"/>
    <w:rsid w:val="000508A3"/>
    <w:rsid w:val="00050DC6"/>
    <w:rsid w:val="00052025"/>
    <w:rsid w:val="00053812"/>
    <w:rsid w:val="00056DD8"/>
    <w:rsid w:val="000576DB"/>
    <w:rsid w:val="0005799F"/>
    <w:rsid w:val="00062618"/>
    <w:rsid w:val="00062AD8"/>
    <w:rsid w:val="00062BCD"/>
    <w:rsid w:val="00064178"/>
    <w:rsid w:val="00064572"/>
    <w:rsid w:val="00064CA0"/>
    <w:rsid w:val="00065802"/>
    <w:rsid w:val="0006757A"/>
    <w:rsid w:val="00071A05"/>
    <w:rsid w:val="0007476C"/>
    <w:rsid w:val="00076C2C"/>
    <w:rsid w:val="000778B0"/>
    <w:rsid w:val="00077BC3"/>
    <w:rsid w:val="00081C79"/>
    <w:rsid w:val="00082951"/>
    <w:rsid w:val="00082F2F"/>
    <w:rsid w:val="00085016"/>
    <w:rsid w:val="00085327"/>
    <w:rsid w:val="00085D80"/>
    <w:rsid w:val="00086795"/>
    <w:rsid w:val="00087BE1"/>
    <w:rsid w:val="000905A7"/>
    <w:rsid w:val="000908E7"/>
    <w:rsid w:val="00091CB6"/>
    <w:rsid w:val="00093F96"/>
    <w:rsid w:val="00095481"/>
    <w:rsid w:val="00096321"/>
    <w:rsid w:val="00097FA9"/>
    <w:rsid w:val="000A2FA8"/>
    <w:rsid w:val="000A338B"/>
    <w:rsid w:val="000A4A10"/>
    <w:rsid w:val="000A4C83"/>
    <w:rsid w:val="000A5A32"/>
    <w:rsid w:val="000A5D76"/>
    <w:rsid w:val="000A5F57"/>
    <w:rsid w:val="000A6832"/>
    <w:rsid w:val="000A6C45"/>
    <w:rsid w:val="000B175C"/>
    <w:rsid w:val="000B235C"/>
    <w:rsid w:val="000B2918"/>
    <w:rsid w:val="000B3A57"/>
    <w:rsid w:val="000B5853"/>
    <w:rsid w:val="000B6432"/>
    <w:rsid w:val="000B6F8C"/>
    <w:rsid w:val="000B708C"/>
    <w:rsid w:val="000B72A8"/>
    <w:rsid w:val="000C3C7B"/>
    <w:rsid w:val="000C70E3"/>
    <w:rsid w:val="000D0673"/>
    <w:rsid w:val="000D0A32"/>
    <w:rsid w:val="000D20AE"/>
    <w:rsid w:val="000D2546"/>
    <w:rsid w:val="000D4F18"/>
    <w:rsid w:val="000D5564"/>
    <w:rsid w:val="000D62DE"/>
    <w:rsid w:val="000D67C4"/>
    <w:rsid w:val="000D768F"/>
    <w:rsid w:val="000D7921"/>
    <w:rsid w:val="000D7B5C"/>
    <w:rsid w:val="000E1050"/>
    <w:rsid w:val="000E167A"/>
    <w:rsid w:val="000E2A77"/>
    <w:rsid w:val="000E3291"/>
    <w:rsid w:val="000E4026"/>
    <w:rsid w:val="000E7A1C"/>
    <w:rsid w:val="000F0818"/>
    <w:rsid w:val="000F598E"/>
    <w:rsid w:val="000F6BE8"/>
    <w:rsid w:val="000F6EA5"/>
    <w:rsid w:val="000F7AEF"/>
    <w:rsid w:val="001008A2"/>
    <w:rsid w:val="00100EFA"/>
    <w:rsid w:val="001012F7"/>
    <w:rsid w:val="00101CE3"/>
    <w:rsid w:val="00104EEF"/>
    <w:rsid w:val="00104FAD"/>
    <w:rsid w:val="0010517D"/>
    <w:rsid w:val="00105ABA"/>
    <w:rsid w:val="00105EE6"/>
    <w:rsid w:val="001112A3"/>
    <w:rsid w:val="00111C42"/>
    <w:rsid w:val="0011314D"/>
    <w:rsid w:val="001147B8"/>
    <w:rsid w:val="001229D4"/>
    <w:rsid w:val="0012301F"/>
    <w:rsid w:val="0012310D"/>
    <w:rsid w:val="0012477D"/>
    <w:rsid w:val="00124798"/>
    <w:rsid w:val="00126747"/>
    <w:rsid w:val="00127548"/>
    <w:rsid w:val="00127945"/>
    <w:rsid w:val="001309ED"/>
    <w:rsid w:val="00131CE5"/>
    <w:rsid w:val="001320A3"/>
    <w:rsid w:val="001326AE"/>
    <w:rsid w:val="00133C98"/>
    <w:rsid w:val="001349C9"/>
    <w:rsid w:val="001358B2"/>
    <w:rsid w:val="00136886"/>
    <w:rsid w:val="00136E13"/>
    <w:rsid w:val="00136F2E"/>
    <w:rsid w:val="00137EAB"/>
    <w:rsid w:val="00141681"/>
    <w:rsid w:val="0014275B"/>
    <w:rsid w:val="00142D33"/>
    <w:rsid w:val="00144E2C"/>
    <w:rsid w:val="00145EA3"/>
    <w:rsid w:val="00147742"/>
    <w:rsid w:val="0015018C"/>
    <w:rsid w:val="001508C5"/>
    <w:rsid w:val="001513AC"/>
    <w:rsid w:val="00151519"/>
    <w:rsid w:val="00153979"/>
    <w:rsid w:val="00154056"/>
    <w:rsid w:val="00155B4C"/>
    <w:rsid w:val="001563AD"/>
    <w:rsid w:val="00157618"/>
    <w:rsid w:val="00157FE5"/>
    <w:rsid w:val="001601D0"/>
    <w:rsid w:val="001606C1"/>
    <w:rsid w:val="001606F5"/>
    <w:rsid w:val="00162FF4"/>
    <w:rsid w:val="00163AAC"/>
    <w:rsid w:val="001646FC"/>
    <w:rsid w:val="0016644E"/>
    <w:rsid w:val="001704AB"/>
    <w:rsid w:val="00173B36"/>
    <w:rsid w:val="00173C7A"/>
    <w:rsid w:val="001742FD"/>
    <w:rsid w:val="001766BE"/>
    <w:rsid w:val="00180617"/>
    <w:rsid w:val="00182B33"/>
    <w:rsid w:val="001834F9"/>
    <w:rsid w:val="0018606D"/>
    <w:rsid w:val="00187E49"/>
    <w:rsid w:val="00193241"/>
    <w:rsid w:val="00194C9D"/>
    <w:rsid w:val="0019604B"/>
    <w:rsid w:val="001962CF"/>
    <w:rsid w:val="00197C97"/>
    <w:rsid w:val="00197CE9"/>
    <w:rsid w:val="001A0CEC"/>
    <w:rsid w:val="001A0DCC"/>
    <w:rsid w:val="001A17ED"/>
    <w:rsid w:val="001A1CDF"/>
    <w:rsid w:val="001A3ED3"/>
    <w:rsid w:val="001A565D"/>
    <w:rsid w:val="001A5A1D"/>
    <w:rsid w:val="001A6916"/>
    <w:rsid w:val="001B1D03"/>
    <w:rsid w:val="001B7696"/>
    <w:rsid w:val="001C0021"/>
    <w:rsid w:val="001C014C"/>
    <w:rsid w:val="001C04DE"/>
    <w:rsid w:val="001C0BD6"/>
    <w:rsid w:val="001C268A"/>
    <w:rsid w:val="001C2C23"/>
    <w:rsid w:val="001C3C67"/>
    <w:rsid w:val="001C3F41"/>
    <w:rsid w:val="001C51D7"/>
    <w:rsid w:val="001C5507"/>
    <w:rsid w:val="001C5C8E"/>
    <w:rsid w:val="001C7D99"/>
    <w:rsid w:val="001D1232"/>
    <w:rsid w:val="001D1C73"/>
    <w:rsid w:val="001D3645"/>
    <w:rsid w:val="001D509B"/>
    <w:rsid w:val="001D5696"/>
    <w:rsid w:val="001D661C"/>
    <w:rsid w:val="001D6C41"/>
    <w:rsid w:val="001D73EA"/>
    <w:rsid w:val="001E11DB"/>
    <w:rsid w:val="001E127A"/>
    <w:rsid w:val="001E1E6B"/>
    <w:rsid w:val="001E1E97"/>
    <w:rsid w:val="001E23C0"/>
    <w:rsid w:val="001E2ED1"/>
    <w:rsid w:val="001E3096"/>
    <w:rsid w:val="001E35F1"/>
    <w:rsid w:val="001E7BF1"/>
    <w:rsid w:val="001F2411"/>
    <w:rsid w:val="001F3971"/>
    <w:rsid w:val="001F429D"/>
    <w:rsid w:val="001F4D9C"/>
    <w:rsid w:val="001F551D"/>
    <w:rsid w:val="001F5DD8"/>
    <w:rsid w:val="001F6902"/>
    <w:rsid w:val="001F7141"/>
    <w:rsid w:val="001F784B"/>
    <w:rsid w:val="001F7B89"/>
    <w:rsid w:val="0020005D"/>
    <w:rsid w:val="002010EE"/>
    <w:rsid w:val="00202B04"/>
    <w:rsid w:val="002034C3"/>
    <w:rsid w:val="00204322"/>
    <w:rsid w:val="0020489B"/>
    <w:rsid w:val="00206C24"/>
    <w:rsid w:val="00212464"/>
    <w:rsid w:val="00214208"/>
    <w:rsid w:val="00214627"/>
    <w:rsid w:val="00214F40"/>
    <w:rsid w:val="0021538A"/>
    <w:rsid w:val="00215B3E"/>
    <w:rsid w:val="00216EB0"/>
    <w:rsid w:val="0021726E"/>
    <w:rsid w:val="00220705"/>
    <w:rsid w:val="00220F2B"/>
    <w:rsid w:val="00221570"/>
    <w:rsid w:val="0022463C"/>
    <w:rsid w:val="002251A9"/>
    <w:rsid w:val="00225C03"/>
    <w:rsid w:val="00225D52"/>
    <w:rsid w:val="00226FAD"/>
    <w:rsid w:val="002319ED"/>
    <w:rsid w:val="00232F6D"/>
    <w:rsid w:val="00234458"/>
    <w:rsid w:val="00234F27"/>
    <w:rsid w:val="00235107"/>
    <w:rsid w:val="00235144"/>
    <w:rsid w:val="00236EEE"/>
    <w:rsid w:val="00237DE9"/>
    <w:rsid w:val="0024133D"/>
    <w:rsid w:val="00241631"/>
    <w:rsid w:val="002430E5"/>
    <w:rsid w:val="00243419"/>
    <w:rsid w:val="00246111"/>
    <w:rsid w:val="0024706B"/>
    <w:rsid w:val="00251808"/>
    <w:rsid w:val="00251AE5"/>
    <w:rsid w:val="00251E46"/>
    <w:rsid w:val="00252020"/>
    <w:rsid w:val="00252538"/>
    <w:rsid w:val="002535AF"/>
    <w:rsid w:val="00253DFF"/>
    <w:rsid w:val="002542B8"/>
    <w:rsid w:val="002547B0"/>
    <w:rsid w:val="00254B12"/>
    <w:rsid w:val="00256525"/>
    <w:rsid w:val="0025701B"/>
    <w:rsid w:val="0025702A"/>
    <w:rsid w:val="002602E5"/>
    <w:rsid w:val="00263F64"/>
    <w:rsid w:val="00265B73"/>
    <w:rsid w:val="0026724E"/>
    <w:rsid w:val="00270689"/>
    <w:rsid w:val="002721B1"/>
    <w:rsid w:val="002723C8"/>
    <w:rsid w:val="002726A9"/>
    <w:rsid w:val="00273005"/>
    <w:rsid w:val="00273FC6"/>
    <w:rsid w:val="00274482"/>
    <w:rsid w:val="00274A70"/>
    <w:rsid w:val="00274ACD"/>
    <w:rsid w:val="00274E03"/>
    <w:rsid w:val="00274ED2"/>
    <w:rsid w:val="002750EA"/>
    <w:rsid w:val="002766CD"/>
    <w:rsid w:val="002772ED"/>
    <w:rsid w:val="00282F1E"/>
    <w:rsid w:val="0028310E"/>
    <w:rsid w:val="00284E40"/>
    <w:rsid w:val="0028528D"/>
    <w:rsid w:val="002859A0"/>
    <w:rsid w:val="002862DB"/>
    <w:rsid w:val="00286D1F"/>
    <w:rsid w:val="00286E51"/>
    <w:rsid w:val="002872B6"/>
    <w:rsid w:val="00290420"/>
    <w:rsid w:val="00290C30"/>
    <w:rsid w:val="00290E28"/>
    <w:rsid w:val="00291ED3"/>
    <w:rsid w:val="00293263"/>
    <w:rsid w:val="002932CB"/>
    <w:rsid w:val="0029390F"/>
    <w:rsid w:val="00293B51"/>
    <w:rsid w:val="00294B84"/>
    <w:rsid w:val="00297FE1"/>
    <w:rsid w:val="002A06ED"/>
    <w:rsid w:val="002A13B3"/>
    <w:rsid w:val="002A280D"/>
    <w:rsid w:val="002A3F83"/>
    <w:rsid w:val="002A44D9"/>
    <w:rsid w:val="002A4B5E"/>
    <w:rsid w:val="002A5E59"/>
    <w:rsid w:val="002A7A1B"/>
    <w:rsid w:val="002B12B3"/>
    <w:rsid w:val="002B185E"/>
    <w:rsid w:val="002B21C3"/>
    <w:rsid w:val="002B35F7"/>
    <w:rsid w:val="002B5A23"/>
    <w:rsid w:val="002B5E2D"/>
    <w:rsid w:val="002B5F47"/>
    <w:rsid w:val="002B75B7"/>
    <w:rsid w:val="002B7FE9"/>
    <w:rsid w:val="002C03AA"/>
    <w:rsid w:val="002C04A2"/>
    <w:rsid w:val="002C1977"/>
    <w:rsid w:val="002C221C"/>
    <w:rsid w:val="002C3B22"/>
    <w:rsid w:val="002C542A"/>
    <w:rsid w:val="002C64EB"/>
    <w:rsid w:val="002D08F6"/>
    <w:rsid w:val="002D53C3"/>
    <w:rsid w:val="002D663B"/>
    <w:rsid w:val="002E031A"/>
    <w:rsid w:val="002E05C2"/>
    <w:rsid w:val="002E26F5"/>
    <w:rsid w:val="002E2875"/>
    <w:rsid w:val="002E3BB3"/>
    <w:rsid w:val="002E5287"/>
    <w:rsid w:val="002E63B6"/>
    <w:rsid w:val="002E647A"/>
    <w:rsid w:val="002E70BA"/>
    <w:rsid w:val="002F0DB1"/>
    <w:rsid w:val="002F134E"/>
    <w:rsid w:val="002F18C8"/>
    <w:rsid w:val="002F22E1"/>
    <w:rsid w:val="002F260F"/>
    <w:rsid w:val="002F2AEB"/>
    <w:rsid w:val="002F31BC"/>
    <w:rsid w:val="002F3285"/>
    <w:rsid w:val="002F3CDD"/>
    <w:rsid w:val="002F5416"/>
    <w:rsid w:val="002F553D"/>
    <w:rsid w:val="002F596C"/>
    <w:rsid w:val="002F59C4"/>
    <w:rsid w:val="002F621B"/>
    <w:rsid w:val="002F68A1"/>
    <w:rsid w:val="002F799E"/>
    <w:rsid w:val="002F7CE7"/>
    <w:rsid w:val="003006D7"/>
    <w:rsid w:val="00301117"/>
    <w:rsid w:val="00302A2C"/>
    <w:rsid w:val="00302A96"/>
    <w:rsid w:val="0030343E"/>
    <w:rsid w:val="00303C28"/>
    <w:rsid w:val="00304C04"/>
    <w:rsid w:val="00304EA8"/>
    <w:rsid w:val="0030662A"/>
    <w:rsid w:val="00310303"/>
    <w:rsid w:val="0031255D"/>
    <w:rsid w:val="00312867"/>
    <w:rsid w:val="003132D7"/>
    <w:rsid w:val="00314551"/>
    <w:rsid w:val="003154FA"/>
    <w:rsid w:val="00315F36"/>
    <w:rsid w:val="003168D3"/>
    <w:rsid w:val="00316FE7"/>
    <w:rsid w:val="003172EE"/>
    <w:rsid w:val="003201C5"/>
    <w:rsid w:val="00323A63"/>
    <w:rsid w:val="00323C2C"/>
    <w:rsid w:val="00324C67"/>
    <w:rsid w:val="003251BA"/>
    <w:rsid w:val="003257CC"/>
    <w:rsid w:val="003262FE"/>
    <w:rsid w:val="003263B9"/>
    <w:rsid w:val="00330393"/>
    <w:rsid w:val="0033051C"/>
    <w:rsid w:val="00330722"/>
    <w:rsid w:val="003312BF"/>
    <w:rsid w:val="003312CB"/>
    <w:rsid w:val="0033334B"/>
    <w:rsid w:val="00335786"/>
    <w:rsid w:val="00337BCE"/>
    <w:rsid w:val="00343188"/>
    <w:rsid w:val="00343336"/>
    <w:rsid w:val="00343BEC"/>
    <w:rsid w:val="00344D86"/>
    <w:rsid w:val="00345CB9"/>
    <w:rsid w:val="00345E86"/>
    <w:rsid w:val="00346836"/>
    <w:rsid w:val="00352A71"/>
    <w:rsid w:val="0035413D"/>
    <w:rsid w:val="00354360"/>
    <w:rsid w:val="00354568"/>
    <w:rsid w:val="00354670"/>
    <w:rsid w:val="00355363"/>
    <w:rsid w:val="00355782"/>
    <w:rsid w:val="003566D0"/>
    <w:rsid w:val="00357DB9"/>
    <w:rsid w:val="00360B20"/>
    <w:rsid w:val="00360CF8"/>
    <w:rsid w:val="00360F33"/>
    <w:rsid w:val="003610F4"/>
    <w:rsid w:val="00363831"/>
    <w:rsid w:val="00363A93"/>
    <w:rsid w:val="00364386"/>
    <w:rsid w:val="00365002"/>
    <w:rsid w:val="00365E1A"/>
    <w:rsid w:val="00365F3E"/>
    <w:rsid w:val="003663A4"/>
    <w:rsid w:val="003663B2"/>
    <w:rsid w:val="00366A19"/>
    <w:rsid w:val="003704E2"/>
    <w:rsid w:val="0037052A"/>
    <w:rsid w:val="003709F3"/>
    <w:rsid w:val="00370D08"/>
    <w:rsid w:val="00371983"/>
    <w:rsid w:val="003719A7"/>
    <w:rsid w:val="0037264B"/>
    <w:rsid w:val="00372CCA"/>
    <w:rsid w:val="00373B71"/>
    <w:rsid w:val="003740C5"/>
    <w:rsid w:val="00375CCB"/>
    <w:rsid w:val="00377056"/>
    <w:rsid w:val="00377182"/>
    <w:rsid w:val="00382149"/>
    <w:rsid w:val="00382717"/>
    <w:rsid w:val="0038279F"/>
    <w:rsid w:val="003831CF"/>
    <w:rsid w:val="0038415E"/>
    <w:rsid w:val="00386B4D"/>
    <w:rsid w:val="00390268"/>
    <w:rsid w:val="003916D6"/>
    <w:rsid w:val="00391D3D"/>
    <w:rsid w:val="003937FF"/>
    <w:rsid w:val="00395B78"/>
    <w:rsid w:val="003A0D4C"/>
    <w:rsid w:val="003A1FC1"/>
    <w:rsid w:val="003A243A"/>
    <w:rsid w:val="003A3708"/>
    <w:rsid w:val="003A64CF"/>
    <w:rsid w:val="003A7D44"/>
    <w:rsid w:val="003B2E3B"/>
    <w:rsid w:val="003B2ED5"/>
    <w:rsid w:val="003B4A93"/>
    <w:rsid w:val="003B5856"/>
    <w:rsid w:val="003B61B6"/>
    <w:rsid w:val="003B7F6B"/>
    <w:rsid w:val="003C11D1"/>
    <w:rsid w:val="003C15DA"/>
    <w:rsid w:val="003C1D78"/>
    <w:rsid w:val="003C3A45"/>
    <w:rsid w:val="003C4912"/>
    <w:rsid w:val="003C5ECE"/>
    <w:rsid w:val="003C6268"/>
    <w:rsid w:val="003C64B8"/>
    <w:rsid w:val="003C6EE1"/>
    <w:rsid w:val="003C7111"/>
    <w:rsid w:val="003D0751"/>
    <w:rsid w:val="003D0871"/>
    <w:rsid w:val="003D25BA"/>
    <w:rsid w:val="003D2CE9"/>
    <w:rsid w:val="003D3226"/>
    <w:rsid w:val="003D5B44"/>
    <w:rsid w:val="003D74CE"/>
    <w:rsid w:val="003D7B70"/>
    <w:rsid w:val="003E0065"/>
    <w:rsid w:val="003E22A4"/>
    <w:rsid w:val="003E3976"/>
    <w:rsid w:val="003E4756"/>
    <w:rsid w:val="003E5657"/>
    <w:rsid w:val="003E6738"/>
    <w:rsid w:val="003E68B3"/>
    <w:rsid w:val="003F0D8F"/>
    <w:rsid w:val="003F355D"/>
    <w:rsid w:val="003F4877"/>
    <w:rsid w:val="003F4A9B"/>
    <w:rsid w:val="004009B6"/>
    <w:rsid w:val="00403B13"/>
    <w:rsid w:val="004056CD"/>
    <w:rsid w:val="00405F26"/>
    <w:rsid w:val="00406116"/>
    <w:rsid w:val="00406529"/>
    <w:rsid w:val="004069C4"/>
    <w:rsid w:val="004070F9"/>
    <w:rsid w:val="00407A31"/>
    <w:rsid w:val="00407C6C"/>
    <w:rsid w:val="00407E75"/>
    <w:rsid w:val="004123CF"/>
    <w:rsid w:val="00412E15"/>
    <w:rsid w:val="00412EA8"/>
    <w:rsid w:val="00413F6D"/>
    <w:rsid w:val="004151FF"/>
    <w:rsid w:val="00415AB7"/>
    <w:rsid w:val="004166C8"/>
    <w:rsid w:val="00417D1A"/>
    <w:rsid w:val="0042005D"/>
    <w:rsid w:val="004216ED"/>
    <w:rsid w:val="00423037"/>
    <w:rsid w:val="00423305"/>
    <w:rsid w:val="00423519"/>
    <w:rsid w:val="00424144"/>
    <w:rsid w:val="004246BE"/>
    <w:rsid w:val="004250EF"/>
    <w:rsid w:val="00426FAD"/>
    <w:rsid w:val="004275CF"/>
    <w:rsid w:val="00427AA2"/>
    <w:rsid w:val="00430D60"/>
    <w:rsid w:val="0043132B"/>
    <w:rsid w:val="0043291E"/>
    <w:rsid w:val="00432BEE"/>
    <w:rsid w:val="004336CC"/>
    <w:rsid w:val="00433AAB"/>
    <w:rsid w:val="0043426A"/>
    <w:rsid w:val="004345A3"/>
    <w:rsid w:val="00434CE6"/>
    <w:rsid w:val="00434EFA"/>
    <w:rsid w:val="00435967"/>
    <w:rsid w:val="004361D3"/>
    <w:rsid w:val="0043682A"/>
    <w:rsid w:val="004369D7"/>
    <w:rsid w:val="0043717C"/>
    <w:rsid w:val="00440687"/>
    <w:rsid w:val="00440E18"/>
    <w:rsid w:val="00442224"/>
    <w:rsid w:val="00443A15"/>
    <w:rsid w:val="00445B1F"/>
    <w:rsid w:val="004463CD"/>
    <w:rsid w:val="00446A1A"/>
    <w:rsid w:val="00447339"/>
    <w:rsid w:val="004500AE"/>
    <w:rsid w:val="00450FB8"/>
    <w:rsid w:val="00451B4A"/>
    <w:rsid w:val="00451F1D"/>
    <w:rsid w:val="00452237"/>
    <w:rsid w:val="00452B0E"/>
    <w:rsid w:val="00453585"/>
    <w:rsid w:val="0045494C"/>
    <w:rsid w:val="00455430"/>
    <w:rsid w:val="00455C1A"/>
    <w:rsid w:val="00460CF2"/>
    <w:rsid w:val="0046535E"/>
    <w:rsid w:val="004713F3"/>
    <w:rsid w:val="0047211B"/>
    <w:rsid w:val="00473B0E"/>
    <w:rsid w:val="00474721"/>
    <w:rsid w:val="004769A0"/>
    <w:rsid w:val="00476C99"/>
    <w:rsid w:val="00477D78"/>
    <w:rsid w:val="004806B2"/>
    <w:rsid w:val="00480ED6"/>
    <w:rsid w:val="0048263A"/>
    <w:rsid w:val="00482F4B"/>
    <w:rsid w:val="00483CF6"/>
    <w:rsid w:val="00486731"/>
    <w:rsid w:val="00487B4B"/>
    <w:rsid w:val="00487BA2"/>
    <w:rsid w:val="00487E4F"/>
    <w:rsid w:val="004905E4"/>
    <w:rsid w:val="004927A5"/>
    <w:rsid w:val="00492BDC"/>
    <w:rsid w:val="00496A4C"/>
    <w:rsid w:val="00496F34"/>
    <w:rsid w:val="004A2B50"/>
    <w:rsid w:val="004A3127"/>
    <w:rsid w:val="004A3718"/>
    <w:rsid w:val="004A3A9A"/>
    <w:rsid w:val="004A3BE8"/>
    <w:rsid w:val="004A3D21"/>
    <w:rsid w:val="004A581B"/>
    <w:rsid w:val="004A5DF6"/>
    <w:rsid w:val="004A61E6"/>
    <w:rsid w:val="004A63ED"/>
    <w:rsid w:val="004A668A"/>
    <w:rsid w:val="004A6857"/>
    <w:rsid w:val="004A78E1"/>
    <w:rsid w:val="004B085C"/>
    <w:rsid w:val="004B0CF2"/>
    <w:rsid w:val="004B1113"/>
    <w:rsid w:val="004B1455"/>
    <w:rsid w:val="004B22E0"/>
    <w:rsid w:val="004B30FD"/>
    <w:rsid w:val="004B3D1A"/>
    <w:rsid w:val="004B53F5"/>
    <w:rsid w:val="004B6483"/>
    <w:rsid w:val="004B7B6F"/>
    <w:rsid w:val="004C0B5F"/>
    <w:rsid w:val="004C10E4"/>
    <w:rsid w:val="004C1BF1"/>
    <w:rsid w:val="004C1E04"/>
    <w:rsid w:val="004C3983"/>
    <w:rsid w:val="004C3A32"/>
    <w:rsid w:val="004C5633"/>
    <w:rsid w:val="004D1736"/>
    <w:rsid w:val="004D2041"/>
    <w:rsid w:val="004D35B7"/>
    <w:rsid w:val="004D3AFF"/>
    <w:rsid w:val="004D7577"/>
    <w:rsid w:val="004E042F"/>
    <w:rsid w:val="004E17DA"/>
    <w:rsid w:val="004E254B"/>
    <w:rsid w:val="004E34A2"/>
    <w:rsid w:val="004E3755"/>
    <w:rsid w:val="004E37EA"/>
    <w:rsid w:val="004E4630"/>
    <w:rsid w:val="004E4BFE"/>
    <w:rsid w:val="004E6B81"/>
    <w:rsid w:val="004F0E53"/>
    <w:rsid w:val="004F19F4"/>
    <w:rsid w:val="004F5235"/>
    <w:rsid w:val="004F73FC"/>
    <w:rsid w:val="00500384"/>
    <w:rsid w:val="005006F6"/>
    <w:rsid w:val="00500A5B"/>
    <w:rsid w:val="00500AE6"/>
    <w:rsid w:val="00502901"/>
    <w:rsid w:val="00502A52"/>
    <w:rsid w:val="00503533"/>
    <w:rsid w:val="00506342"/>
    <w:rsid w:val="005072A6"/>
    <w:rsid w:val="00507ACF"/>
    <w:rsid w:val="00510A30"/>
    <w:rsid w:val="00510B14"/>
    <w:rsid w:val="005127BB"/>
    <w:rsid w:val="00512F27"/>
    <w:rsid w:val="00513469"/>
    <w:rsid w:val="00515A00"/>
    <w:rsid w:val="00515FAC"/>
    <w:rsid w:val="0051669E"/>
    <w:rsid w:val="00516D70"/>
    <w:rsid w:val="005178BA"/>
    <w:rsid w:val="00520245"/>
    <w:rsid w:val="00520704"/>
    <w:rsid w:val="00521277"/>
    <w:rsid w:val="0052179A"/>
    <w:rsid w:val="00521C47"/>
    <w:rsid w:val="005234C8"/>
    <w:rsid w:val="005260CE"/>
    <w:rsid w:val="00526B3F"/>
    <w:rsid w:val="00527907"/>
    <w:rsid w:val="005279FB"/>
    <w:rsid w:val="0053254E"/>
    <w:rsid w:val="005329B8"/>
    <w:rsid w:val="00532CE8"/>
    <w:rsid w:val="00532DED"/>
    <w:rsid w:val="00533BB9"/>
    <w:rsid w:val="0053481F"/>
    <w:rsid w:val="005348CC"/>
    <w:rsid w:val="0053745E"/>
    <w:rsid w:val="00537988"/>
    <w:rsid w:val="00537DFB"/>
    <w:rsid w:val="00540E97"/>
    <w:rsid w:val="00540E9D"/>
    <w:rsid w:val="00540F96"/>
    <w:rsid w:val="00541396"/>
    <w:rsid w:val="005417D3"/>
    <w:rsid w:val="005428CC"/>
    <w:rsid w:val="00542BA5"/>
    <w:rsid w:val="005457F2"/>
    <w:rsid w:val="005458E0"/>
    <w:rsid w:val="00545B0A"/>
    <w:rsid w:val="0054750E"/>
    <w:rsid w:val="0055177F"/>
    <w:rsid w:val="00551B41"/>
    <w:rsid w:val="00552061"/>
    <w:rsid w:val="00552CC1"/>
    <w:rsid w:val="00554A0E"/>
    <w:rsid w:val="00554D89"/>
    <w:rsid w:val="00555A54"/>
    <w:rsid w:val="00555FDA"/>
    <w:rsid w:val="00557154"/>
    <w:rsid w:val="005601C0"/>
    <w:rsid w:val="00561013"/>
    <w:rsid w:val="005624F9"/>
    <w:rsid w:val="005634E2"/>
    <w:rsid w:val="0056400A"/>
    <w:rsid w:val="0056406C"/>
    <w:rsid w:val="00564495"/>
    <w:rsid w:val="00565C8F"/>
    <w:rsid w:val="00566B31"/>
    <w:rsid w:val="00566D23"/>
    <w:rsid w:val="00567033"/>
    <w:rsid w:val="00570638"/>
    <w:rsid w:val="005718B0"/>
    <w:rsid w:val="0057231F"/>
    <w:rsid w:val="005727F3"/>
    <w:rsid w:val="00575573"/>
    <w:rsid w:val="005757ED"/>
    <w:rsid w:val="005764EB"/>
    <w:rsid w:val="00576940"/>
    <w:rsid w:val="00581AA4"/>
    <w:rsid w:val="00581EEA"/>
    <w:rsid w:val="00582380"/>
    <w:rsid w:val="00583C9C"/>
    <w:rsid w:val="00584B59"/>
    <w:rsid w:val="00585C3E"/>
    <w:rsid w:val="005861A4"/>
    <w:rsid w:val="00586CEA"/>
    <w:rsid w:val="00590DA1"/>
    <w:rsid w:val="00591461"/>
    <w:rsid w:val="0059146A"/>
    <w:rsid w:val="00591C84"/>
    <w:rsid w:val="00592F99"/>
    <w:rsid w:val="00594302"/>
    <w:rsid w:val="00595E51"/>
    <w:rsid w:val="005A2469"/>
    <w:rsid w:val="005A254B"/>
    <w:rsid w:val="005A2D20"/>
    <w:rsid w:val="005A5F4E"/>
    <w:rsid w:val="005A62B0"/>
    <w:rsid w:val="005A7009"/>
    <w:rsid w:val="005A783B"/>
    <w:rsid w:val="005B1EFC"/>
    <w:rsid w:val="005B202E"/>
    <w:rsid w:val="005B5548"/>
    <w:rsid w:val="005B63BE"/>
    <w:rsid w:val="005B7BD8"/>
    <w:rsid w:val="005C0437"/>
    <w:rsid w:val="005C0D7C"/>
    <w:rsid w:val="005C16AC"/>
    <w:rsid w:val="005C3C43"/>
    <w:rsid w:val="005C44CE"/>
    <w:rsid w:val="005C4A8D"/>
    <w:rsid w:val="005C6AA5"/>
    <w:rsid w:val="005D24A6"/>
    <w:rsid w:val="005D5EAB"/>
    <w:rsid w:val="005E067A"/>
    <w:rsid w:val="005E3010"/>
    <w:rsid w:val="005E32CC"/>
    <w:rsid w:val="005E3BD8"/>
    <w:rsid w:val="005E3D26"/>
    <w:rsid w:val="005E41B6"/>
    <w:rsid w:val="005E671D"/>
    <w:rsid w:val="005E72EE"/>
    <w:rsid w:val="005F06E9"/>
    <w:rsid w:val="005F1D80"/>
    <w:rsid w:val="005F1F87"/>
    <w:rsid w:val="005F387C"/>
    <w:rsid w:val="005F436A"/>
    <w:rsid w:val="005F4CF1"/>
    <w:rsid w:val="005F66FF"/>
    <w:rsid w:val="005F7CAD"/>
    <w:rsid w:val="00600012"/>
    <w:rsid w:val="006000F4"/>
    <w:rsid w:val="00601413"/>
    <w:rsid w:val="00601F8A"/>
    <w:rsid w:val="00602490"/>
    <w:rsid w:val="00602C7A"/>
    <w:rsid w:val="006037B7"/>
    <w:rsid w:val="00604709"/>
    <w:rsid w:val="00610F42"/>
    <w:rsid w:val="0061246B"/>
    <w:rsid w:val="0061278E"/>
    <w:rsid w:val="00612A7B"/>
    <w:rsid w:val="006133F9"/>
    <w:rsid w:val="006134DB"/>
    <w:rsid w:val="00613801"/>
    <w:rsid w:val="00614ED2"/>
    <w:rsid w:val="006155FF"/>
    <w:rsid w:val="00615B49"/>
    <w:rsid w:val="006165D0"/>
    <w:rsid w:val="00616712"/>
    <w:rsid w:val="00617E2A"/>
    <w:rsid w:val="0062209B"/>
    <w:rsid w:val="00623695"/>
    <w:rsid w:val="00624035"/>
    <w:rsid w:val="00625B53"/>
    <w:rsid w:val="006262AE"/>
    <w:rsid w:val="00626590"/>
    <w:rsid w:val="00626A98"/>
    <w:rsid w:val="00627E27"/>
    <w:rsid w:val="00630C29"/>
    <w:rsid w:val="006315D8"/>
    <w:rsid w:val="00631748"/>
    <w:rsid w:val="00631CEE"/>
    <w:rsid w:val="00634E52"/>
    <w:rsid w:val="00635EB5"/>
    <w:rsid w:val="00636030"/>
    <w:rsid w:val="0063603D"/>
    <w:rsid w:val="006366B6"/>
    <w:rsid w:val="00636D89"/>
    <w:rsid w:val="0063722D"/>
    <w:rsid w:val="00640442"/>
    <w:rsid w:val="006424B6"/>
    <w:rsid w:val="006430A7"/>
    <w:rsid w:val="006439B3"/>
    <w:rsid w:val="00644572"/>
    <w:rsid w:val="00645E91"/>
    <w:rsid w:val="00650F09"/>
    <w:rsid w:val="006528A7"/>
    <w:rsid w:val="00652C66"/>
    <w:rsid w:val="00652E34"/>
    <w:rsid w:val="00653AC8"/>
    <w:rsid w:val="006554D0"/>
    <w:rsid w:val="0065599C"/>
    <w:rsid w:val="00655F7E"/>
    <w:rsid w:val="00661558"/>
    <w:rsid w:val="0066245F"/>
    <w:rsid w:val="006625C9"/>
    <w:rsid w:val="00662C7F"/>
    <w:rsid w:val="0066547C"/>
    <w:rsid w:val="006660AF"/>
    <w:rsid w:val="00666E46"/>
    <w:rsid w:val="00671FAB"/>
    <w:rsid w:val="00672D03"/>
    <w:rsid w:val="00674057"/>
    <w:rsid w:val="006743CD"/>
    <w:rsid w:val="006769C6"/>
    <w:rsid w:val="00676B2B"/>
    <w:rsid w:val="00680944"/>
    <w:rsid w:val="00681D55"/>
    <w:rsid w:val="00681EF6"/>
    <w:rsid w:val="00685010"/>
    <w:rsid w:val="0068531E"/>
    <w:rsid w:val="0069083D"/>
    <w:rsid w:val="00690CF5"/>
    <w:rsid w:val="00690D49"/>
    <w:rsid w:val="0069183E"/>
    <w:rsid w:val="00693155"/>
    <w:rsid w:val="0069335B"/>
    <w:rsid w:val="00695519"/>
    <w:rsid w:val="00695890"/>
    <w:rsid w:val="0069687A"/>
    <w:rsid w:val="00696A5B"/>
    <w:rsid w:val="006A357C"/>
    <w:rsid w:val="006A4619"/>
    <w:rsid w:val="006A607A"/>
    <w:rsid w:val="006A612B"/>
    <w:rsid w:val="006A6F7D"/>
    <w:rsid w:val="006A7964"/>
    <w:rsid w:val="006B02A2"/>
    <w:rsid w:val="006B1F64"/>
    <w:rsid w:val="006B3096"/>
    <w:rsid w:val="006B32D9"/>
    <w:rsid w:val="006B3AAC"/>
    <w:rsid w:val="006B3DDD"/>
    <w:rsid w:val="006B6BED"/>
    <w:rsid w:val="006B7EB0"/>
    <w:rsid w:val="006C0433"/>
    <w:rsid w:val="006C04B7"/>
    <w:rsid w:val="006C3F7A"/>
    <w:rsid w:val="006C76E0"/>
    <w:rsid w:val="006C7A2D"/>
    <w:rsid w:val="006D3727"/>
    <w:rsid w:val="006D3A72"/>
    <w:rsid w:val="006D53F3"/>
    <w:rsid w:val="006D5538"/>
    <w:rsid w:val="006D78E3"/>
    <w:rsid w:val="006E0308"/>
    <w:rsid w:val="006E03CC"/>
    <w:rsid w:val="006E171A"/>
    <w:rsid w:val="006E2D71"/>
    <w:rsid w:val="006E48B4"/>
    <w:rsid w:val="006E49A6"/>
    <w:rsid w:val="006E6C0C"/>
    <w:rsid w:val="006E7158"/>
    <w:rsid w:val="006E774B"/>
    <w:rsid w:val="006F104F"/>
    <w:rsid w:val="006F132A"/>
    <w:rsid w:val="006F1D81"/>
    <w:rsid w:val="006F3EB5"/>
    <w:rsid w:val="006F4DE8"/>
    <w:rsid w:val="006F56CD"/>
    <w:rsid w:val="006F5B51"/>
    <w:rsid w:val="006F619F"/>
    <w:rsid w:val="006F649E"/>
    <w:rsid w:val="006F70AA"/>
    <w:rsid w:val="00700A9E"/>
    <w:rsid w:val="00700BAD"/>
    <w:rsid w:val="00700BEA"/>
    <w:rsid w:val="007031DF"/>
    <w:rsid w:val="00703913"/>
    <w:rsid w:val="00704216"/>
    <w:rsid w:val="007049D1"/>
    <w:rsid w:val="0070561B"/>
    <w:rsid w:val="00706858"/>
    <w:rsid w:val="0071096C"/>
    <w:rsid w:val="00711C06"/>
    <w:rsid w:val="00712DEE"/>
    <w:rsid w:val="00712E0E"/>
    <w:rsid w:val="00713A25"/>
    <w:rsid w:val="00713F71"/>
    <w:rsid w:val="00714D75"/>
    <w:rsid w:val="00715141"/>
    <w:rsid w:val="00715366"/>
    <w:rsid w:val="007164C0"/>
    <w:rsid w:val="00716CDB"/>
    <w:rsid w:val="00717746"/>
    <w:rsid w:val="00720DD3"/>
    <w:rsid w:val="00721456"/>
    <w:rsid w:val="00721C85"/>
    <w:rsid w:val="0072376E"/>
    <w:rsid w:val="00724BF3"/>
    <w:rsid w:val="00725024"/>
    <w:rsid w:val="00725351"/>
    <w:rsid w:val="00725D79"/>
    <w:rsid w:val="0072715A"/>
    <w:rsid w:val="007274A3"/>
    <w:rsid w:val="0072784F"/>
    <w:rsid w:val="0073121F"/>
    <w:rsid w:val="0073363B"/>
    <w:rsid w:val="00733B6B"/>
    <w:rsid w:val="00734F10"/>
    <w:rsid w:val="0073593E"/>
    <w:rsid w:val="0073621C"/>
    <w:rsid w:val="00736405"/>
    <w:rsid w:val="00736A54"/>
    <w:rsid w:val="007377DE"/>
    <w:rsid w:val="00737BF4"/>
    <w:rsid w:val="00742CB2"/>
    <w:rsid w:val="00742F6C"/>
    <w:rsid w:val="00743006"/>
    <w:rsid w:val="00743D66"/>
    <w:rsid w:val="00744325"/>
    <w:rsid w:val="00744699"/>
    <w:rsid w:val="00747180"/>
    <w:rsid w:val="00747230"/>
    <w:rsid w:val="00747688"/>
    <w:rsid w:val="00750087"/>
    <w:rsid w:val="00752F1C"/>
    <w:rsid w:val="007539C6"/>
    <w:rsid w:val="007539D2"/>
    <w:rsid w:val="00753ADB"/>
    <w:rsid w:val="0075444C"/>
    <w:rsid w:val="00756794"/>
    <w:rsid w:val="007573B1"/>
    <w:rsid w:val="00760813"/>
    <w:rsid w:val="00760FAA"/>
    <w:rsid w:val="0076326D"/>
    <w:rsid w:val="00763722"/>
    <w:rsid w:val="00764299"/>
    <w:rsid w:val="00764B1E"/>
    <w:rsid w:val="00764EAA"/>
    <w:rsid w:val="00766B8B"/>
    <w:rsid w:val="00771BC6"/>
    <w:rsid w:val="00772C1C"/>
    <w:rsid w:val="00772F3F"/>
    <w:rsid w:val="007734A7"/>
    <w:rsid w:val="007736A0"/>
    <w:rsid w:val="0077394E"/>
    <w:rsid w:val="00773B17"/>
    <w:rsid w:val="00774D93"/>
    <w:rsid w:val="00775995"/>
    <w:rsid w:val="00775E19"/>
    <w:rsid w:val="00776B50"/>
    <w:rsid w:val="00776DDE"/>
    <w:rsid w:val="00781FCA"/>
    <w:rsid w:val="007836A3"/>
    <w:rsid w:val="00783DF1"/>
    <w:rsid w:val="00785416"/>
    <w:rsid w:val="00785AEB"/>
    <w:rsid w:val="00785EAF"/>
    <w:rsid w:val="00787CDA"/>
    <w:rsid w:val="007937B6"/>
    <w:rsid w:val="00795123"/>
    <w:rsid w:val="0079568A"/>
    <w:rsid w:val="0079582F"/>
    <w:rsid w:val="00795F71"/>
    <w:rsid w:val="0079684F"/>
    <w:rsid w:val="007A04E4"/>
    <w:rsid w:val="007A0A7E"/>
    <w:rsid w:val="007A2355"/>
    <w:rsid w:val="007A2868"/>
    <w:rsid w:val="007A39E6"/>
    <w:rsid w:val="007A3C55"/>
    <w:rsid w:val="007A457A"/>
    <w:rsid w:val="007A4F14"/>
    <w:rsid w:val="007A7568"/>
    <w:rsid w:val="007A7A66"/>
    <w:rsid w:val="007A7CAD"/>
    <w:rsid w:val="007B0625"/>
    <w:rsid w:val="007B3618"/>
    <w:rsid w:val="007B3DB4"/>
    <w:rsid w:val="007B54E3"/>
    <w:rsid w:val="007B5883"/>
    <w:rsid w:val="007B6771"/>
    <w:rsid w:val="007B75A1"/>
    <w:rsid w:val="007B76D9"/>
    <w:rsid w:val="007B798A"/>
    <w:rsid w:val="007C11FA"/>
    <w:rsid w:val="007C33A6"/>
    <w:rsid w:val="007C4875"/>
    <w:rsid w:val="007C4B58"/>
    <w:rsid w:val="007C4BE4"/>
    <w:rsid w:val="007C4EF3"/>
    <w:rsid w:val="007C609A"/>
    <w:rsid w:val="007C7A00"/>
    <w:rsid w:val="007C7B0F"/>
    <w:rsid w:val="007D133B"/>
    <w:rsid w:val="007D1A95"/>
    <w:rsid w:val="007D24C3"/>
    <w:rsid w:val="007D2964"/>
    <w:rsid w:val="007D2A36"/>
    <w:rsid w:val="007D3564"/>
    <w:rsid w:val="007D3E20"/>
    <w:rsid w:val="007D4B26"/>
    <w:rsid w:val="007D5CC3"/>
    <w:rsid w:val="007D7544"/>
    <w:rsid w:val="007D785E"/>
    <w:rsid w:val="007D7C4F"/>
    <w:rsid w:val="007E04FF"/>
    <w:rsid w:val="007E0D83"/>
    <w:rsid w:val="007E0F3E"/>
    <w:rsid w:val="007E1FC7"/>
    <w:rsid w:val="007E270B"/>
    <w:rsid w:val="007E2D69"/>
    <w:rsid w:val="007E33E0"/>
    <w:rsid w:val="007E4121"/>
    <w:rsid w:val="007E55EC"/>
    <w:rsid w:val="007E7A97"/>
    <w:rsid w:val="007E7E1D"/>
    <w:rsid w:val="007F02AB"/>
    <w:rsid w:val="007F0330"/>
    <w:rsid w:val="007F097E"/>
    <w:rsid w:val="007F2423"/>
    <w:rsid w:val="007F4429"/>
    <w:rsid w:val="007F6451"/>
    <w:rsid w:val="007F7D5E"/>
    <w:rsid w:val="00801E4D"/>
    <w:rsid w:val="00801F70"/>
    <w:rsid w:val="00804F61"/>
    <w:rsid w:val="0080605E"/>
    <w:rsid w:val="0080631F"/>
    <w:rsid w:val="00806D5A"/>
    <w:rsid w:val="0080759D"/>
    <w:rsid w:val="008079C7"/>
    <w:rsid w:val="00807B72"/>
    <w:rsid w:val="00811F4C"/>
    <w:rsid w:val="0081242F"/>
    <w:rsid w:val="00813B18"/>
    <w:rsid w:val="008166A9"/>
    <w:rsid w:val="00816CE7"/>
    <w:rsid w:val="00816D51"/>
    <w:rsid w:val="00816F9B"/>
    <w:rsid w:val="008206CB"/>
    <w:rsid w:val="00820F60"/>
    <w:rsid w:val="008228EA"/>
    <w:rsid w:val="0082339B"/>
    <w:rsid w:val="0082361E"/>
    <w:rsid w:val="00823A77"/>
    <w:rsid w:val="0083175B"/>
    <w:rsid w:val="00833DBD"/>
    <w:rsid w:val="008345BD"/>
    <w:rsid w:val="00834944"/>
    <w:rsid w:val="00836174"/>
    <w:rsid w:val="00836765"/>
    <w:rsid w:val="00836F38"/>
    <w:rsid w:val="008372B8"/>
    <w:rsid w:val="008411BF"/>
    <w:rsid w:val="0084236E"/>
    <w:rsid w:val="00842403"/>
    <w:rsid w:val="00842461"/>
    <w:rsid w:val="0084312B"/>
    <w:rsid w:val="00843CD6"/>
    <w:rsid w:val="0084514B"/>
    <w:rsid w:val="008455B4"/>
    <w:rsid w:val="008471A3"/>
    <w:rsid w:val="008475BC"/>
    <w:rsid w:val="00847968"/>
    <w:rsid w:val="00850418"/>
    <w:rsid w:val="0085074F"/>
    <w:rsid w:val="00851387"/>
    <w:rsid w:val="00851983"/>
    <w:rsid w:val="00852066"/>
    <w:rsid w:val="00853C85"/>
    <w:rsid w:val="00853D46"/>
    <w:rsid w:val="00857FBB"/>
    <w:rsid w:val="00861117"/>
    <w:rsid w:val="008616D4"/>
    <w:rsid w:val="0086227B"/>
    <w:rsid w:val="00862B6F"/>
    <w:rsid w:val="008638FA"/>
    <w:rsid w:val="00864F71"/>
    <w:rsid w:val="0086564E"/>
    <w:rsid w:val="008669C0"/>
    <w:rsid w:val="00870132"/>
    <w:rsid w:val="00870228"/>
    <w:rsid w:val="008707A9"/>
    <w:rsid w:val="008708D2"/>
    <w:rsid w:val="0087218E"/>
    <w:rsid w:val="00876A1C"/>
    <w:rsid w:val="00877068"/>
    <w:rsid w:val="00877733"/>
    <w:rsid w:val="008824EE"/>
    <w:rsid w:val="008825D9"/>
    <w:rsid w:val="008829C1"/>
    <w:rsid w:val="00884419"/>
    <w:rsid w:val="0088491E"/>
    <w:rsid w:val="00885999"/>
    <w:rsid w:val="0088602A"/>
    <w:rsid w:val="0088623E"/>
    <w:rsid w:val="00886CB5"/>
    <w:rsid w:val="008910C1"/>
    <w:rsid w:val="008910D5"/>
    <w:rsid w:val="00891BD1"/>
    <w:rsid w:val="008927DC"/>
    <w:rsid w:val="00892FD1"/>
    <w:rsid w:val="008930A5"/>
    <w:rsid w:val="0089382A"/>
    <w:rsid w:val="0089561F"/>
    <w:rsid w:val="008965FC"/>
    <w:rsid w:val="00896DB9"/>
    <w:rsid w:val="00897E95"/>
    <w:rsid w:val="008A124E"/>
    <w:rsid w:val="008A18BB"/>
    <w:rsid w:val="008A2DB7"/>
    <w:rsid w:val="008A3B08"/>
    <w:rsid w:val="008A4947"/>
    <w:rsid w:val="008A4DAA"/>
    <w:rsid w:val="008A5224"/>
    <w:rsid w:val="008A6033"/>
    <w:rsid w:val="008A65C6"/>
    <w:rsid w:val="008A7267"/>
    <w:rsid w:val="008B1106"/>
    <w:rsid w:val="008B1B8C"/>
    <w:rsid w:val="008B2A12"/>
    <w:rsid w:val="008B40A8"/>
    <w:rsid w:val="008B4691"/>
    <w:rsid w:val="008B5002"/>
    <w:rsid w:val="008B548D"/>
    <w:rsid w:val="008B572B"/>
    <w:rsid w:val="008B650C"/>
    <w:rsid w:val="008B7D87"/>
    <w:rsid w:val="008C0A0E"/>
    <w:rsid w:val="008C32CB"/>
    <w:rsid w:val="008C4963"/>
    <w:rsid w:val="008C5521"/>
    <w:rsid w:val="008C7699"/>
    <w:rsid w:val="008C7D1D"/>
    <w:rsid w:val="008D035A"/>
    <w:rsid w:val="008D09A8"/>
    <w:rsid w:val="008D0DEA"/>
    <w:rsid w:val="008D12AA"/>
    <w:rsid w:val="008D2627"/>
    <w:rsid w:val="008D2832"/>
    <w:rsid w:val="008D2A73"/>
    <w:rsid w:val="008E0746"/>
    <w:rsid w:val="008E21E8"/>
    <w:rsid w:val="008E2781"/>
    <w:rsid w:val="008E3E80"/>
    <w:rsid w:val="008E42F2"/>
    <w:rsid w:val="008E594B"/>
    <w:rsid w:val="008F05BE"/>
    <w:rsid w:val="008F0B2D"/>
    <w:rsid w:val="008F1CF2"/>
    <w:rsid w:val="008F4B76"/>
    <w:rsid w:val="008F5971"/>
    <w:rsid w:val="008F5B6C"/>
    <w:rsid w:val="008F6A74"/>
    <w:rsid w:val="0090205B"/>
    <w:rsid w:val="0090313A"/>
    <w:rsid w:val="00903666"/>
    <w:rsid w:val="00904CE2"/>
    <w:rsid w:val="00905721"/>
    <w:rsid w:val="009061FA"/>
    <w:rsid w:val="009065EA"/>
    <w:rsid w:val="009066E9"/>
    <w:rsid w:val="00906F69"/>
    <w:rsid w:val="00910092"/>
    <w:rsid w:val="0091021D"/>
    <w:rsid w:val="009103A7"/>
    <w:rsid w:val="009119DC"/>
    <w:rsid w:val="0091472A"/>
    <w:rsid w:val="00914B60"/>
    <w:rsid w:val="00915F30"/>
    <w:rsid w:val="00916042"/>
    <w:rsid w:val="009204D6"/>
    <w:rsid w:val="009238F4"/>
    <w:rsid w:val="0092405D"/>
    <w:rsid w:val="009240B7"/>
    <w:rsid w:val="0092634A"/>
    <w:rsid w:val="00926706"/>
    <w:rsid w:val="00926985"/>
    <w:rsid w:val="00927EDB"/>
    <w:rsid w:val="009300D5"/>
    <w:rsid w:val="0093050B"/>
    <w:rsid w:val="00930F1C"/>
    <w:rsid w:val="009312CF"/>
    <w:rsid w:val="00931CBE"/>
    <w:rsid w:val="00931FE5"/>
    <w:rsid w:val="00932114"/>
    <w:rsid w:val="0093230F"/>
    <w:rsid w:val="00933F2C"/>
    <w:rsid w:val="00934BB5"/>
    <w:rsid w:val="0093635F"/>
    <w:rsid w:val="009364EC"/>
    <w:rsid w:val="00937303"/>
    <w:rsid w:val="00942FB3"/>
    <w:rsid w:val="00943C33"/>
    <w:rsid w:val="00943C7C"/>
    <w:rsid w:val="00944549"/>
    <w:rsid w:val="00944934"/>
    <w:rsid w:val="00946284"/>
    <w:rsid w:val="00947F21"/>
    <w:rsid w:val="0095034A"/>
    <w:rsid w:val="00951373"/>
    <w:rsid w:val="0095140F"/>
    <w:rsid w:val="0095189B"/>
    <w:rsid w:val="00951ED0"/>
    <w:rsid w:val="0095262D"/>
    <w:rsid w:val="009527DA"/>
    <w:rsid w:val="00952FB5"/>
    <w:rsid w:val="009530E5"/>
    <w:rsid w:val="00953D7C"/>
    <w:rsid w:val="00954D9F"/>
    <w:rsid w:val="0095746D"/>
    <w:rsid w:val="00957F2D"/>
    <w:rsid w:val="00962B68"/>
    <w:rsid w:val="00962F78"/>
    <w:rsid w:val="00963F1B"/>
    <w:rsid w:val="009658B6"/>
    <w:rsid w:val="009658D1"/>
    <w:rsid w:val="00965B7A"/>
    <w:rsid w:val="00966A33"/>
    <w:rsid w:val="00966F2C"/>
    <w:rsid w:val="009678D9"/>
    <w:rsid w:val="009702EF"/>
    <w:rsid w:val="009702F9"/>
    <w:rsid w:val="009714C1"/>
    <w:rsid w:val="00971C7F"/>
    <w:rsid w:val="00972102"/>
    <w:rsid w:val="0097214D"/>
    <w:rsid w:val="009722F8"/>
    <w:rsid w:val="00972894"/>
    <w:rsid w:val="0097323C"/>
    <w:rsid w:val="00973A36"/>
    <w:rsid w:val="00976E49"/>
    <w:rsid w:val="009803CA"/>
    <w:rsid w:val="009827F4"/>
    <w:rsid w:val="00983BE2"/>
    <w:rsid w:val="00983C0E"/>
    <w:rsid w:val="00985C8A"/>
    <w:rsid w:val="00985F82"/>
    <w:rsid w:val="00986220"/>
    <w:rsid w:val="00986BB9"/>
    <w:rsid w:val="00986ED0"/>
    <w:rsid w:val="009873B7"/>
    <w:rsid w:val="009876BD"/>
    <w:rsid w:val="00987C8D"/>
    <w:rsid w:val="00987DEE"/>
    <w:rsid w:val="0099193E"/>
    <w:rsid w:val="00995AA1"/>
    <w:rsid w:val="00997729"/>
    <w:rsid w:val="009A0A03"/>
    <w:rsid w:val="009A1406"/>
    <w:rsid w:val="009A26D2"/>
    <w:rsid w:val="009A340B"/>
    <w:rsid w:val="009A38AC"/>
    <w:rsid w:val="009A40A8"/>
    <w:rsid w:val="009A4A8B"/>
    <w:rsid w:val="009A4C31"/>
    <w:rsid w:val="009A60F0"/>
    <w:rsid w:val="009A6825"/>
    <w:rsid w:val="009B09CD"/>
    <w:rsid w:val="009B0A9C"/>
    <w:rsid w:val="009B0CBF"/>
    <w:rsid w:val="009B2A1F"/>
    <w:rsid w:val="009B2C26"/>
    <w:rsid w:val="009B35DA"/>
    <w:rsid w:val="009B46FD"/>
    <w:rsid w:val="009B4FFB"/>
    <w:rsid w:val="009B5CB2"/>
    <w:rsid w:val="009B636B"/>
    <w:rsid w:val="009B6784"/>
    <w:rsid w:val="009B79C4"/>
    <w:rsid w:val="009C00BC"/>
    <w:rsid w:val="009C057A"/>
    <w:rsid w:val="009C278D"/>
    <w:rsid w:val="009C5689"/>
    <w:rsid w:val="009C625B"/>
    <w:rsid w:val="009C78BC"/>
    <w:rsid w:val="009C78E5"/>
    <w:rsid w:val="009D023E"/>
    <w:rsid w:val="009D183C"/>
    <w:rsid w:val="009D1886"/>
    <w:rsid w:val="009D1E6B"/>
    <w:rsid w:val="009D33BE"/>
    <w:rsid w:val="009D3C5A"/>
    <w:rsid w:val="009D490B"/>
    <w:rsid w:val="009D5FC9"/>
    <w:rsid w:val="009D7723"/>
    <w:rsid w:val="009E0CD2"/>
    <w:rsid w:val="009E0F5E"/>
    <w:rsid w:val="009E3B72"/>
    <w:rsid w:val="009E4C13"/>
    <w:rsid w:val="009E5A03"/>
    <w:rsid w:val="009E6F55"/>
    <w:rsid w:val="009E7EE0"/>
    <w:rsid w:val="009F034F"/>
    <w:rsid w:val="009F05C0"/>
    <w:rsid w:val="009F0B8E"/>
    <w:rsid w:val="009F0BA3"/>
    <w:rsid w:val="009F1ACA"/>
    <w:rsid w:val="009F47D9"/>
    <w:rsid w:val="009F4A4C"/>
    <w:rsid w:val="009F5330"/>
    <w:rsid w:val="009F5733"/>
    <w:rsid w:val="009F58D6"/>
    <w:rsid w:val="009F5E15"/>
    <w:rsid w:val="009F6B91"/>
    <w:rsid w:val="009F704E"/>
    <w:rsid w:val="00A0036B"/>
    <w:rsid w:val="00A01C32"/>
    <w:rsid w:val="00A03210"/>
    <w:rsid w:val="00A03289"/>
    <w:rsid w:val="00A05E1C"/>
    <w:rsid w:val="00A065A7"/>
    <w:rsid w:val="00A069A2"/>
    <w:rsid w:val="00A106F5"/>
    <w:rsid w:val="00A10B4A"/>
    <w:rsid w:val="00A10C7E"/>
    <w:rsid w:val="00A119E6"/>
    <w:rsid w:val="00A14E98"/>
    <w:rsid w:val="00A1649E"/>
    <w:rsid w:val="00A16F8B"/>
    <w:rsid w:val="00A174CE"/>
    <w:rsid w:val="00A17C00"/>
    <w:rsid w:val="00A207E8"/>
    <w:rsid w:val="00A20D0D"/>
    <w:rsid w:val="00A20D65"/>
    <w:rsid w:val="00A21B83"/>
    <w:rsid w:val="00A21E43"/>
    <w:rsid w:val="00A23AFB"/>
    <w:rsid w:val="00A23E13"/>
    <w:rsid w:val="00A25345"/>
    <w:rsid w:val="00A25570"/>
    <w:rsid w:val="00A2756D"/>
    <w:rsid w:val="00A324A2"/>
    <w:rsid w:val="00A32F93"/>
    <w:rsid w:val="00A33E31"/>
    <w:rsid w:val="00A34E28"/>
    <w:rsid w:val="00A34FEE"/>
    <w:rsid w:val="00A35C32"/>
    <w:rsid w:val="00A35F3E"/>
    <w:rsid w:val="00A36016"/>
    <w:rsid w:val="00A37492"/>
    <w:rsid w:val="00A37A2A"/>
    <w:rsid w:val="00A405CE"/>
    <w:rsid w:val="00A4097E"/>
    <w:rsid w:val="00A409C4"/>
    <w:rsid w:val="00A41282"/>
    <w:rsid w:val="00A415C5"/>
    <w:rsid w:val="00A4441B"/>
    <w:rsid w:val="00A45028"/>
    <w:rsid w:val="00A457C6"/>
    <w:rsid w:val="00A45B14"/>
    <w:rsid w:val="00A5060A"/>
    <w:rsid w:val="00A51920"/>
    <w:rsid w:val="00A55731"/>
    <w:rsid w:val="00A5580E"/>
    <w:rsid w:val="00A560F2"/>
    <w:rsid w:val="00A60B1B"/>
    <w:rsid w:val="00A6134B"/>
    <w:rsid w:val="00A61D47"/>
    <w:rsid w:val="00A627C6"/>
    <w:rsid w:val="00A639F7"/>
    <w:rsid w:val="00A64B43"/>
    <w:rsid w:val="00A650B6"/>
    <w:rsid w:val="00A65360"/>
    <w:rsid w:val="00A65CF5"/>
    <w:rsid w:val="00A66626"/>
    <w:rsid w:val="00A676A2"/>
    <w:rsid w:val="00A67784"/>
    <w:rsid w:val="00A70831"/>
    <w:rsid w:val="00A71BCD"/>
    <w:rsid w:val="00A726AA"/>
    <w:rsid w:val="00A7409C"/>
    <w:rsid w:val="00A742E1"/>
    <w:rsid w:val="00A749B4"/>
    <w:rsid w:val="00A75256"/>
    <w:rsid w:val="00A76C93"/>
    <w:rsid w:val="00A77642"/>
    <w:rsid w:val="00A80DC8"/>
    <w:rsid w:val="00A820E6"/>
    <w:rsid w:val="00A83064"/>
    <w:rsid w:val="00A838E9"/>
    <w:rsid w:val="00A84C62"/>
    <w:rsid w:val="00A858CB"/>
    <w:rsid w:val="00A8655B"/>
    <w:rsid w:val="00A86624"/>
    <w:rsid w:val="00A86BF3"/>
    <w:rsid w:val="00A87357"/>
    <w:rsid w:val="00A878AD"/>
    <w:rsid w:val="00A87AE0"/>
    <w:rsid w:val="00A9137E"/>
    <w:rsid w:val="00A91729"/>
    <w:rsid w:val="00A92516"/>
    <w:rsid w:val="00A93A48"/>
    <w:rsid w:val="00A93B3E"/>
    <w:rsid w:val="00A94420"/>
    <w:rsid w:val="00A96400"/>
    <w:rsid w:val="00A97ECE"/>
    <w:rsid w:val="00AA0579"/>
    <w:rsid w:val="00AA075D"/>
    <w:rsid w:val="00AA3C14"/>
    <w:rsid w:val="00AA414B"/>
    <w:rsid w:val="00AA55DA"/>
    <w:rsid w:val="00AA5B6E"/>
    <w:rsid w:val="00AA7C74"/>
    <w:rsid w:val="00AB066D"/>
    <w:rsid w:val="00AB0FE6"/>
    <w:rsid w:val="00AB2F21"/>
    <w:rsid w:val="00AB34E4"/>
    <w:rsid w:val="00AB5259"/>
    <w:rsid w:val="00AB6D93"/>
    <w:rsid w:val="00AB7A38"/>
    <w:rsid w:val="00AB7BE3"/>
    <w:rsid w:val="00AB7FEF"/>
    <w:rsid w:val="00AC035D"/>
    <w:rsid w:val="00AC1243"/>
    <w:rsid w:val="00AC1E4E"/>
    <w:rsid w:val="00AC3A73"/>
    <w:rsid w:val="00AC3C5E"/>
    <w:rsid w:val="00AC4F8F"/>
    <w:rsid w:val="00AC54CA"/>
    <w:rsid w:val="00AD0743"/>
    <w:rsid w:val="00AD400B"/>
    <w:rsid w:val="00AD602F"/>
    <w:rsid w:val="00AD68DD"/>
    <w:rsid w:val="00AD7616"/>
    <w:rsid w:val="00AE1711"/>
    <w:rsid w:val="00AE246A"/>
    <w:rsid w:val="00AE2FB4"/>
    <w:rsid w:val="00AE573E"/>
    <w:rsid w:val="00AE5798"/>
    <w:rsid w:val="00AE617A"/>
    <w:rsid w:val="00AE6A6B"/>
    <w:rsid w:val="00AE7433"/>
    <w:rsid w:val="00AE7E46"/>
    <w:rsid w:val="00AF011E"/>
    <w:rsid w:val="00AF0207"/>
    <w:rsid w:val="00AF1345"/>
    <w:rsid w:val="00AF207F"/>
    <w:rsid w:val="00AF26D3"/>
    <w:rsid w:val="00AF2C9C"/>
    <w:rsid w:val="00AF575D"/>
    <w:rsid w:val="00AF71F9"/>
    <w:rsid w:val="00AF7EAA"/>
    <w:rsid w:val="00AF7F8C"/>
    <w:rsid w:val="00B012D2"/>
    <w:rsid w:val="00B01D2C"/>
    <w:rsid w:val="00B01E4B"/>
    <w:rsid w:val="00B0233B"/>
    <w:rsid w:val="00B060AF"/>
    <w:rsid w:val="00B06716"/>
    <w:rsid w:val="00B06BFB"/>
    <w:rsid w:val="00B0740E"/>
    <w:rsid w:val="00B078E4"/>
    <w:rsid w:val="00B07BD6"/>
    <w:rsid w:val="00B10988"/>
    <w:rsid w:val="00B133CB"/>
    <w:rsid w:val="00B13C32"/>
    <w:rsid w:val="00B15001"/>
    <w:rsid w:val="00B169FD"/>
    <w:rsid w:val="00B2151B"/>
    <w:rsid w:val="00B22412"/>
    <w:rsid w:val="00B23754"/>
    <w:rsid w:val="00B237C8"/>
    <w:rsid w:val="00B2618E"/>
    <w:rsid w:val="00B26BD1"/>
    <w:rsid w:val="00B27AB5"/>
    <w:rsid w:val="00B30C19"/>
    <w:rsid w:val="00B30C42"/>
    <w:rsid w:val="00B313B6"/>
    <w:rsid w:val="00B3194E"/>
    <w:rsid w:val="00B31D2E"/>
    <w:rsid w:val="00B32345"/>
    <w:rsid w:val="00B32403"/>
    <w:rsid w:val="00B324BA"/>
    <w:rsid w:val="00B33686"/>
    <w:rsid w:val="00B348E8"/>
    <w:rsid w:val="00B37DBB"/>
    <w:rsid w:val="00B415B9"/>
    <w:rsid w:val="00B42F2C"/>
    <w:rsid w:val="00B42F8E"/>
    <w:rsid w:val="00B436F4"/>
    <w:rsid w:val="00B43976"/>
    <w:rsid w:val="00B43A0A"/>
    <w:rsid w:val="00B43A8E"/>
    <w:rsid w:val="00B456E2"/>
    <w:rsid w:val="00B50B89"/>
    <w:rsid w:val="00B50CBE"/>
    <w:rsid w:val="00B517E5"/>
    <w:rsid w:val="00B5187A"/>
    <w:rsid w:val="00B52154"/>
    <w:rsid w:val="00B525D6"/>
    <w:rsid w:val="00B53B8C"/>
    <w:rsid w:val="00B55CFC"/>
    <w:rsid w:val="00B56CEF"/>
    <w:rsid w:val="00B57DCF"/>
    <w:rsid w:val="00B604C6"/>
    <w:rsid w:val="00B60CC4"/>
    <w:rsid w:val="00B61420"/>
    <w:rsid w:val="00B61EB4"/>
    <w:rsid w:val="00B61F72"/>
    <w:rsid w:val="00B6228A"/>
    <w:rsid w:val="00B627F4"/>
    <w:rsid w:val="00B63479"/>
    <w:rsid w:val="00B64005"/>
    <w:rsid w:val="00B6484A"/>
    <w:rsid w:val="00B659E0"/>
    <w:rsid w:val="00B661D4"/>
    <w:rsid w:val="00B669C9"/>
    <w:rsid w:val="00B716EA"/>
    <w:rsid w:val="00B724BA"/>
    <w:rsid w:val="00B72CD0"/>
    <w:rsid w:val="00B74456"/>
    <w:rsid w:val="00B747E0"/>
    <w:rsid w:val="00B75595"/>
    <w:rsid w:val="00B75A20"/>
    <w:rsid w:val="00B76289"/>
    <w:rsid w:val="00B771A7"/>
    <w:rsid w:val="00B77512"/>
    <w:rsid w:val="00B80008"/>
    <w:rsid w:val="00B8058B"/>
    <w:rsid w:val="00B824DC"/>
    <w:rsid w:val="00B828EF"/>
    <w:rsid w:val="00B8290D"/>
    <w:rsid w:val="00B83713"/>
    <w:rsid w:val="00B84BD7"/>
    <w:rsid w:val="00B84FB0"/>
    <w:rsid w:val="00B85553"/>
    <w:rsid w:val="00B87259"/>
    <w:rsid w:val="00B87CB0"/>
    <w:rsid w:val="00B87E52"/>
    <w:rsid w:val="00B87F2B"/>
    <w:rsid w:val="00B90077"/>
    <w:rsid w:val="00B90E5D"/>
    <w:rsid w:val="00B91318"/>
    <w:rsid w:val="00B91469"/>
    <w:rsid w:val="00B916E2"/>
    <w:rsid w:val="00B9174E"/>
    <w:rsid w:val="00B9266F"/>
    <w:rsid w:val="00B94C47"/>
    <w:rsid w:val="00B9569E"/>
    <w:rsid w:val="00B96D07"/>
    <w:rsid w:val="00B96D9D"/>
    <w:rsid w:val="00B97F6B"/>
    <w:rsid w:val="00BA0873"/>
    <w:rsid w:val="00BA0F90"/>
    <w:rsid w:val="00BA372D"/>
    <w:rsid w:val="00BA3B90"/>
    <w:rsid w:val="00BA5C3D"/>
    <w:rsid w:val="00BA67BD"/>
    <w:rsid w:val="00BA7CFC"/>
    <w:rsid w:val="00BA7D13"/>
    <w:rsid w:val="00BA7E38"/>
    <w:rsid w:val="00BB1240"/>
    <w:rsid w:val="00BB1E1C"/>
    <w:rsid w:val="00BB3195"/>
    <w:rsid w:val="00BB32CC"/>
    <w:rsid w:val="00BB3C73"/>
    <w:rsid w:val="00BB66FA"/>
    <w:rsid w:val="00BB7A27"/>
    <w:rsid w:val="00BC19CB"/>
    <w:rsid w:val="00BC3394"/>
    <w:rsid w:val="00BC3D8B"/>
    <w:rsid w:val="00BC5022"/>
    <w:rsid w:val="00BC5120"/>
    <w:rsid w:val="00BC51D8"/>
    <w:rsid w:val="00BC549E"/>
    <w:rsid w:val="00BC5BCC"/>
    <w:rsid w:val="00BC6143"/>
    <w:rsid w:val="00BC740E"/>
    <w:rsid w:val="00BC783F"/>
    <w:rsid w:val="00BD050B"/>
    <w:rsid w:val="00BD07FC"/>
    <w:rsid w:val="00BD12D7"/>
    <w:rsid w:val="00BD292D"/>
    <w:rsid w:val="00BD2AC3"/>
    <w:rsid w:val="00BD4650"/>
    <w:rsid w:val="00BD57C6"/>
    <w:rsid w:val="00BD5D71"/>
    <w:rsid w:val="00BD5D74"/>
    <w:rsid w:val="00BD6627"/>
    <w:rsid w:val="00BD6AFB"/>
    <w:rsid w:val="00BD7EB6"/>
    <w:rsid w:val="00BE0B2C"/>
    <w:rsid w:val="00BE1A69"/>
    <w:rsid w:val="00BE244B"/>
    <w:rsid w:val="00BE2AAC"/>
    <w:rsid w:val="00BE38DA"/>
    <w:rsid w:val="00BE42AA"/>
    <w:rsid w:val="00BE4515"/>
    <w:rsid w:val="00BE4816"/>
    <w:rsid w:val="00BE48A4"/>
    <w:rsid w:val="00BE5794"/>
    <w:rsid w:val="00BE7E65"/>
    <w:rsid w:val="00BF074B"/>
    <w:rsid w:val="00BF0772"/>
    <w:rsid w:val="00BF0A90"/>
    <w:rsid w:val="00BF1299"/>
    <w:rsid w:val="00BF211E"/>
    <w:rsid w:val="00BF2BFD"/>
    <w:rsid w:val="00BF4CB1"/>
    <w:rsid w:val="00BF4EA1"/>
    <w:rsid w:val="00BF5E80"/>
    <w:rsid w:val="00BF634E"/>
    <w:rsid w:val="00BF6EC1"/>
    <w:rsid w:val="00C00662"/>
    <w:rsid w:val="00C03006"/>
    <w:rsid w:val="00C03FAD"/>
    <w:rsid w:val="00C040FD"/>
    <w:rsid w:val="00C060B1"/>
    <w:rsid w:val="00C06647"/>
    <w:rsid w:val="00C06DA9"/>
    <w:rsid w:val="00C07CD9"/>
    <w:rsid w:val="00C1054A"/>
    <w:rsid w:val="00C10CEB"/>
    <w:rsid w:val="00C11606"/>
    <w:rsid w:val="00C11FE0"/>
    <w:rsid w:val="00C1230A"/>
    <w:rsid w:val="00C12D6C"/>
    <w:rsid w:val="00C1314E"/>
    <w:rsid w:val="00C145A8"/>
    <w:rsid w:val="00C15319"/>
    <w:rsid w:val="00C1750C"/>
    <w:rsid w:val="00C22966"/>
    <w:rsid w:val="00C229DB"/>
    <w:rsid w:val="00C23719"/>
    <w:rsid w:val="00C24BD4"/>
    <w:rsid w:val="00C250DA"/>
    <w:rsid w:val="00C25169"/>
    <w:rsid w:val="00C2552C"/>
    <w:rsid w:val="00C27FA0"/>
    <w:rsid w:val="00C30B9E"/>
    <w:rsid w:val="00C30CED"/>
    <w:rsid w:val="00C31776"/>
    <w:rsid w:val="00C31ADB"/>
    <w:rsid w:val="00C31CD1"/>
    <w:rsid w:val="00C31F1E"/>
    <w:rsid w:val="00C333A3"/>
    <w:rsid w:val="00C33DE6"/>
    <w:rsid w:val="00C34125"/>
    <w:rsid w:val="00C34141"/>
    <w:rsid w:val="00C359EA"/>
    <w:rsid w:val="00C35E78"/>
    <w:rsid w:val="00C37333"/>
    <w:rsid w:val="00C3773A"/>
    <w:rsid w:val="00C37760"/>
    <w:rsid w:val="00C37CE0"/>
    <w:rsid w:val="00C40460"/>
    <w:rsid w:val="00C425B1"/>
    <w:rsid w:val="00C4310E"/>
    <w:rsid w:val="00C43CC8"/>
    <w:rsid w:val="00C44753"/>
    <w:rsid w:val="00C4480A"/>
    <w:rsid w:val="00C45659"/>
    <w:rsid w:val="00C456A7"/>
    <w:rsid w:val="00C4629E"/>
    <w:rsid w:val="00C467B4"/>
    <w:rsid w:val="00C50656"/>
    <w:rsid w:val="00C50A69"/>
    <w:rsid w:val="00C52003"/>
    <w:rsid w:val="00C52068"/>
    <w:rsid w:val="00C521D9"/>
    <w:rsid w:val="00C527F3"/>
    <w:rsid w:val="00C528C0"/>
    <w:rsid w:val="00C531A3"/>
    <w:rsid w:val="00C53C6A"/>
    <w:rsid w:val="00C53CA0"/>
    <w:rsid w:val="00C54581"/>
    <w:rsid w:val="00C55725"/>
    <w:rsid w:val="00C572DA"/>
    <w:rsid w:val="00C603A7"/>
    <w:rsid w:val="00C6068B"/>
    <w:rsid w:val="00C60E5E"/>
    <w:rsid w:val="00C624A8"/>
    <w:rsid w:val="00C62661"/>
    <w:rsid w:val="00C638FE"/>
    <w:rsid w:val="00C67164"/>
    <w:rsid w:val="00C67380"/>
    <w:rsid w:val="00C67CCD"/>
    <w:rsid w:val="00C67F19"/>
    <w:rsid w:val="00C7120C"/>
    <w:rsid w:val="00C72972"/>
    <w:rsid w:val="00C74BED"/>
    <w:rsid w:val="00C758BA"/>
    <w:rsid w:val="00C75B51"/>
    <w:rsid w:val="00C76B77"/>
    <w:rsid w:val="00C8054B"/>
    <w:rsid w:val="00C81407"/>
    <w:rsid w:val="00C8145B"/>
    <w:rsid w:val="00C82901"/>
    <w:rsid w:val="00C84534"/>
    <w:rsid w:val="00C8463A"/>
    <w:rsid w:val="00C858F0"/>
    <w:rsid w:val="00C85A47"/>
    <w:rsid w:val="00C85C1D"/>
    <w:rsid w:val="00C85F0B"/>
    <w:rsid w:val="00C85F7A"/>
    <w:rsid w:val="00C879D0"/>
    <w:rsid w:val="00C912EA"/>
    <w:rsid w:val="00C932B6"/>
    <w:rsid w:val="00C94C78"/>
    <w:rsid w:val="00C94E10"/>
    <w:rsid w:val="00C955D0"/>
    <w:rsid w:val="00C96562"/>
    <w:rsid w:val="00CA14C5"/>
    <w:rsid w:val="00CA20BD"/>
    <w:rsid w:val="00CA3D84"/>
    <w:rsid w:val="00CA4EDA"/>
    <w:rsid w:val="00CA530F"/>
    <w:rsid w:val="00CA63D2"/>
    <w:rsid w:val="00CB0638"/>
    <w:rsid w:val="00CB12AD"/>
    <w:rsid w:val="00CB2227"/>
    <w:rsid w:val="00CB2522"/>
    <w:rsid w:val="00CB3C2B"/>
    <w:rsid w:val="00CB5F2F"/>
    <w:rsid w:val="00CB662E"/>
    <w:rsid w:val="00CB6D7A"/>
    <w:rsid w:val="00CB73C2"/>
    <w:rsid w:val="00CC0571"/>
    <w:rsid w:val="00CC0825"/>
    <w:rsid w:val="00CC1EC9"/>
    <w:rsid w:val="00CC2446"/>
    <w:rsid w:val="00CC262A"/>
    <w:rsid w:val="00CC292C"/>
    <w:rsid w:val="00CC55D0"/>
    <w:rsid w:val="00CC5640"/>
    <w:rsid w:val="00CC61D1"/>
    <w:rsid w:val="00CC61EE"/>
    <w:rsid w:val="00CC65AD"/>
    <w:rsid w:val="00CC77E0"/>
    <w:rsid w:val="00CC7E03"/>
    <w:rsid w:val="00CD0C04"/>
    <w:rsid w:val="00CD1543"/>
    <w:rsid w:val="00CD3442"/>
    <w:rsid w:val="00CD3A9A"/>
    <w:rsid w:val="00CD5085"/>
    <w:rsid w:val="00CD5C73"/>
    <w:rsid w:val="00CD6F23"/>
    <w:rsid w:val="00CE0785"/>
    <w:rsid w:val="00CE0FB8"/>
    <w:rsid w:val="00CE10CE"/>
    <w:rsid w:val="00CE12F3"/>
    <w:rsid w:val="00CE2041"/>
    <w:rsid w:val="00CE4613"/>
    <w:rsid w:val="00CE5B50"/>
    <w:rsid w:val="00CE77C8"/>
    <w:rsid w:val="00CF09EC"/>
    <w:rsid w:val="00CF0BC2"/>
    <w:rsid w:val="00CF118A"/>
    <w:rsid w:val="00CF42DC"/>
    <w:rsid w:val="00CF5313"/>
    <w:rsid w:val="00CF60EB"/>
    <w:rsid w:val="00CF736C"/>
    <w:rsid w:val="00D005D1"/>
    <w:rsid w:val="00D00C19"/>
    <w:rsid w:val="00D013F2"/>
    <w:rsid w:val="00D027F1"/>
    <w:rsid w:val="00D0289D"/>
    <w:rsid w:val="00D03714"/>
    <w:rsid w:val="00D03ECE"/>
    <w:rsid w:val="00D047AC"/>
    <w:rsid w:val="00D04C00"/>
    <w:rsid w:val="00D04D67"/>
    <w:rsid w:val="00D0567E"/>
    <w:rsid w:val="00D05BB8"/>
    <w:rsid w:val="00D1060A"/>
    <w:rsid w:val="00D112C7"/>
    <w:rsid w:val="00D1272C"/>
    <w:rsid w:val="00D13D68"/>
    <w:rsid w:val="00D14976"/>
    <w:rsid w:val="00D162FF"/>
    <w:rsid w:val="00D16A02"/>
    <w:rsid w:val="00D17346"/>
    <w:rsid w:val="00D20007"/>
    <w:rsid w:val="00D20022"/>
    <w:rsid w:val="00D2296E"/>
    <w:rsid w:val="00D236C7"/>
    <w:rsid w:val="00D2450D"/>
    <w:rsid w:val="00D24915"/>
    <w:rsid w:val="00D24D06"/>
    <w:rsid w:val="00D24F0C"/>
    <w:rsid w:val="00D31D81"/>
    <w:rsid w:val="00D3209A"/>
    <w:rsid w:val="00D338BB"/>
    <w:rsid w:val="00D3487F"/>
    <w:rsid w:val="00D34AB8"/>
    <w:rsid w:val="00D351C2"/>
    <w:rsid w:val="00D361EB"/>
    <w:rsid w:val="00D362FA"/>
    <w:rsid w:val="00D36BF3"/>
    <w:rsid w:val="00D373EB"/>
    <w:rsid w:val="00D379F9"/>
    <w:rsid w:val="00D40980"/>
    <w:rsid w:val="00D40AE9"/>
    <w:rsid w:val="00D436B5"/>
    <w:rsid w:val="00D44226"/>
    <w:rsid w:val="00D44D65"/>
    <w:rsid w:val="00D453C5"/>
    <w:rsid w:val="00D47B32"/>
    <w:rsid w:val="00D50789"/>
    <w:rsid w:val="00D517C3"/>
    <w:rsid w:val="00D520FE"/>
    <w:rsid w:val="00D521E6"/>
    <w:rsid w:val="00D534B4"/>
    <w:rsid w:val="00D546CA"/>
    <w:rsid w:val="00D571B1"/>
    <w:rsid w:val="00D600F3"/>
    <w:rsid w:val="00D61073"/>
    <w:rsid w:val="00D613DB"/>
    <w:rsid w:val="00D63EEE"/>
    <w:rsid w:val="00D64912"/>
    <w:rsid w:val="00D6595F"/>
    <w:rsid w:val="00D66C05"/>
    <w:rsid w:val="00D66F05"/>
    <w:rsid w:val="00D671E2"/>
    <w:rsid w:val="00D75AD5"/>
    <w:rsid w:val="00D76286"/>
    <w:rsid w:val="00D80330"/>
    <w:rsid w:val="00D80459"/>
    <w:rsid w:val="00D81030"/>
    <w:rsid w:val="00D8136D"/>
    <w:rsid w:val="00D833F1"/>
    <w:rsid w:val="00D83D34"/>
    <w:rsid w:val="00D84007"/>
    <w:rsid w:val="00D85AB9"/>
    <w:rsid w:val="00D87593"/>
    <w:rsid w:val="00D875AC"/>
    <w:rsid w:val="00D900DB"/>
    <w:rsid w:val="00D92178"/>
    <w:rsid w:val="00D94123"/>
    <w:rsid w:val="00D94195"/>
    <w:rsid w:val="00D94DC1"/>
    <w:rsid w:val="00D95BD1"/>
    <w:rsid w:val="00D97B5C"/>
    <w:rsid w:val="00DA3283"/>
    <w:rsid w:val="00DA38A6"/>
    <w:rsid w:val="00DA3CBD"/>
    <w:rsid w:val="00DA44F7"/>
    <w:rsid w:val="00DA4D7E"/>
    <w:rsid w:val="00DA6EB4"/>
    <w:rsid w:val="00DA728D"/>
    <w:rsid w:val="00DB1037"/>
    <w:rsid w:val="00DB11D0"/>
    <w:rsid w:val="00DB15A2"/>
    <w:rsid w:val="00DB1ACA"/>
    <w:rsid w:val="00DB1C4B"/>
    <w:rsid w:val="00DB2C40"/>
    <w:rsid w:val="00DB3CA6"/>
    <w:rsid w:val="00DB4BB8"/>
    <w:rsid w:val="00DB59AA"/>
    <w:rsid w:val="00DB60BA"/>
    <w:rsid w:val="00DB6CC3"/>
    <w:rsid w:val="00DC0026"/>
    <w:rsid w:val="00DC08F1"/>
    <w:rsid w:val="00DC2311"/>
    <w:rsid w:val="00DC4D83"/>
    <w:rsid w:val="00DC71F1"/>
    <w:rsid w:val="00DC7747"/>
    <w:rsid w:val="00DC7B68"/>
    <w:rsid w:val="00DD0E9B"/>
    <w:rsid w:val="00DD1CB1"/>
    <w:rsid w:val="00DD2CEC"/>
    <w:rsid w:val="00DD46D7"/>
    <w:rsid w:val="00DD50FD"/>
    <w:rsid w:val="00DD661C"/>
    <w:rsid w:val="00DD7383"/>
    <w:rsid w:val="00DD7900"/>
    <w:rsid w:val="00DD791F"/>
    <w:rsid w:val="00DE03BC"/>
    <w:rsid w:val="00DE121D"/>
    <w:rsid w:val="00DE16BC"/>
    <w:rsid w:val="00DE2BBF"/>
    <w:rsid w:val="00DE3E18"/>
    <w:rsid w:val="00DE533E"/>
    <w:rsid w:val="00DE6499"/>
    <w:rsid w:val="00DF2CE6"/>
    <w:rsid w:val="00DF49DE"/>
    <w:rsid w:val="00DF4E1E"/>
    <w:rsid w:val="00DF530B"/>
    <w:rsid w:val="00DF5F56"/>
    <w:rsid w:val="00DF63BD"/>
    <w:rsid w:val="00DF6DD9"/>
    <w:rsid w:val="00DF6E47"/>
    <w:rsid w:val="00DF74E9"/>
    <w:rsid w:val="00E0060F"/>
    <w:rsid w:val="00E01973"/>
    <w:rsid w:val="00E01D8B"/>
    <w:rsid w:val="00E0263A"/>
    <w:rsid w:val="00E0345A"/>
    <w:rsid w:val="00E04CAB"/>
    <w:rsid w:val="00E051A2"/>
    <w:rsid w:val="00E05AD5"/>
    <w:rsid w:val="00E05FBC"/>
    <w:rsid w:val="00E063C4"/>
    <w:rsid w:val="00E063CB"/>
    <w:rsid w:val="00E06725"/>
    <w:rsid w:val="00E06ACC"/>
    <w:rsid w:val="00E06E2C"/>
    <w:rsid w:val="00E10065"/>
    <w:rsid w:val="00E10E79"/>
    <w:rsid w:val="00E11826"/>
    <w:rsid w:val="00E130FE"/>
    <w:rsid w:val="00E13161"/>
    <w:rsid w:val="00E1400E"/>
    <w:rsid w:val="00E14C12"/>
    <w:rsid w:val="00E151B1"/>
    <w:rsid w:val="00E15F1D"/>
    <w:rsid w:val="00E16E82"/>
    <w:rsid w:val="00E17AB6"/>
    <w:rsid w:val="00E17B68"/>
    <w:rsid w:val="00E17E48"/>
    <w:rsid w:val="00E223AC"/>
    <w:rsid w:val="00E22C02"/>
    <w:rsid w:val="00E240E0"/>
    <w:rsid w:val="00E24396"/>
    <w:rsid w:val="00E24739"/>
    <w:rsid w:val="00E24F2B"/>
    <w:rsid w:val="00E25DC1"/>
    <w:rsid w:val="00E26084"/>
    <w:rsid w:val="00E264B4"/>
    <w:rsid w:val="00E267DF"/>
    <w:rsid w:val="00E2748B"/>
    <w:rsid w:val="00E2756B"/>
    <w:rsid w:val="00E30D49"/>
    <w:rsid w:val="00E31A06"/>
    <w:rsid w:val="00E32263"/>
    <w:rsid w:val="00E336E1"/>
    <w:rsid w:val="00E3382C"/>
    <w:rsid w:val="00E35365"/>
    <w:rsid w:val="00E370BF"/>
    <w:rsid w:val="00E376B8"/>
    <w:rsid w:val="00E37703"/>
    <w:rsid w:val="00E37A71"/>
    <w:rsid w:val="00E400C4"/>
    <w:rsid w:val="00E40BA3"/>
    <w:rsid w:val="00E42490"/>
    <w:rsid w:val="00E42AFE"/>
    <w:rsid w:val="00E42B4D"/>
    <w:rsid w:val="00E42E9C"/>
    <w:rsid w:val="00E43B50"/>
    <w:rsid w:val="00E44F5D"/>
    <w:rsid w:val="00E46F4A"/>
    <w:rsid w:val="00E50547"/>
    <w:rsid w:val="00E50CFA"/>
    <w:rsid w:val="00E51BF7"/>
    <w:rsid w:val="00E5215E"/>
    <w:rsid w:val="00E525A1"/>
    <w:rsid w:val="00E52656"/>
    <w:rsid w:val="00E55039"/>
    <w:rsid w:val="00E55E6F"/>
    <w:rsid w:val="00E55ED5"/>
    <w:rsid w:val="00E56027"/>
    <w:rsid w:val="00E56233"/>
    <w:rsid w:val="00E565F2"/>
    <w:rsid w:val="00E56687"/>
    <w:rsid w:val="00E56E6F"/>
    <w:rsid w:val="00E56FF1"/>
    <w:rsid w:val="00E6107B"/>
    <w:rsid w:val="00E61768"/>
    <w:rsid w:val="00E63F46"/>
    <w:rsid w:val="00E7091D"/>
    <w:rsid w:val="00E7167C"/>
    <w:rsid w:val="00E722D7"/>
    <w:rsid w:val="00E74514"/>
    <w:rsid w:val="00E75A47"/>
    <w:rsid w:val="00E763B7"/>
    <w:rsid w:val="00E76A1D"/>
    <w:rsid w:val="00E76EC5"/>
    <w:rsid w:val="00E775A1"/>
    <w:rsid w:val="00E77677"/>
    <w:rsid w:val="00E805B6"/>
    <w:rsid w:val="00E82A93"/>
    <w:rsid w:val="00E8314D"/>
    <w:rsid w:val="00E83C86"/>
    <w:rsid w:val="00E8495D"/>
    <w:rsid w:val="00E849A5"/>
    <w:rsid w:val="00E85818"/>
    <w:rsid w:val="00E85918"/>
    <w:rsid w:val="00E85D74"/>
    <w:rsid w:val="00E877C1"/>
    <w:rsid w:val="00E9013A"/>
    <w:rsid w:val="00E90436"/>
    <w:rsid w:val="00E909F2"/>
    <w:rsid w:val="00E919E8"/>
    <w:rsid w:val="00E91BB1"/>
    <w:rsid w:val="00E9203A"/>
    <w:rsid w:val="00E93717"/>
    <w:rsid w:val="00E93FAA"/>
    <w:rsid w:val="00E94377"/>
    <w:rsid w:val="00E94AD9"/>
    <w:rsid w:val="00E95A5F"/>
    <w:rsid w:val="00E95C04"/>
    <w:rsid w:val="00E95E32"/>
    <w:rsid w:val="00E96087"/>
    <w:rsid w:val="00E96D3E"/>
    <w:rsid w:val="00EA0314"/>
    <w:rsid w:val="00EA15B9"/>
    <w:rsid w:val="00EA1AC5"/>
    <w:rsid w:val="00EA3565"/>
    <w:rsid w:val="00EA3F8C"/>
    <w:rsid w:val="00EA69D0"/>
    <w:rsid w:val="00EA7BED"/>
    <w:rsid w:val="00EA7DFB"/>
    <w:rsid w:val="00EB0027"/>
    <w:rsid w:val="00EB159D"/>
    <w:rsid w:val="00EB1A36"/>
    <w:rsid w:val="00EB5BFD"/>
    <w:rsid w:val="00EB6C08"/>
    <w:rsid w:val="00EB79BA"/>
    <w:rsid w:val="00EC07C1"/>
    <w:rsid w:val="00EC1692"/>
    <w:rsid w:val="00EC2F15"/>
    <w:rsid w:val="00EC6718"/>
    <w:rsid w:val="00EC67D0"/>
    <w:rsid w:val="00EC77CA"/>
    <w:rsid w:val="00EC7EA0"/>
    <w:rsid w:val="00ED24B4"/>
    <w:rsid w:val="00ED2F52"/>
    <w:rsid w:val="00ED61A3"/>
    <w:rsid w:val="00ED6A6C"/>
    <w:rsid w:val="00ED6C1B"/>
    <w:rsid w:val="00ED7F80"/>
    <w:rsid w:val="00ED7F92"/>
    <w:rsid w:val="00EE0CCF"/>
    <w:rsid w:val="00EE19A1"/>
    <w:rsid w:val="00EE24A0"/>
    <w:rsid w:val="00EE2C92"/>
    <w:rsid w:val="00EE30CB"/>
    <w:rsid w:val="00EE3DEB"/>
    <w:rsid w:val="00EE410D"/>
    <w:rsid w:val="00EE4ED9"/>
    <w:rsid w:val="00EE6273"/>
    <w:rsid w:val="00EE633D"/>
    <w:rsid w:val="00EE69D8"/>
    <w:rsid w:val="00EE6C3E"/>
    <w:rsid w:val="00EF0E00"/>
    <w:rsid w:val="00EF14DB"/>
    <w:rsid w:val="00EF2386"/>
    <w:rsid w:val="00EF2479"/>
    <w:rsid w:val="00EF4D07"/>
    <w:rsid w:val="00EF57C8"/>
    <w:rsid w:val="00EF65B5"/>
    <w:rsid w:val="00EF7B7E"/>
    <w:rsid w:val="00F04414"/>
    <w:rsid w:val="00F04D38"/>
    <w:rsid w:val="00F06CC2"/>
    <w:rsid w:val="00F071B5"/>
    <w:rsid w:val="00F0726D"/>
    <w:rsid w:val="00F108AD"/>
    <w:rsid w:val="00F108DA"/>
    <w:rsid w:val="00F10BB2"/>
    <w:rsid w:val="00F11AAC"/>
    <w:rsid w:val="00F11C8D"/>
    <w:rsid w:val="00F122A3"/>
    <w:rsid w:val="00F13378"/>
    <w:rsid w:val="00F1342D"/>
    <w:rsid w:val="00F15B93"/>
    <w:rsid w:val="00F15D0A"/>
    <w:rsid w:val="00F16026"/>
    <w:rsid w:val="00F1678C"/>
    <w:rsid w:val="00F16806"/>
    <w:rsid w:val="00F16847"/>
    <w:rsid w:val="00F179B6"/>
    <w:rsid w:val="00F2002A"/>
    <w:rsid w:val="00F207A4"/>
    <w:rsid w:val="00F2324E"/>
    <w:rsid w:val="00F232EF"/>
    <w:rsid w:val="00F26339"/>
    <w:rsid w:val="00F26416"/>
    <w:rsid w:val="00F274AA"/>
    <w:rsid w:val="00F2762E"/>
    <w:rsid w:val="00F30BEC"/>
    <w:rsid w:val="00F322F3"/>
    <w:rsid w:val="00F324FA"/>
    <w:rsid w:val="00F344AE"/>
    <w:rsid w:val="00F37365"/>
    <w:rsid w:val="00F378A3"/>
    <w:rsid w:val="00F37C77"/>
    <w:rsid w:val="00F4049F"/>
    <w:rsid w:val="00F46205"/>
    <w:rsid w:val="00F463EB"/>
    <w:rsid w:val="00F46D16"/>
    <w:rsid w:val="00F46E4D"/>
    <w:rsid w:val="00F475E2"/>
    <w:rsid w:val="00F47A70"/>
    <w:rsid w:val="00F50155"/>
    <w:rsid w:val="00F50710"/>
    <w:rsid w:val="00F514A5"/>
    <w:rsid w:val="00F519D1"/>
    <w:rsid w:val="00F52B36"/>
    <w:rsid w:val="00F53740"/>
    <w:rsid w:val="00F54395"/>
    <w:rsid w:val="00F556B7"/>
    <w:rsid w:val="00F55ACA"/>
    <w:rsid w:val="00F55B82"/>
    <w:rsid w:val="00F56A01"/>
    <w:rsid w:val="00F56E69"/>
    <w:rsid w:val="00F572D4"/>
    <w:rsid w:val="00F61AAA"/>
    <w:rsid w:val="00F62218"/>
    <w:rsid w:val="00F632AB"/>
    <w:rsid w:val="00F64877"/>
    <w:rsid w:val="00F64CBA"/>
    <w:rsid w:val="00F65B0E"/>
    <w:rsid w:val="00F665E4"/>
    <w:rsid w:val="00F673DE"/>
    <w:rsid w:val="00F675FD"/>
    <w:rsid w:val="00F70EA7"/>
    <w:rsid w:val="00F7353D"/>
    <w:rsid w:val="00F747DA"/>
    <w:rsid w:val="00F75C6D"/>
    <w:rsid w:val="00F76010"/>
    <w:rsid w:val="00F76EAD"/>
    <w:rsid w:val="00F76F88"/>
    <w:rsid w:val="00F80406"/>
    <w:rsid w:val="00F81DEE"/>
    <w:rsid w:val="00F836E5"/>
    <w:rsid w:val="00F847B6"/>
    <w:rsid w:val="00F850D0"/>
    <w:rsid w:val="00F854FD"/>
    <w:rsid w:val="00F865BC"/>
    <w:rsid w:val="00F8680D"/>
    <w:rsid w:val="00F870DA"/>
    <w:rsid w:val="00F9102C"/>
    <w:rsid w:val="00F927D0"/>
    <w:rsid w:val="00F93664"/>
    <w:rsid w:val="00F948A6"/>
    <w:rsid w:val="00F94A49"/>
    <w:rsid w:val="00F96DA8"/>
    <w:rsid w:val="00F9746C"/>
    <w:rsid w:val="00F97CB5"/>
    <w:rsid w:val="00F97E5A"/>
    <w:rsid w:val="00FA19D4"/>
    <w:rsid w:val="00FA1F4C"/>
    <w:rsid w:val="00FA3314"/>
    <w:rsid w:val="00FA3F81"/>
    <w:rsid w:val="00FA41C8"/>
    <w:rsid w:val="00FA59D9"/>
    <w:rsid w:val="00FA6003"/>
    <w:rsid w:val="00FB010D"/>
    <w:rsid w:val="00FB1148"/>
    <w:rsid w:val="00FB3444"/>
    <w:rsid w:val="00FB4695"/>
    <w:rsid w:val="00FB4B8B"/>
    <w:rsid w:val="00FB5F35"/>
    <w:rsid w:val="00FB6905"/>
    <w:rsid w:val="00FB6A7A"/>
    <w:rsid w:val="00FB7F4E"/>
    <w:rsid w:val="00FC0885"/>
    <w:rsid w:val="00FC0FE9"/>
    <w:rsid w:val="00FC119D"/>
    <w:rsid w:val="00FC24F5"/>
    <w:rsid w:val="00FC3777"/>
    <w:rsid w:val="00FC691E"/>
    <w:rsid w:val="00FC7F93"/>
    <w:rsid w:val="00FD04E5"/>
    <w:rsid w:val="00FD1408"/>
    <w:rsid w:val="00FD3B5D"/>
    <w:rsid w:val="00FD4474"/>
    <w:rsid w:val="00FD464B"/>
    <w:rsid w:val="00FD4E9B"/>
    <w:rsid w:val="00FD56CA"/>
    <w:rsid w:val="00FD6523"/>
    <w:rsid w:val="00FE0320"/>
    <w:rsid w:val="00FE2EAD"/>
    <w:rsid w:val="00FE46DE"/>
    <w:rsid w:val="00FE562D"/>
    <w:rsid w:val="00FE6C08"/>
    <w:rsid w:val="00FE74B9"/>
    <w:rsid w:val="00FF0053"/>
    <w:rsid w:val="00FF113B"/>
    <w:rsid w:val="00FF1B98"/>
    <w:rsid w:val="00FF1D5F"/>
    <w:rsid w:val="00FF2FFB"/>
    <w:rsid w:val="00FF3943"/>
    <w:rsid w:val="00FF5F10"/>
    <w:rsid w:val="00FF6474"/>
    <w:rsid w:val="00FF6B3C"/>
    <w:rsid w:val="00FF6CBD"/>
    <w:rsid w:val="00FF78EC"/>
    <w:rsid w:val="00FF7A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C672DC"/>
  <w15:docId w15:val="{92B83532-E7B5-41CD-9405-E16BC7872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CA" w:eastAsia="en-C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ACA"/>
    <w:pPr>
      <w:jc w:val="both"/>
    </w:pPr>
    <w:rPr>
      <w:rFonts w:ascii="Arial" w:hAnsi="Arial"/>
      <w:sz w:val="22"/>
      <w:szCs w:val="24"/>
    </w:rPr>
  </w:style>
  <w:style w:type="paragraph" w:styleId="Heading1">
    <w:name w:val="heading 1"/>
    <w:basedOn w:val="Normal"/>
    <w:next w:val="Normal"/>
    <w:autoRedefine/>
    <w:qFormat/>
    <w:rsid w:val="000F6EA5"/>
    <w:pPr>
      <w:keepNext/>
      <w:spacing w:before="240" w:after="60"/>
      <w:jc w:val="left"/>
      <w:outlineLvl w:val="0"/>
    </w:pPr>
    <w:rPr>
      <w:rFonts w:cs="Arial"/>
      <w:b/>
      <w:bCs/>
      <w:kern w:val="32"/>
      <w:sz w:val="28"/>
    </w:rPr>
  </w:style>
  <w:style w:type="paragraph" w:styleId="Heading2">
    <w:name w:val="heading 2"/>
    <w:basedOn w:val="Normal"/>
    <w:next w:val="Normal"/>
    <w:qFormat/>
    <w:rsid w:val="0011314D"/>
    <w:pPr>
      <w:keepNext/>
      <w:spacing w:before="240" w:after="60"/>
      <w:jc w:val="left"/>
      <w:outlineLvl w:val="1"/>
    </w:pPr>
    <w:rPr>
      <w:rFonts w:cs="Arial"/>
      <w:b/>
      <w:bCs/>
      <w:sz w:val="28"/>
      <w:szCs w:val="28"/>
    </w:rPr>
  </w:style>
  <w:style w:type="paragraph" w:styleId="Heading3">
    <w:name w:val="heading 3"/>
    <w:basedOn w:val="Normal"/>
    <w:next w:val="Normal"/>
    <w:qFormat/>
    <w:rsid w:val="0011314D"/>
    <w:pPr>
      <w:keepNext/>
      <w:spacing w:before="240" w:after="60"/>
      <w:jc w:val="left"/>
      <w:outlineLvl w:val="2"/>
    </w:pPr>
    <w:rPr>
      <w:rFonts w:cs="Arial"/>
      <w:b/>
      <w:bCs/>
      <w:sz w:val="24"/>
      <w:szCs w:val="26"/>
    </w:rPr>
  </w:style>
  <w:style w:type="paragraph" w:styleId="Heading4">
    <w:name w:val="heading 4"/>
    <w:basedOn w:val="Normal"/>
    <w:next w:val="Normal"/>
    <w:qFormat/>
    <w:rsid w:val="00BD57C6"/>
    <w:pPr>
      <w:keepNext/>
      <w:numPr>
        <w:ilvl w:val="3"/>
        <w:numId w:val="1"/>
      </w:numPr>
      <w:tabs>
        <w:tab w:val="clear" w:pos="720"/>
        <w:tab w:val="left" w:pos="864"/>
      </w:tabs>
      <w:spacing w:before="240" w:after="60"/>
      <w:outlineLvl w:val="3"/>
    </w:pPr>
    <w:rPr>
      <w:b/>
      <w:bCs/>
      <w:szCs w:val="28"/>
    </w:rPr>
  </w:style>
  <w:style w:type="paragraph" w:styleId="Heading5">
    <w:name w:val="heading 5"/>
    <w:basedOn w:val="Normal"/>
    <w:next w:val="Normal"/>
    <w:qFormat/>
    <w:rsid w:val="00FD4474"/>
    <w:pPr>
      <w:spacing w:before="240" w:after="60"/>
      <w:outlineLvl w:val="4"/>
    </w:pPr>
    <w:rPr>
      <w:b/>
      <w:bCs/>
      <w:i/>
      <w:iCs/>
      <w:sz w:val="26"/>
      <w:szCs w:val="26"/>
    </w:rPr>
  </w:style>
  <w:style w:type="paragraph" w:styleId="Heading7">
    <w:name w:val="heading 7"/>
    <w:basedOn w:val="Normal"/>
    <w:next w:val="Normal"/>
    <w:qFormat/>
    <w:rsid w:val="00FD4474"/>
    <w:pPr>
      <w:spacing w:before="240" w:after="60"/>
      <w:outlineLvl w:val="6"/>
    </w:pPr>
  </w:style>
  <w:style w:type="paragraph" w:styleId="Heading8">
    <w:name w:val="heading 8"/>
    <w:basedOn w:val="Normal"/>
    <w:next w:val="Normal"/>
    <w:qFormat/>
    <w:rsid w:val="00237DE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A581B"/>
    <w:rPr>
      <w:color w:val="0000FF"/>
      <w:u w:val="single"/>
    </w:rPr>
  </w:style>
  <w:style w:type="paragraph" w:styleId="Header">
    <w:name w:val="header"/>
    <w:basedOn w:val="Normal"/>
    <w:rsid w:val="00D2296E"/>
    <w:pPr>
      <w:tabs>
        <w:tab w:val="center" w:pos="4320"/>
        <w:tab w:val="right" w:pos="8640"/>
      </w:tabs>
    </w:pPr>
  </w:style>
  <w:style w:type="paragraph" w:styleId="Footer">
    <w:name w:val="footer"/>
    <w:basedOn w:val="Normal"/>
    <w:rsid w:val="00D2296E"/>
    <w:pPr>
      <w:tabs>
        <w:tab w:val="center" w:pos="4320"/>
        <w:tab w:val="right" w:pos="8640"/>
      </w:tabs>
    </w:pPr>
  </w:style>
  <w:style w:type="character" w:styleId="PageNumber">
    <w:name w:val="page number"/>
    <w:basedOn w:val="DefaultParagraphFont"/>
    <w:rsid w:val="00C4480A"/>
  </w:style>
  <w:style w:type="character" w:styleId="FootnoteReference">
    <w:name w:val="footnote reference"/>
    <w:basedOn w:val="DefaultParagraphFont"/>
    <w:uiPriority w:val="99"/>
    <w:semiHidden/>
    <w:rsid w:val="00FD4474"/>
  </w:style>
  <w:style w:type="paragraph" w:styleId="FootnoteText">
    <w:name w:val="footnote text"/>
    <w:basedOn w:val="Normal"/>
    <w:link w:val="FootnoteTextChar"/>
    <w:uiPriority w:val="99"/>
    <w:rsid w:val="00FD4474"/>
    <w:pPr>
      <w:widowControl w:val="0"/>
    </w:pPr>
    <w:rPr>
      <w:rFonts w:cs="Arial"/>
      <w:sz w:val="20"/>
      <w:szCs w:val="20"/>
      <w:lang w:eastAsia="en-US"/>
    </w:rPr>
  </w:style>
  <w:style w:type="character" w:styleId="CommentReference">
    <w:name w:val="annotation reference"/>
    <w:basedOn w:val="DefaultParagraphFont"/>
    <w:uiPriority w:val="99"/>
    <w:semiHidden/>
    <w:rsid w:val="00FD4474"/>
    <w:rPr>
      <w:sz w:val="16"/>
      <w:szCs w:val="16"/>
    </w:rPr>
  </w:style>
  <w:style w:type="paragraph" w:styleId="CommentText">
    <w:name w:val="annotation text"/>
    <w:basedOn w:val="Normal"/>
    <w:link w:val="CommentTextChar"/>
    <w:uiPriority w:val="99"/>
    <w:rsid w:val="00FD4474"/>
    <w:pPr>
      <w:widowControl w:val="0"/>
    </w:pPr>
    <w:rPr>
      <w:rFonts w:cs="Arial"/>
      <w:sz w:val="20"/>
      <w:szCs w:val="20"/>
      <w:lang w:eastAsia="en-US"/>
    </w:rPr>
  </w:style>
  <w:style w:type="paragraph" w:styleId="BalloonText">
    <w:name w:val="Balloon Text"/>
    <w:basedOn w:val="Normal"/>
    <w:semiHidden/>
    <w:rsid w:val="00FD4474"/>
    <w:rPr>
      <w:rFonts w:ascii="Tahoma" w:hAnsi="Tahoma" w:cs="Tahoma"/>
      <w:sz w:val="16"/>
      <w:szCs w:val="16"/>
    </w:rPr>
  </w:style>
  <w:style w:type="paragraph" w:styleId="BodyText">
    <w:name w:val="Body Text"/>
    <w:basedOn w:val="Normal"/>
    <w:rsid w:val="00FD4474"/>
    <w:pPr>
      <w:widowControl w:val="0"/>
    </w:pPr>
    <w:rPr>
      <w:rFonts w:cs="Arial"/>
      <w:sz w:val="20"/>
      <w:szCs w:val="20"/>
      <w:lang w:eastAsia="en-US"/>
    </w:rPr>
  </w:style>
  <w:style w:type="character" w:customStyle="1" w:styleId="rulebold">
    <w:name w:val="rulebold"/>
    <w:rsid w:val="00FD4474"/>
    <w:rPr>
      <w:b/>
      <w:bCs/>
    </w:rPr>
  </w:style>
  <w:style w:type="character" w:customStyle="1" w:styleId="undline">
    <w:name w:val="undline"/>
    <w:rsid w:val="00FD4474"/>
    <w:rPr>
      <w:u w:val="single"/>
    </w:rPr>
  </w:style>
  <w:style w:type="paragraph" w:styleId="BodyTextIndent">
    <w:name w:val="Body Text Indent"/>
    <w:basedOn w:val="Normal"/>
    <w:rsid w:val="00FD4474"/>
    <w:pPr>
      <w:widowControl w:val="0"/>
      <w:tabs>
        <w:tab w:val="left" w:pos="90"/>
      </w:tabs>
      <w:ind w:left="270"/>
    </w:pPr>
    <w:rPr>
      <w:rFonts w:cs="Arial"/>
      <w:color w:val="000000"/>
      <w:sz w:val="20"/>
      <w:szCs w:val="20"/>
      <w:lang w:eastAsia="en-US"/>
    </w:rPr>
  </w:style>
  <w:style w:type="paragraph" w:customStyle="1" w:styleId="normaltxt">
    <w:name w:val="normal txt"/>
    <w:link w:val="normaltxtChar"/>
    <w:rsid w:val="00FD4474"/>
    <w:pPr>
      <w:tabs>
        <w:tab w:val="left" w:pos="-960"/>
        <w:tab w:val="left" w:pos="-240"/>
        <w:tab w:val="left" w:pos="0"/>
        <w:tab w:val="left" w:pos="480"/>
        <w:tab w:val="left" w:pos="648"/>
        <w:tab w:val="left" w:pos="1200"/>
        <w:tab w:val="left" w:pos="1338"/>
        <w:tab w:val="left" w:pos="1920"/>
        <w:tab w:val="left" w:pos="2640"/>
        <w:tab w:val="left" w:pos="3360"/>
        <w:tab w:val="left" w:pos="4080"/>
        <w:tab w:val="left" w:pos="4800"/>
        <w:tab w:val="left" w:pos="5520"/>
        <w:tab w:val="left" w:pos="6240"/>
        <w:tab w:val="left" w:pos="6960"/>
        <w:tab w:val="left" w:pos="7680"/>
        <w:tab w:val="left" w:pos="8400"/>
        <w:tab w:val="left" w:pos="9120"/>
        <w:tab w:val="left" w:pos="9360"/>
      </w:tabs>
      <w:jc w:val="both"/>
    </w:pPr>
    <w:rPr>
      <w:rFonts w:ascii="Arial" w:hAnsi="Arial" w:cs="Arial"/>
      <w:lang w:eastAsia="en-US"/>
    </w:rPr>
  </w:style>
  <w:style w:type="paragraph" w:styleId="BodyTextIndent2">
    <w:name w:val="Body Text Indent 2"/>
    <w:basedOn w:val="Normal"/>
    <w:rsid w:val="00FD4474"/>
    <w:pPr>
      <w:ind w:left="360" w:hanging="360"/>
    </w:pPr>
    <w:rPr>
      <w:rFonts w:cs="Arial"/>
      <w:lang w:eastAsia="en-US"/>
    </w:rPr>
  </w:style>
  <w:style w:type="paragraph" w:customStyle="1" w:styleId="Appendices">
    <w:name w:val="Appendices"/>
    <w:basedOn w:val="Heading2"/>
    <w:rsid w:val="00FD4474"/>
    <w:pPr>
      <w:keepNext w:val="0"/>
      <w:widowControl w:val="0"/>
      <w:pBdr>
        <w:top w:val="single" w:sz="6" w:space="0" w:color="FFFFFF"/>
        <w:left w:val="single" w:sz="6" w:space="0" w:color="FFFFFF"/>
        <w:bottom w:val="single" w:sz="6" w:space="0" w:color="FFFFFF"/>
        <w:right w:val="single" w:sz="6" w:space="0" w:color="FFFFFF"/>
      </w:pBd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pPr>
    <w:rPr>
      <w:lang w:eastAsia="en-US"/>
    </w:rPr>
  </w:style>
  <w:style w:type="paragraph" w:styleId="Caption">
    <w:name w:val="caption"/>
    <w:basedOn w:val="Normal"/>
    <w:next w:val="Normal"/>
    <w:qFormat/>
    <w:rsid w:val="00FD4474"/>
    <w:pPr>
      <w:tabs>
        <w:tab w:val="left" w:pos="0"/>
        <w:tab w:val="left" w:pos="720"/>
        <w:tab w:val="left" w:pos="1170"/>
        <w:tab w:val="left" w:pos="2070"/>
        <w:tab w:val="left" w:pos="2520"/>
      </w:tabs>
      <w:spacing w:line="288" w:lineRule="exact"/>
    </w:pPr>
    <w:rPr>
      <w:rFonts w:cs="Arial"/>
      <w:i/>
      <w:iCs/>
      <w:color w:val="000000"/>
    </w:rPr>
  </w:style>
  <w:style w:type="character" w:customStyle="1" w:styleId="QuickFormat1">
    <w:name w:val="QuickFormat1"/>
    <w:rsid w:val="0043291E"/>
    <w:rPr>
      <w:rFonts w:ascii="Arial" w:hAnsi="Arial" w:cs="Arial"/>
      <w:b/>
      <w:bCs/>
      <w:color w:val="000000"/>
      <w:sz w:val="40"/>
      <w:szCs w:val="40"/>
    </w:rPr>
  </w:style>
  <w:style w:type="paragraph" w:styleId="TOC1">
    <w:name w:val="toc 1"/>
    <w:basedOn w:val="Normal"/>
    <w:next w:val="Normal"/>
    <w:autoRedefine/>
    <w:uiPriority w:val="39"/>
    <w:qFormat/>
    <w:rsid w:val="00EF2386"/>
    <w:pPr>
      <w:tabs>
        <w:tab w:val="left" w:pos="360"/>
        <w:tab w:val="right" w:leader="dot" w:pos="7920"/>
      </w:tabs>
      <w:spacing w:before="240"/>
      <w:ind w:left="360" w:hanging="360"/>
    </w:pPr>
    <w:rPr>
      <w:rFonts w:cs="Arial"/>
      <w:b/>
      <w:bCs/>
      <w:noProof/>
      <w:szCs w:val="22"/>
      <w:lang w:eastAsia="en-US"/>
    </w:rPr>
  </w:style>
  <w:style w:type="paragraph" w:styleId="TOC2">
    <w:name w:val="toc 2"/>
    <w:basedOn w:val="Normal"/>
    <w:next w:val="Normal"/>
    <w:autoRedefine/>
    <w:uiPriority w:val="39"/>
    <w:qFormat/>
    <w:rsid w:val="00AA414B"/>
    <w:pPr>
      <w:widowControl w:val="0"/>
      <w:tabs>
        <w:tab w:val="left" w:pos="648"/>
        <w:tab w:val="left" w:pos="1418"/>
        <w:tab w:val="right" w:leader="dot" w:pos="7920"/>
      </w:tabs>
      <w:jc w:val="left"/>
    </w:pPr>
    <w:rPr>
      <w:rFonts w:cs="Arial"/>
      <w:noProof/>
      <w:szCs w:val="22"/>
      <w:lang w:eastAsia="en-US"/>
    </w:rPr>
  </w:style>
  <w:style w:type="paragraph" w:styleId="TOC3">
    <w:name w:val="toc 3"/>
    <w:basedOn w:val="Normal"/>
    <w:next w:val="Normal"/>
    <w:autoRedefine/>
    <w:uiPriority w:val="39"/>
    <w:qFormat/>
    <w:rsid w:val="00AE1711"/>
    <w:pPr>
      <w:widowControl w:val="0"/>
      <w:tabs>
        <w:tab w:val="left" w:pos="1152"/>
        <w:tab w:val="right" w:leader="dot" w:pos="7920"/>
      </w:tabs>
      <w:ind w:left="1728" w:hanging="828"/>
      <w:jc w:val="left"/>
    </w:pPr>
    <w:rPr>
      <w:rFonts w:cs="Arial"/>
      <w:noProof/>
      <w:szCs w:val="20"/>
      <w:lang w:eastAsia="en-US"/>
    </w:rPr>
  </w:style>
  <w:style w:type="paragraph" w:styleId="TOC4">
    <w:name w:val="toc 4"/>
    <w:basedOn w:val="Normal"/>
    <w:next w:val="Normal"/>
    <w:autoRedefine/>
    <w:semiHidden/>
    <w:rsid w:val="005F1D80"/>
    <w:pPr>
      <w:widowControl w:val="0"/>
      <w:tabs>
        <w:tab w:val="right" w:leader="dot" w:pos="7920"/>
      </w:tabs>
      <w:spacing w:before="120"/>
      <w:ind w:left="216"/>
      <w:contextualSpacing/>
    </w:pPr>
    <w:rPr>
      <w:rFonts w:cs="Arial"/>
      <w:noProof/>
      <w:szCs w:val="20"/>
      <w:lang w:eastAsia="en-US"/>
    </w:rPr>
  </w:style>
  <w:style w:type="paragraph" w:customStyle="1" w:styleId="StyleHeading1145pt">
    <w:name w:val="Style Heading 1 + 14.5 pt"/>
    <w:basedOn w:val="Heading1"/>
    <w:rsid w:val="001112A3"/>
  </w:style>
  <w:style w:type="paragraph" w:styleId="CommentSubject">
    <w:name w:val="annotation subject"/>
    <w:basedOn w:val="CommentText"/>
    <w:next w:val="CommentText"/>
    <w:semiHidden/>
    <w:rsid w:val="0030662A"/>
    <w:pPr>
      <w:widowControl/>
    </w:pPr>
    <w:rPr>
      <w:rFonts w:cs="Times New Roman"/>
      <w:b/>
      <w:bCs/>
      <w:lang w:eastAsia="en-CA"/>
    </w:rPr>
  </w:style>
  <w:style w:type="paragraph" w:styleId="BodyText2">
    <w:name w:val="Body Text 2"/>
    <w:basedOn w:val="Normal"/>
    <w:rsid w:val="000431A8"/>
    <w:pPr>
      <w:widowControl w:val="0"/>
      <w:spacing w:line="236" w:lineRule="auto"/>
    </w:pPr>
    <w:rPr>
      <w:b/>
      <w:snapToGrid w:val="0"/>
      <w:szCs w:val="20"/>
      <w:lang w:eastAsia="en-US"/>
    </w:rPr>
  </w:style>
  <w:style w:type="character" w:styleId="EndnoteReference">
    <w:name w:val="endnote reference"/>
    <w:basedOn w:val="DefaultParagraphFont"/>
    <w:semiHidden/>
    <w:rsid w:val="00F46E4D"/>
    <w:rPr>
      <w:vertAlign w:val="superscript"/>
    </w:rPr>
  </w:style>
  <w:style w:type="character" w:styleId="FollowedHyperlink">
    <w:name w:val="FollowedHyperlink"/>
    <w:basedOn w:val="DefaultParagraphFont"/>
    <w:rsid w:val="00947F21"/>
    <w:rPr>
      <w:color w:val="800080"/>
      <w:u w:val="single"/>
    </w:rPr>
  </w:style>
  <w:style w:type="paragraph" w:styleId="BodyText3">
    <w:name w:val="Body Text 3"/>
    <w:basedOn w:val="Normal"/>
    <w:rsid w:val="00AC1243"/>
    <w:pPr>
      <w:spacing w:after="120"/>
    </w:pPr>
    <w:rPr>
      <w:sz w:val="16"/>
      <w:szCs w:val="16"/>
    </w:rPr>
  </w:style>
  <w:style w:type="paragraph" w:customStyle="1" w:styleId="StyleHeading2Left0Firstline0">
    <w:name w:val="Style Heading 2 + Left:  0&quot; First line:  0&quot;"/>
    <w:basedOn w:val="Heading2"/>
    <w:rsid w:val="008A2DB7"/>
    <w:rPr>
      <w:rFonts w:cs="Times New Roman"/>
      <w:szCs w:val="20"/>
    </w:rPr>
  </w:style>
  <w:style w:type="paragraph" w:customStyle="1" w:styleId="bullet1">
    <w:name w:val="bullet 1"/>
    <w:basedOn w:val="Normal"/>
    <w:rsid w:val="00C858F0"/>
    <w:pPr>
      <w:numPr>
        <w:numId w:val="12"/>
      </w:numPr>
      <w:jc w:val="left"/>
    </w:pPr>
  </w:style>
  <w:style w:type="paragraph" w:customStyle="1" w:styleId="bullet2">
    <w:name w:val="bullet 2"/>
    <w:basedOn w:val="Normal"/>
    <w:rsid w:val="00C858F0"/>
    <w:pPr>
      <w:numPr>
        <w:numId w:val="13"/>
      </w:numPr>
      <w:jc w:val="left"/>
    </w:pPr>
  </w:style>
  <w:style w:type="character" w:customStyle="1" w:styleId="normaltxtChar">
    <w:name w:val="normal txt Char"/>
    <w:basedOn w:val="DefaultParagraphFont"/>
    <w:link w:val="normaltxt"/>
    <w:rsid w:val="006A607A"/>
    <w:rPr>
      <w:rFonts w:ascii="Arial" w:hAnsi="Arial" w:cs="Arial"/>
      <w:lang w:val="fr-CA" w:eastAsia="en-US" w:bidi="ar-SA"/>
    </w:rPr>
  </w:style>
  <w:style w:type="table" w:styleId="TableGrid">
    <w:name w:val="Table Grid"/>
    <w:basedOn w:val="TableNormal"/>
    <w:uiPriority w:val="59"/>
    <w:rsid w:val="00C12D6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6C"/>
    <w:rPr>
      <w:rFonts w:ascii="Arial" w:hAnsi="Arial"/>
      <w:sz w:val="22"/>
      <w:szCs w:val="24"/>
    </w:rPr>
  </w:style>
  <w:style w:type="paragraph" w:styleId="TOCHeading">
    <w:name w:val="TOC Heading"/>
    <w:basedOn w:val="Heading1"/>
    <w:next w:val="Normal"/>
    <w:uiPriority w:val="39"/>
    <w:semiHidden/>
    <w:unhideWhenUsed/>
    <w:qFormat/>
    <w:rsid w:val="00AA414B"/>
    <w:pPr>
      <w:keepLines/>
      <w:spacing w:before="480" w:after="0" w:line="276" w:lineRule="auto"/>
      <w:outlineLvl w:val="9"/>
    </w:pPr>
    <w:rPr>
      <w:rFonts w:ascii="Cambria" w:hAnsi="Cambria" w:cs="Times New Roman"/>
      <w:color w:val="365F91"/>
      <w:kern w:val="0"/>
      <w:szCs w:val="28"/>
      <w:lang w:eastAsia="en-US"/>
    </w:rPr>
  </w:style>
  <w:style w:type="paragraph" w:styleId="NormalWeb">
    <w:name w:val="Normal (Web)"/>
    <w:basedOn w:val="Normal"/>
    <w:uiPriority w:val="99"/>
    <w:semiHidden/>
    <w:unhideWhenUsed/>
    <w:rsid w:val="002B12B3"/>
    <w:pPr>
      <w:spacing w:before="100" w:beforeAutospacing="1" w:after="100" w:afterAutospacing="1"/>
      <w:jc w:val="left"/>
    </w:pPr>
    <w:rPr>
      <w:rFonts w:ascii="Times New Roman" w:hAnsi="Times New Roman"/>
      <w:sz w:val="24"/>
    </w:rPr>
  </w:style>
  <w:style w:type="paragraph" w:styleId="ListParagraph">
    <w:name w:val="List Paragraph"/>
    <w:basedOn w:val="Normal"/>
    <w:uiPriority w:val="34"/>
    <w:qFormat/>
    <w:rsid w:val="000B6432"/>
    <w:pPr>
      <w:ind w:left="720"/>
      <w:contextualSpacing/>
    </w:pPr>
  </w:style>
  <w:style w:type="character" w:customStyle="1" w:styleId="CommentTextChar">
    <w:name w:val="Comment Text Char"/>
    <w:basedOn w:val="DefaultParagraphFont"/>
    <w:link w:val="CommentText"/>
    <w:uiPriority w:val="99"/>
    <w:rsid w:val="008D2A73"/>
    <w:rPr>
      <w:rFonts w:ascii="Arial" w:hAnsi="Arial" w:cs="Arial"/>
      <w:lang w:val="fr-CA" w:eastAsia="en-US"/>
    </w:rPr>
  </w:style>
  <w:style w:type="paragraph" w:styleId="EndnoteText">
    <w:name w:val="endnote text"/>
    <w:basedOn w:val="Normal"/>
    <w:link w:val="EndnoteTextChar"/>
    <w:uiPriority w:val="99"/>
    <w:semiHidden/>
    <w:unhideWhenUsed/>
    <w:rsid w:val="007D3564"/>
    <w:rPr>
      <w:sz w:val="20"/>
      <w:szCs w:val="20"/>
    </w:rPr>
  </w:style>
  <w:style w:type="character" w:customStyle="1" w:styleId="EndnoteTextChar">
    <w:name w:val="Endnote Text Char"/>
    <w:basedOn w:val="DefaultParagraphFont"/>
    <w:link w:val="EndnoteText"/>
    <w:uiPriority w:val="99"/>
    <w:semiHidden/>
    <w:rsid w:val="007D3564"/>
    <w:rPr>
      <w:rFonts w:ascii="Arial" w:hAnsi="Arial"/>
    </w:rPr>
  </w:style>
  <w:style w:type="character" w:customStyle="1" w:styleId="FootnoteTextChar">
    <w:name w:val="Footnote Text Char"/>
    <w:basedOn w:val="DefaultParagraphFont"/>
    <w:link w:val="FootnoteText"/>
    <w:uiPriority w:val="99"/>
    <w:rsid w:val="00DF49DE"/>
    <w:rPr>
      <w:rFonts w:ascii="Arial" w:hAnsi="Arial" w:cs="Arial"/>
      <w:lang w:val="fr-CA" w:eastAsia="en-US"/>
    </w:rPr>
  </w:style>
  <w:style w:type="paragraph" w:styleId="NoSpacing">
    <w:name w:val="No Spacing"/>
    <w:uiPriority w:val="1"/>
    <w:qFormat/>
    <w:rsid w:val="007A3C55"/>
    <w:pPr>
      <w:jc w:val="both"/>
    </w:pPr>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69562">
      <w:bodyDiv w:val="1"/>
      <w:marLeft w:val="0"/>
      <w:marRight w:val="0"/>
      <w:marTop w:val="0"/>
      <w:marBottom w:val="0"/>
      <w:divBdr>
        <w:top w:val="none" w:sz="0" w:space="0" w:color="auto"/>
        <w:left w:val="none" w:sz="0" w:space="0" w:color="auto"/>
        <w:bottom w:val="none" w:sz="0" w:space="0" w:color="auto"/>
        <w:right w:val="none" w:sz="0" w:space="0" w:color="auto"/>
      </w:divBdr>
    </w:div>
    <w:div w:id="202257523">
      <w:bodyDiv w:val="1"/>
      <w:marLeft w:val="0"/>
      <w:marRight w:val="0"/>
      <w:marTop w:val="0"/>
      <w:marBottom w:val="0"/>
      <w:divBdr>
        <w:top w:val="none" w:sz="0" w:space="0" w:color="auto"/>
        <w:left w:val="none" w:sz="0" w:space="0" w:color="auto"/>
        <w:bottom w:val="none" w:sz="0" w:space="0" w:color="auto"/>
        <w:right w:val="none" w:sz="0" w:space="0" w:color="auto"/>
      </w:divBdr>
    </w:div>
    <w:div w:id="379674599">
      <w:bodyDiv w:val="1"/>
      <w:marLeft w:val="0"/>
      <w:marRight w:val="0"/>
      <w:marTop w:val="0"/>
      <w:marBottom w:val="0"/>
      <w:divBdr>
        <w:top w:val="none" w:sz="0" w:space="0" w:color="auto"/>
        <w:left w:val="none" w:sz="0" w:space="0" w:color="auto"/>
        <w:bottom w:val="none" w:sz="0" w:space="0" w:color="auto"/>
        <w:right w:val="none" w:sz="0" w:space="0" w:color="auto"/>
      </w:divBdr>
    </w:div>
    <w:div w:id="519125251">
      <w:bodyDiv w:val="1"/>
      <w:marLeft w:val="0"/>
      <w:marRight w:val="0"/>
      <w:marTop w:val="0"/>
      <w:marBottom w:val="0"/>
      <w:divBdr>
        <w:top w:val="none" w:sz="0" w:space="0" w:color="auto"/>
        <w:left w:val="none" w:sz="0" w:space="0" w:color="auto"/>
        <w:bottom w:val="none" w:sz="0" w:space="0" w:color="auto"/>
        <w:right w:val="none" w:sz="0" w:space="0" w:color="auto"/>
      </w:divBdr>
    </w:div>
    <w:div w:id="598948284">
      <w:bodyDiv w:val="1"/>
      <w:marLeft w:val="0"/>
      <w:marRight w:val="0"/>
      <w:marTop w:val="0"/>
      <w:marBottom w:val="0"/>
      <w:divBdr>
        <w:top w:val="none" w:sz="0" w:space="0" w:color="auto"/>
        <w:left w:val="none" w:sz="0" w:space="0" w:color="auto"/>
        <w:bottom w:val="none" w:sz="0" w:space="0" w:color="auto"/>
        <w:right w:val="none" w:sz="0" w:space="0" w:color="auto"/>
      </w:divBdr>
    </w:div>
    <w:div w:id="645550663">
      <w:bodyDiv w:val="1"/>
      <w:marLeft w:val="0"/>
      <w:marRight w:val="0"/>
      <w:marTop w:val="0"/>
      <w:marBottom w:val="0"/>
      <w:divBdr>
        <w:top w:val="none" w:sz="0" w:space="0" w:color="auto"/>
        <w:left w:val="none" w:sz="0" w:space="0" w:color="auto"/>
        <w:bottom w:val="none" w:sz="0" w:space="0" w:color="auto"/>
        <w:right w:val="none" w:sz="0" w:space="0" w:color="auto"/>
      </w:divBdr>
    </w:div>
    <w:div w:id="674922099">
      <w:bodyDiv w:val="1"/>
      <w:marLeft w:val="0"/>
      <w:marRight w:val="0"/>
      <w:marTop w:val="0"/>
      <w:marBottom w:val="0"/>
      <w:divBdr>
        <w:top w:val="none" w:sz="0" w:space="0" w:color="auto"/>
        <w:left w:val="none" w:sz="0" w:space="0" w:color="auto"/>
        <w:bottom w:val="none" w:sz="0" w:space="0" w:color="auto"/>
        <w:right w:val="none" w:sz="0" w:space="0" w:color="auto"/>
      </w:divBdr>
    </w:div>
    <w:div w:id="694381244">
      <w:bodyDiv w:val="1"/>
      <w:marLeft w:val="0"/>
      <w:marRight w:val="0"/>
      <w:marTop w:val="0"/>
      <w:marBottom w:val="0"/>
      <w:divBdr>
        <w:top w:val="none" w:sz="0" w:space="0" w:color="auto"/>
        <w:left w:val="none" w:sz="0" w:space="0" w:color="auto"/>
        <w:bottom w:val="none" w:sz="0" w:space="0" w:color="auto"/>
        <w:right w:val="none" w:sz="0" w:space="0" w:color="auto"/>
      </w:divBdr>
    </w:div>
    <w:div w:id="890851564">
      <w:bodyDiv w:val="1"/>
      <w:marLeft w:val="0"/>
      <w:marRight w:val="0"/>
      <w:marTop w:val="0"/>
      <w:marBottom w:val="0"/>
      <w:divBdr>
        <w:top w:val="none" w:sz="0" w:space="0" w:color="auto"/>
        <w:left w:val="none" w:sz="0" w:space="0" w:color="auto"/>
        <w:bottom w:val="none" w:sz="0" w:space="0" w:color="auto"/>
        <w:right w:val="none" w:sz="0" w:space="0" w:color="auto"/>
      </w:divBdr>
    </w:div>
    <w:div w:id="1037778284">
      <w:bodyDiv w:val="1"/>
      <w:marLeft w:val="0"/>
      <w:marRight w:val="0"/>
      <w:marTop w:val="0"/>
      <w:marBottom w:val="0"/>
      <w:divBdr>
        <w:top w:val="none" w:sz="0" w:space="0" w:color="auto"/>
        <w:left w:val="none" w:sz="0" w:space="0" w:color="auto"/>
        <w:bottom w:val="none" w:sz="0" w:space="0" w:color="auto"/>
        <w:right w:val="none" w:sz="0" w:space="0" w:color="auto"/>
      </w:divBdr>
    </w:div>
    <w:div w:id="1114396844">
      <w:bodyDiv w:val="1"/>
      <w:marLeft w:val="0"/>
      <w:marRight w:val="0"/>
      <w:marTop w:val="0"/>
      <w:marBottom w:val="0"/>
      <w:divBdr>
        <w:top w:val="none" w:sz="0" w:space="0" w:color="auto"/>
        <w:left w:val="none" w:sz="0" w:space="0" w:color="auto"/>
        <w:bottom w:val="none" w:sz="0" w:space="0" w:color="auto"/>
        <w:right w:val="none" w:sz="0" w:space="0" w:color="auto"/>
      </w:divBdr>
    </w:div>
    <w:div w:id="1259944566">
      <w:bodyDiv w:val="1"/>
      <w:marLeft w:val="0"/>
      <w:marRight w:val="0"/>
      <w:marTop w:val="0"/>
      <w:marBottom w:val="0"/>
      <w:divBdr>
        <w:top w:val="none" w:sz="0" w:space="0" w:color="auto"/>
        <w:left w:val="none" w:sz="0" w:space="0" w:color="auto"/>
        <w:bottom w:val="none" w:sz="0" w:space="0" w:color="auto"/>
        <w:right w:val="none" w:sz="0" w:space="0" w:color="auto"/>
      </w:divBdr>
    </w:div>
    <w:div w:id="1470394492">
      <w:bodyDiv w:val="1"/>
      <w:marLeft w:val="0"/>
      <w:marRight w:val="0"/>
      <w:marTop w:val="0"/>
      <w:marBottom w:val="0"/>
      <w:divBdr>
        <w:top w:val="none" w:sz="0" w:space="0" w:color="auto"/>
        <w:left w:val="none" w:sz="0" w:space="0" w:color="auto"/>
        <w:bottom w:val="none" w:sz="0" w:space="0" w:color="auto"/>
        <w:right w:val="none" w:sz="0" w:space="0" w:color="auto"/>
      </w:divBdr>
    </w:div>
    <w:div w:id="1556241209">
      <w:bodyDiv w:val="1"/>
      <w:marLeft w:val="0"/>
      <w:marRight w:val="0"/>
      <w:marTop w:val="0"/>
      <w:marBottom w:val="0"/>
      <w:divBdr>
        <w:top w:val="none" w:sz="0" w:space="0" w:color="auto"/>
        <w:left w:val="none" w:sz="0" w:space="0" w:color="auto"/>
        <w:bottom w:val="none" w:sz="0" w:space="0" w:color="auto"/>
        <w:right w:val="none" w:sz="0" w:space="0" w:color="auto"/>
      </w:divBdr>
    </w:div>
    <w:div w:id="1820883089">
      <w:bodyDiv w:val="1"/>
      <w:marLeft w:val="0"/>
      <w:marRight w:val="0"/>
      <w:marTop w:val="0"/>
      <w:marBottom w:val="0"/>
      <w:divBdr>
        <w:top w:val="none" w:sz="0" w:space="0" w:color="auto"/>
        <w:left w:val="none" w:sz="0" w:space="0" w:color="auto"/>
        <w:bottom w:val="none" w:sz="0" w:space="0" w:color="auto"/>
        <w:right w:val="none" w:sz="0" w:space="0" w:color="auto"/>
      </w:divBdr>
      <w:divsChild>
        <w:div w:id="732315171">
          <w:marLeft w:val="0"/>
          <w:marRight w:val="0"/>
          <w:marTop w:val="0"/>
          <w:marBottom w:val="0"/>
          <w:divBdr>
            <w:top w:val="none" w:sz="0" w:space="0" w:color="auto"/>
            <w:left w:val="none" w:sz="0" w:space="0" w:color="auto"/>
            <w:bottom w:val="none" w:sz="0" w:space="0" w:color="auto"/>
            <w:right w:val="none" w:sz="0" w:space="0" w:color="auto"/>
          </w:divBdr>
          <w:divsChild>
            <w:div w:id="1118061841">
              <w:marLeft w:val="0"/>
              <w:marRight w:val="0"/>
              <w:marTop w:val="0"/>
              <w:marBottom w:val="0"/>
              <w:divBdr>
                <w:top w:val="none" w:sz="0" w:space="0" w:color="auto"/>
                <w:left w:val="none" w:sz="0" w:space="0" w:color="auto"/>
                <w:bottom w:val="none" w:sz="0" w:space="0" w:color="auto"/>
                <w:right w:val="none" w:sz="0" w:space="0" w:color="auto"/>
              </w:divBdr>
              <w:divsChild>
                <w:div w:id="988365140">
                  <w:marLeft w:val="0"/>
                  <w:marRight w:val="0"/>
                  <w:marTop w:val="0"/>
                  <w:marBottom w:val="0"/>
                  <w:divBdr>
                    <w:top w:val="none" w:sz="0" w:space="0" w:color="auto"/>
                    <w:left w:val="none" w:sz="0" w:space="0" w:color="auto"/>
                    <w:bottom w:val="none" w:sz="0" w:space="0" w:color="auto"/>
                    <w:right w:val="none" w:sz="0" w:space="0" w:color="auto"/>
                  </w:divBdr>
                  <w:divsChild>
                    <w:div w:id="573394217">
                      <w:marLeft w:val="0"/>
                      <w:marRight w:val="0"/>
                      <w:marTop w:val="0"/>
                      <w:marBottom w:val="0"/>
                      <w:divBdr>
                        <w:top w:val="none" w:sz="0" w:space="0" w:color="auto"/>
                        <w:left w:val="none" w:sz="0" w:space="0" w:color="auto"/>
                        <w:bottom w:val="none" w:sz="0" w:space="0" w:color="auto"/>
                        <w:right w:val="none" w:sz="0" w:space="0" w:color="auto"/>
                      </w:divBdr>
                      <w:divsChild>
                        <w:div w:id="555972487">
                          <w:marLeft w:val="0"/>
                          <w:marRight w:val="0"/>
                          <w:marTop w:val="0"/>
                          <w:marBottom w:val="0"/>
                          <w:divBdr>
                            <w:top w:val="none" w:sz="0" w:space="0" w:color="auto"/>
                            <w:left w:val="none" w:sz="0" w:space="0" w:color="auto"/>
                            <w:bottom w:val="none" w:sz="0" w:space="0" w:color="auto"/>
                            <w:right w:val="none" w:sz="0" w:space="0" w:color="auto"/>
                          </w:divBdr>
                          <w:divsChild>
                            <w:div w:id="1716351819">
                              <w:marLeft w:val="240"/>
                              <w:marRight w:val="240"/>
                              <w:marTop w:val="480"/>
                              <w:marBottom w:val="480"/>
                              <w:divBdr>
                                <w:top w:val="single" w:sz="6" w:space="0" w:color="BBBBBB"/>
                                <w:left w:val="single" w:sz="6" w:space="12" w:color="BBBBBB"/>
                                <w:bottom w:val="single" w:sz="6" w:space="3" w:color="BBBBBB"/>
                                <w:right w:val="single" w:sz="6" w:space="12" w:color="BBBBBB"/>
                              </w:divBdr>
                            </w:div>
                          </w:divsChild>
                        </w:div>
                      </w:divsChild>
                    </w:div>
                  </w:divsChild>
                </w:div>
              </w:divsChild>
            </w:div>
          </w:divsChild>
        </w:div>
      </w:divsChild>
    </w:div>
    <w:div w:id="1824353717">
      <w:bodyDiv w:val="1"/>
      <w:marLeft w:val="0"/>
      <w:marRight w:val="0"/>
      <w:marTop w:val="0"/>
      <w:marBottom w:val="0"/>
      <w:divBdr>
        <w:top w:val="none" w:sz="0" w:space="0" w:color="auto"/>
        <w:left w:val="none" w:sz="0" w:space="0" w:color="auto"/>
        <w:bottom w:val="none" w:sz="0" w:space="0" w:color="auto"/>
        <w:right w:val="none" w:sz="0" w:space="0" w:color="auto"/>
      </w:divBdr>
    </w:div>
    <w:div w:id="1877549196">
      <w:bodyDiv w:val="1"/>
      <w:marLeft w:val="0"/>
      <w:marRight w:val="0"/>
      <w:marTop w:val="0"/>
      <w:marBottom w:val="0"/>
      <w:divBdr>
        <w:top w:val="none" w:sz="0" w:space="0" w:color="auto"/>
        <w:left w:val="none" w:sz="0" w:space="0" w:color="auto"/>
        <w:bottom w:val="none" w:sz="0" w:space="0" w:color="auto"/>
        <w:right w:val="none" w:sz="0" w:space="0" w:color="auto"/>
      </w:divBdr>
    </w:div>
    <w:div w:id="1891728707">
      <w:bodyDiv w:val="1"/>
      <w:marLeft w:val="0"/>
      <w:marRight w:val="0"/>
      <w:marTop w:val="0"/>
      <w:marBottom w:val="0"/>
      <w:divBdr>
        <w:top w:val="none" w:sz="0" w:space="0" w:color="auto"/>
        <w:left w:val="none" w:sz="0" w:space="0" w:color="auto"/>
        <w:bottom w:val="none" w:sz="0" w:space="0" w:color="auto"/>
        <w:right w:val="none" w:sz="0" w:space="0" w:color="auto"/>
      </w:divBdr>
    </w:div>
    <w:div w:id="207134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ATCAN.infostats-infostats.STATCAN@canada.ca" TargetMode="External"/><Relationship Id="rId13" Type="http://schemas.openxmlformats.org/officeDocument/2006/relationships/hyperlink" Target="mailto:infostats@statcan.gc.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ATCAN.infostats-infostats.STATCAN@canada.c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can.gc.ca/fr/reference/centreref/formulaire?HPA=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150.statcan.gc.ca/n1/pub/62f0026m/62f0026m2021001-fra.htm" TargetMode="External"/><Relationship Id="rId4" Type="http://schemas.openxmlformats.org/officeDocument/2006/relationships/settings" Target="settings.xml"/><Relationship Id="rId9" Type="http://schemas.openxmlformats.org/officeDocument/2006/relationships/hyperlink" Target="mailto:infostats@statcan.gc.ca" TargetMode="External"/><Relationship Id="rId14" Type="http://schemas.openxmlformats.org/officeDocument/2006/relationships/hyperlink" Target="mailto:STATCAN.infostats-infostats.STATCAN@canada.c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150.statcan.gc.ca/n1/pub/62f0026m/62f0026m2021001-fr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F83744-80F1-4E15-85ED-C3231DC88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2532</Words>
  <Characters>14702</Characters>
  <Application>Microsoft Office Word</Application>
  <DocSecurity>0</DocSecurity>
  <Lines>122</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62M0004XCB</vt:lpstr>
      <vt:lpstr>62M0004XCB</vt:lpstr>
    </vt:vector>
  </TitlesOfParts>
  <Company>STC</Company>
  <LinksUpToDate>false</LinksUpToDate>
  <CharactersWithSpaces>17200</CharactersWithSpaces>
  <SharedDoc>false</SharedDoc>
  <HLinks>
    <vt:vector size="246" baseType="variant">
      <vt:variant>
        <vt:i4>6488093</vt:i4>
      </vt:variant>
      <vt:variant>
        <vt:i4>237</vt:i4>
      </vt:variant>
      <vt:variant>
        <vt:i4>0</vt:i4>
      </vt:variant>
      <vt:variant>
        <vt:i4>5</vt:i4>
      </vt:variant>
      <vt:variant>
        <vt:lpwstr>C:\Users\pinadom\AppData\Local\Microsoft\Windows\Temporary Internet Files\Content.Outlook\AppData\Local\2004\Microdata Files\Pumdf\comments from Sylvain\www.statcan.ca</vt:lpwstr>
      </vt:variant>
      <vt:variant>
        <vt:lpwstr/>
      </vt:variant>
      <vt:variant>
        <vt:i4>7012434</vt:i4>
      </vt:variant>
      <vt:variant>
        <vt:i4>231</vt:i4>
      </vt:variant>
      <vt:variant>
        <vt:i4>0</vt:i4>
      </vt:variant>
      <vt:variant>
        <vt:i4>5</vt:i4>
      </vt:variant>
      <vt:variant>
        <vt:lpwstr>mailto:income@statcan.ca</vt:lpwstr>
      </vt:variant>
      <vt:variant>
        <vt:lpwstr/>
      </vt:variant>
      <vt:variant>
        <vt:i4>7864446</vt:i4>
      </vt:variant>
      <vt:variant>
        <vt:i4>228</vt:i4>
      </vt:variant>
      <vt:variant>
        <vt:i4>0</vt:i4>
      </vt:variant>
      <vt:variant>
        <vt:i4>5</vt:i4>
      </vt:variant>
      <vt:variant>
        <vt:lpwstr>http://www.statcan.ca/</vt:lpwstr>
      </vt:variant>
      <vt:variant>
        <vt:lpwstr/>
      </vt:variant>
      <vt:variant>
        <vt:i4>1572916</vt:i4>
      </vt:variant>
      <vt:variant>
        <vt:i4>218</vt:i4>
      </vt:variant>
      <vt:variant>
        <vt:i4>0</vt:i4>
      </vt:variant>
      <vt:variant>
        <vt:i4>5</vt:i4>
      </vt:variant>
      <vt:variant>
        <vt:lpwstr/>
      </vt:variant>
      <vt:variant>
        <vt:lpwstr>_Toc294768492</vt:lpwstr>
      </vt:variant>
      <vt:variant>
        <vt:i4>1572916</vt:i4>
      </vt:variant>
      <vt:variant>
        <vt:i4>212</vt:i4>
      </vt:variant>
      <vt:variant>
        <vt:i4>0</vt:i4>
      </vt:variant>
      <vt:variant>
        <vt:i4>5</vt:i4>
      </vt:variant>
      <vt:variant>
        <vt:lpwstr/>
      </vt:variant>
      <vt:variant>
        <vt:lpwstr>_Toc294768491</vt:lpwstr>
      </vt:variant>
      <vt:variant>
        <vt:i4>1572916</vt:i4>
      </vt:variant>
      <vt:variant>
        <vt:i4>206</vt:i4>
      </vt:variant>
      <vt:variant>
        <vt:i4>0</vt:i4>
      </vt:variant>
      <vt:variant>
        <vt:i4>5</vt:i4>
      </vt:variant>
      <vt:variant>
        <vt:lpwstr/>
      </vt:variant>
      <vt:variant>
        <vt:lpwstr>_Toc294768490</vt:lpwstr>
      </vt:variant>
      <vt:variant>
        <vt:i4>1638452</vt:i4>
      </vt:variant>
      <vt:variant>
        <vt:i4>200</vt:i4>
      </vt:variant>
      <vt:variant>
        <vt:i4>0</vt:i4>
      </vt:variant>
      <vt:variant>
        <vt:i4>5</vt:i4>
      </vt:variant>
      <vt:variant>
        <vt:lpwstr/>
      </vt:variant>
      <vt:variant>
        <vt:lpwstr>_Toc294768489</vt:lpwstr>
      </vt:variant>
      <vt:variant>
        <vt:i4>1638452</vt:i4>
      </vt:variant>
      <vt:variant>
        <vt:i4>194</vt:i4>
      </vt:variant>
      <vt:variant>
        <vt:i4>0</vt:i4>
      </vt:variant>
      <vt:variant>
        <vt:i4>5</vt:i4>
      </vt:variant>
      <vt:variant>
        <vt:lpwstr/>
      </vt:variant>
      <vt:variant>
        <vt:lpwstr>_Toc294768488</vt:lpwstr>
      </vt:variant>
      <vt:variant>
        <vt:i4>1638452</vt:i4>
      </vt:variant>
      <vt:variant>
        <vt:i4>188</vt:i4>
      </vt:variant>
      <vt:variant>
        <vt:i4>0</vt:i4>
      </vt:variant>
      <vt:variant>
        <vt:i4>5</vt:i4>
      </vt:variant>
      <vt:variant>
        <vt:lpwstr/>
      </vt:variant>
      <vt:variant>
        <vt:lpwstr>_Toc294768487</vt:lpwstr>
      </vt:variant>
      <vt:variant>
        <vt:i4>1638452</vt:i4>
      </vt:variant>
      <vt:variant>
        <vt:i4>182</vt:i4>
      </vt:variant>
      <vt:variant>
        <vt:i4>0</vt:i4>
      </vt:variant>
      <vt:variant>
        <vt:i4>5</vt:i4>
      </vt:variant>
      <vt:variant>
        <vt:lpwstr/>
      </vt:variant>
      <vt:variant>
        <vt:lpwstr>_Toc294768486</vt:lpwstr>
      </vt:variant>
      <vt:variant>
        <vt:i4>1638452</vt:i4>
      </vt:variant>
      <vt:variant>
        <vt:i4>176</vt:i4>
      </vt:variant>
      <vt:variant>
        <vt:i4>0</vt:i4>
      </vt:variant>
      <vt:variant>
        <vt:i4>5</vt:i4>
      </vt:variant>
      <vt:variant>
        <vt:lpwstr/>
      </vt:variant>
      <vt:variant>
        <vt:lpwstr>_Toc294768485</vt:lpwstr>
      </vt:variant>
      <vt:variant>
        <vt:i4>1638452</vt:i4>
      </vt:variant>
      <vt:variant>
        <vt:i4>170</vt:i4>
      </vt:variant>
      <vt:variant>
        <vt:i4>0</vt:i4>
      </vt:variant>
      <vt:variant>
        <vt:i4>5</vt:i4>
      </vt:variant>
      <vt:variant>
        <vt:lpwstr/>
      </vt:variant>
      <vt:variant>
        <vt:lpwstr>_Toc294768484</vt:lpwstr>
      </vt:variant>
      <vt:variant>
        <vt:i4>1638452</vt:i4>
      </vt:variant>
      <vt:variant>
        <vt:i4>164</vt:i4>
      </vt:variant>
      <vt:variant>
        <vt:i4>0</vt:i4>
      </vt:variant>
      <vt:variant>
        <vt:i4>5</vt:i4>
      </vt:variant>
      <vt:variant>
        <vt:lpwstr/>
      </vt:variant>
      <vt:variant>
        <vt:lpwstr>_Toc294768483</vt:lpwstr>
      </vt:variant>
      <vt:variant>
        <vt:i4>1638452</vt:i4>
      </vt:variant>
      <vt:variant>
        <vt:i4>158</vt:i4>
      </vt:variant>
      <vt:variant>
        <vt:i4>0</vt:i4>
      </vt:variant>
      <vt:variant>
        <vt:i4>5</vt:i4>
      </vt:variant>
      <vt:variant>
        <vt:lpwstr/>
      </vt:variant>
      <vt:variant>
        <vt:lpwstr>_Toc294768482</vt:lpwstr>
      </vt:variant>
      <vt:variant>
        <vt:i4>1638452</vt:i4>
      </vt:variant>
      <vt:variant>
        <vt:i4>152</vt:i4>
      </vt:variant>
      <vt:variant>
        <vt:i4>0</vt:i4>
      </vt:variant>
      <vt:variant>
        <vt:i4>5</vt:i4>
      </vt:variant>
      <vt:variant>
        <vt:lpwstr/>
      </vt:variant>
      <vt:variant>
        <vt:lpwstr>_Toc294768481</vt:lpwstr>
      </vt:variant>
      <vt:variant>
        <vt:i4>1638452</vt:i4>
      </vt:variant>
      <vt:variant>
        <vt:i4>146</vt:i4>
      </vt:variant>
      <vt:variant>
        <vt:i4>0</vt:i4>
      </vt:variant>
      <vt:variant>
        <vt:i4>5</vt:i4>
      </vt:variant>
      <vt:variant>
        <vt:lpwstr/>
      </vt:variant>
      <vt:variant>
        <vt:lpwstr>_Toc294768480</vt:lpwstr>
      </vt:variant>
      <vt:variant>
        <vt:i4>1441844</vt:i4>
      </vt:variant>
      <vt:variant>
        <vt:i4>140</vt:i4>
      </vt:variant>
      <vt:variant>
        <vt:i4>0</vt:i4>
      </vt:variant>
      <vt:variant>
        <vt:i4>5</vt:i4>
      </vt:variant>
      <vt:variant>
        <vt:lpwstr/>
      </vt:variant>
      <vt:variant>
        <vt:lpwstr>_Toc294768479</vt:lpwstr>
      </vt:variant>
      <vt:variant>
        <vt:i4>1441844</vt:i4>
      </vt:variant>
      <vt:variant>
        <vt:i4>134</vt:i4>
      </vt:variant>
      <vt:variant>
        <vt:i4>0</vt:i4>
      </vt:variant>
      <vt:variant>
        <vt:i4>5</vt:i4>
      </vt:variant>
      <vt:variant>
        <vt:lpwstr/>
      </vt:variant>
      <vt:variant>
        <vt:lpwstr>_Toc294768478</vt:lpwstr>
      </vt:variant>
      <vt:variant>
        <vt:i4>1441844</vt:i4>
      </vt:variant>
      <vt:variant>
        <vt:i4>128</vt:i4>
      </vt:variant>
      <vt:variant>
        <vt:i4>0</vt:i4>
      </vt:variant>
      <vt:variant>
        <vt:i4>5</vt:i4>
      </vt:variant>
      <vt:variant>
        <vt:lpwstr/>
      </vt:variant>
      <vt:variant>
        <vt:lpwstr>_Toc294768477</vt:lpwstr>
      </vt:variant>
      <vt:variant>
        <vt:i4>1441844</vt:i4>
      </vt:variant>
      <vt:variant>
        <vt:i4>122</vt:i4>
      </vt:variant>
      <vt:variant>
        <vt:i4>0</vt:i4>
      </vt:variant>
      <vt:variant>
        <vt:i4>5</vt:i4>
      </vt:variant>
      <vt:variant>
        <vt:lpwstr/>
      </vt:variant>
      <vt:variant>
        <vt:lpwstr>_Toc294768476</vt:lpwstr>
      </vt:variant>
      <vt:variant>
        <vt:i4>1441844</vt:i4>
      </vt:variant>
      <vt:variant>
        <vt:i4>116</vt:i4>
      </vt:variant>
      <vt:variant>
        <vt:i4>0</vt:i4>
      </vt:variant>
      <vt:variant>
        <vt:i4>5</vt:i4>
      </vt:variant>
      <vt:variant>
        <vt:lpwstr/>
      </vt:variant>
      <vt:variant>
        <vt:lpwstr>_Toc294768475</vt:lpwstr>
      </vt:variant>
      <vt:variant>
        <vt:i4>1441844</vt:i4>
      </vt:variant>
      <vt:variant>
        <vt:i4>110</vt:i4>
      </vt:variant>
      <vt:variant>
        <vt:i4>0</vt:i4>
      </vt:variant>
      <vt:variant>
        <vt:i4>5</vt:i4>
      </vt:variant>
      <vt:variant>
        <vt:lpwstr/>
      </vt:variant>
      <vt:variant>
        <vt:lpwstr>_Toc294768474</vt:lpwstr>
      </vt:variant>
      <vt:variant>
        <vt:i4>1441844</vt:i4>
      </vt:variant>
      <vt:variant>
        <vt:i4>104</vt:i4>
      </vt:variant>
      <vt:variant>
        <vt:i4>0</vt:i4>
      </vt:variant>
      <vt:variant>
        <vt:i4>5</vt:i4>
      </vt:variant>
      <vt:variant>
        <vt:lpwstr/>
      </vt:variant>
      <vt:variant>
        <vt:lpwstr>_Toc294768473</vt:lpwstr>
      </vt:variant>
      <vt:variant>
        <vt:i4>1441844</vt:i4>
      </vt:variant>
      <vt:variant>
        <vt:i4>98</vt:i4>
      </vt:variant>
      <vt:variant>
        <vt:i4>0</vt:i4>
      </vt:variant>
      <vt:variant>
        <vt:i4>5</vt:i4>
      </vt:variant>
      <vt:variant>
        <vt:lpwstr/>
      </vt:variant>
      <vt:variant>
        <vt:lpwstr>_Toc294768472</vt:lpwstr>
      </vt:variant>
      <vt:variant>
        <vt:i4>1441844</vt:i4>
      </vt:variant>
      <vt:variant>
        <vt:i4>92</vt:i4>
      </vt:variant>
      <vt:variant>
        <vt:i4>0</vt:i4>
      </vt:variant>
      <vt:variant>
        <vt:i4>5</vt:i4>
      </vt:variant>
      <vt:variant>
        <vt:lpwstr/>
      </vt:variant>
      <vt:variant>
        <vt:lpwstr>_Toc294768471</vt:lpwstr>
      </vt:variant>
      <vt:variant>
        <vt:i4>1441844</vt:i4>
      </vt:variant>
      <vt:variant>
        <vt:i4>86</vt:i4>
      </vt:variant>
      <vt:variant>
        <vt:i4>0</vt:i4>
      </vt:variant>
      <vt:variant>
        <vt:i4>5</vt:i4>
      </vt:variant>
      <vt:variant>
        <vt:lpwstr/>
      </vt:variant>
      <vt:variant>
        <vt:lpwstr>_Toc294768470</vt:lpwstr>
      </vt:variant>
      <vt:variant>
        <vt:i4>1507380</vt:i4>
      </vt:variant>
      <vt:variant>
        <vt:i4>80</vt:i4>
      </vt:variant>
      <vt:variant>
        <vt:i4>0</vt:i4>
      </vt:variant>
      <vt:variant>
        <vt:i4>5</vt:i4>
      </vt:variant>
      <vt:variant>
        <vt:lpwstr/>
      </vt:variant>
      <vt:variant>
        <vt:lpwstr>_Toc294768469</vt:lpwstr>
      </vt:variant>
      <vt:variant>
        <vt:i4>1507380</vt:i4>
      </vt:variant>
      <vt:variant>
        <vt:i4>74</vt:i4>
      </vt:variant>
      <vt:variant>
        <vt:i4>0</vt:i4>
      </vt:variant>
      <vt:variant>
        <vt:i4>5</vt:i4>
      </vt:variant>
      <vt:variant>
        <vt:lpwstr/>
      </vt:variant>
      <vt:variant>
        <vt:lpwstr>_Toc294768468</vt:lpwstr>
      </vt:variant>
      <vt:variant>
        <vt:i4>1507380</vt:i4>
      </vt:variant>
      <vt:variant>
        <vt:i4>68</vt:i4>
      </vt:variant>
      <vt:variant>
        <vt:i4>0</vt:i4>
      </vt:variant>
      <vt:variant>
        <vt:i4>5</vt:i4>
      </vt:variant>
      <vt:variant>
        <vt:lpwstr/>
      </vt:variant>
      <vt:variant>
        <vt:lpwstr>_Toc294768467</vt:lpwstr>
      </vt:variant>
      <vt:variant>
        <vt:i4>1507380</vt:i4>
      </vt:variant>
      <vt:variant>
        <vt:i4>62</vt:i4>
      </vt:variant>
      <vt:variant>
        <vt:i4>0</vt:i4>
      </vt:variant>
      <vt:variant>
        <vt:i4>5</vt:i4>
      </vt:variant>
      <vt:variant>
        <vt:lpwstr/>
      </vt:variant>
      <vt:variant>
        <vt:lpwstr>_Toc294768466</vt:lpwstr>
      </vt:variant>
      <vt:variant>
        <vt:i4>1507380</vt:i4>
      </vt:variant>
      <vt:variant>
        <vt:i4>56</vt:i4>
      </vt:variant>
      <vt:variant>
        <vt:i4>0</vt:i4>
      </vt:variant>
      <vt:variant>
        <vt:i4>5</vt:i4>
      </vt:variant>
      <vt:variant>
        <vt:lpwstr/>
      </vt:variant>
      <vt:variant>
        <vt:lpwstr>_Toc294768465</vt:lpwstr>
      </vt:variant>
      <vt:variant>
        <vt:i4>1507380</vt:i4>
      </vt:variant>
      <vt:variant>
        <vt:i4>50</vt:i4>
      </vt:variant>
      <vt:variant>
        <vt:i4>0</vt:i4>
      </vt:variant>
      <vt:variant>
        <vt:i4>5</vt:i4>
      </vt:variant>
      <vt:variant>
        <vt:lpwstr/>
      </vt:variant>
      <vt:variant>
        <vt:lpwstr>_Toc294768464</vt:lpwstr>
      </vt:variant>
      <vt:variant>
        <vt:i4>1507380</vt:i4>
      </vt:variant>
      <vt:variant>
        <vt:i4>44</vt:i4>
      </vt:variant>
      <vt:variant>
        <vt:i4>0</vt:i4>
      </vt:variant>
      <vt:variant>
        <vt:i4>5</vt:i4>
      </vt:variant>
      <vt:variant>
        <vt:lpwstr/>
      </vt:variant>
      <vt:variant>
        <vt:lpwstr>_Toc294768463</vt:lpwstr>
      </vt:variant>
      <vt:variant>
        <vt:i4>1507380</vt:i4>
      </vt:variant>
      <vt:variant>
        <vt:i4>38</vt:i4>
      </vt:variant>
      <vt:variant>
        <vt:i4>0</vt:i4>
      </vt:variant>
      <vt:variant>
        <vt:i4>5</vt:i4>
      </vt:variant>
      <vt:variant>
        <vt:lpwstr/>
      </vt:variant>
      <vt:variant>
        <vt:lpwstr>_Toc294768462</vt:lpwstr>
      </vt:variant>
      <vt:variant>
        <vt:i4>1507380</vt:i4>
      </vt:variant>
      <vt:variant>
        <vt:i4>32</vt:i4>
      </vt:variant>
      <vt:variant>
        <vt:i4>0</vt:i4>
      </vt:variant>
      <vt:variant>
        <vt:i4>5</vt:i4>
      </vt:variant>
      <vt:variant>
        <vt:lpwstr/>
      </vt:variant>
      <vt:variant>
        <vt:lpwstr>_Toc294768461</vt:lpwstr>
      </vt:variant>
      <vt:variant>
        <vt:i4>1507380</vt:i4>
      </vt:variant>
      <vt:variant>
        <vt:i4>26</vt:i4>
      </vt:variant>
      <vt:variant>
        <vt:i4>0</vt:i4>
      </vt:variant>
      <vt:variant>
        <vt:i4>5</vt:i4>
      </vt:variant>
      <vt:variant>
        <vt:lpwstr/>
      </vt:variant>
      <vt:variant>
        <vt:lpwstr>_Toc294768460</vt:lpwstr>
      </vt:variant>
      <vt:variant>
        <vt:i4>1310772</vt:i4>
      </vt:variant>
      <vt:variant>
        <vt:i4>20</vt:i4>
      </vt:variant>
      <vt:variant>
        <vt:i4>0</vt:i4>
      </vt:variant>
      <vt:variant>
        <vt:i4>5</vt:i4>
      </vt:variant>
      <vt:variant>
        <vt:lpwstr/>
      </vt:variant>
      <vt:variant>
        <vt:lpwstr>_Toc294768459</vt:lpwstr>
      </vt:variant>
      <vt:variant>
        <vt:i4>1310772</vt:i4>
      </vt:variant>
      <vt:variant>
        <vt:i4>14</vt:i4>
      </vt:variant>
      <vt:variant>
        <vt:i4>0</vt:i4>
      </vt:variant>
      <vt:variant>
        <vt:i4>5</vt:i4>
      </vt:variant>
      <vt:variant>
        <vt:lpwstr/>
      </vt:variant>
      <vt:variant>
        <vt:lpwstr>_Toc294768458</vt:lpwstr>
      </vt:variant>
      <vt:variant>
        <vt:i4>1310772</vt:i4>
      </vt:variant>
      <vt:variant>
        <vt:i4>8</vt:i4>
      </vt:variant>
      <vt:variant>
        <vt:i4>0</vt:i4>
      </vt:variant>
      <vt:variant>
        <vt:i4>5</vt:i4>
      </vt:variant>
      <vt:variant>
        <vt:lpwstr/>
      </vt:variant>
      <vt:variant>
        <vt:lpwstr>_Toc294768457</vt:lpwstr>
      </vt:variant>
      <vt:variant>
        <vt:i4>1310772</vt:i4>
      </vt:variant>
      <vt:variant>
        <vt:i4>2</vt:i4>
      </vt:variant>
      <vt:variant>
        <vt:i4>0</vt:i4>
      </vt:variant>
      <vt:variant>
        <vt:i4>5</vt:i4>
      </vt:variant>
      <vt:variant>
        <vt:lpwstr/>
      </vt:variant>
      <vt:variant>
        <vt:lpwstr>_Toc294768456</vt:lpwstr>
      </vt:variant>
      <vt:variant>
        <vt:i4>1048578</vt:i4>
      </vt:variant>
      <vt:variant>
        <vt:i4>0</vt:i4>
      </vt:variant>
      <vt:variant>
        <vt:i4>0</vt:i4>
      </vt:variant>
      <vt:variant>
        <vt:i4>5</vt:i4>
      </vt:variant>
      <vt:variant>
        <vt:lpwstr>http://www.statcan.gc.ca/subjects-sujets/standard-norme/sgc-cgt/urban-urbain-eng.htm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62M0004XCB</dc:title>
  <dc:subject/>
  <dc:creator>woodcol</dc:creator>
  <cp:keywords/>
  <dc:description/>
  <cp:lastModifiedBy>Di, Ying - IATD/DCCI</cp:lastModifiedBy>
  <cp:revision>3</cp:revision>
  <cp:lastPrinted>2019-08-19T13:46:00Z</cp:lastPrinted>
  <dcterms:created xsi:type="dcterms:W3CDTF">2022-05-18T20:23:00Z</dcterms:created>
  <dcterms:modified xsi:type="dcterms:W3CDTF">2022-05-18T20:23:00Z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1109987973</vt:i4>
  </property>
  <property fmtid="{D5CDD505-2E9C-101B-9397-08002B2CF9AE}" pid="3" name="_NewReviewCycle">
    <vt:lpwstr/>
  </property>
  <property fmtid="{D5CDD505-2E9C-101B-9397-08002B2CF9AE}" pid="4" name="_EmailSubject">
    <vt:lpwstr>123078</vt:lpwstr>
  </property>
  <property fmtid="{D5CDD505-2E9C-101B-9397-08002B2CF9AE}" pid="5" name="_AuthorEmail">
    <vt:lpwstr>statcan.translation-editing-traduction-revision.statcan@canada.ca</vt:lpwstr>
  </property>
  <property fmtid="{D5CDD505-2E9C-101B-9397-08002B2CF9AE}" pid="6" name="_AuthorEmailDisplayName">
    <vt:lpwstr>Translation-Editing / Traduction-Révision (STATCAN)</vt:lpwstr>
  </property>
  <property fmtid="{D5CDD505-2E9C-101B-9397-08002B2CF9AE}" pid="7" name="_PreviousAdHocReviewCycleID">
    <vt:i4>1109987973</vt:i4>
  </property>
  <property fmtid="{D5CDD505-2E9C-101B-9397-08002B2CF9AE}" pid="8" name="_ReviewingToolsShownOnce">
    <vt:lpwstr/>
  </property>
</Properties>
</file>