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2020-05-16</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4587290" cy="550474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4587290" cy="550474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4587290" cy="6880936"/>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4587290" cy="6880936"/>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4587290" cy="3440468"/>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4587290" cy="3440468"/>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4587290" cy="4128561"/>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4587290" cy="4128561"/>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connection-between-these-measures-and-the-rate-of-growth-of-confirmed-cases-afterwards"/>
      <w:r>
        <w:t xml:space="preserve">Is there a connection between these measures and the rate of growth of confirmed cases afterwards ?</w:t>
      </w:r>
      <w:bookmarkEnd w:id="32"/>
    </w:p>
    <w:p>
      <w:pPr>
        <w:pStyle w:val="FirstParagraph"/>
      </w:pPr>
      <w:r>
        <w:t xml:space="preserve">First, we should visualize the epidemic trajectories of the countries in the form of a semi-logarithmic plot. We exclude from the plot the period from the onset to the first 100 confirmed cases as it is significantly noisy. We see in the</w:t>
      </w:r>
      <w:r>
        <w:t xml:space="preserve"> </w:t>
      </w:r>
      <w:r>
        <w:rPr>
          <w:rStyle w:val="VerbatimChar"/>
        </w:rPr>
        <w:t xml:space="preserve">Figure 4</w:t>
      </w:r>
      <w:r>
        <w:t xml:space="preserve"> </w:t>
      </w:r>
      <w:r>
        <w:t xml:space="preserve">different trajectories in which eastern european countries have a slower rate of growth compared to their western counterparts and, more extremely, UK and US.</w:t>
      </w:r>
    </w:p>
    <w:p>
      <w:pPr>
        <w:pStyle w:val="CaptionedFigure"/>
      </w:pPr>
      <w:r>
        <w:drawing>
          <wp:inline>
            <wp:extent cx="4587290" cy="2752374"/>
            <wp:effectExtent b="0" l="0" r="0" t="0"/>
            <wp:docPr descr="Figure 6. Epidemic trajectories"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6. Epidemic trajectories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2020-05-16T06:39:50Z</dcterms:created>
  <dcterms:modified xsi:type="dcterms:W3CDTF">2020-05-16T06:39:50Z</dcterms:modified>
</cp:coreProperties>
</file>