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2020-06-05</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5334000" cy="640079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5334000" cy="8000999"/>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5334000" cy="8000999"/>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5334000" cy="4000499"/>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5334000" cy="4000499"/>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5334000" cy="4800599"/>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5334000" cy="4800599"/>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n-impact-of-sdi-on-social-mobility"/>
      <w:r>
        <w:t xml:space="preserve">Is there an impact of SDI on social mobility ?</w:t>
      </w:r>
      <w:bookmarkEnd w:id="32"/>
    </w:p>
    <w:p>
      <w:pPr>
        <w:pStyle w:val="FirstParagraph"/>
      </w:pPr>
      <w:r>
        <w:t xml:space="preserve">We can assert the impact of social distancing measures taken by the governments in the form of SDI on social mobility as computed by Google. We do not have social mobility data from a number of countries, including China and South Korea. We see a remarkable inverse correlation between the two indicators.</w:t>
      </w:r>
    </w:p>
    <w:p>
      <w:pPr>
        <w:pStyle w:val="CaptionedFigure"/>
      </w:pPr>
      <w:r>
        <w:drawing>
          <wp:inline>
            <wp:extent cx="5334000" cy="8534400"/>
            <wp:effectExtent b="0" l="0" r="0" t="0"/>
            <wp:docPr descr="Figure 6. SDI vs social mobility"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6. SDI vs social mobility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2020-06-05T10:45:43Z</dcterms:created>
  <dcterms:modified xsi:type="dcterms:W3CDTF">2020-06-05T10:45:43Z</dcterms:modified>
</cp:coreProperties>
</file>