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2020-04-30</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4587290" cy="550474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4587290" cy="550474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4587290" cy="6880936"/>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4587290" cy="6880936"/>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4587290" cy="3440468"/>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4587290" cy="3440468"/>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4587290" cy="3440468"/>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4587290" cy="4128561"/>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4587290" cy="4128561"/>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connection-between-these-measures-and-the-rate-of-growth-of-confirmed-cases-afterwards"/>
      <w:r>
        <w:t xml:space="preserve">Is there a connection between these measures and the rate of growth of confirmed cases afterwards ?</w:t>
      </w:r>
      <w:bookmarkEnd w:id="32"/>
    </w:p>
    <w:p>
      <w:pPr>
        <w:pStyle w:val="FirstParagraph"/>
      </w:pPr>
      <w:r>
        <w:t xml:space="preserve">First, we should visualize the epidemic trajectories of the countries in the form of a semi-logarithmic plot. We exclude from the plot the period from the onset to the first 100 confirmed cases as it is significantly noisy. We see in the</w:t>
      </w:r>
      <w:r>
        <w:t xml:space="preserve"> </w:t>
      </w:r>
      <w:r>
        <w:rPr>
          <w:rStyle w:val="VerbatimChar"/>
        </w:rPr>
        <w:t xml:space="preserve">Figure 4</w:t>
      </w:r>
      <w:r>
        <w:t xml:space="preserve"> </w:t>
      </w:r>
      <w:r>
        <w:t xml:space="preserve">different trajectories in which eastern european countries have a slower rate of growth compared to their western counterparts and, more extremely, UK and US.</w:t>
      </w:r>
    </w:p>
    <w:p>
      <w:pPr>
        <w:pStyle w:val="CaptionedFigure"/>
      </w:pPr>
      <w:r>
        <w:drawing>
          <wp:inline>
            <wp:extent cx="4587290" cy="2752374"/>
            <wp:effectExtent b="0" l="0" r="0" t="0"/>
            <wp:docPr descr="Figure 6. Epidemic trajectories"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6. Epidemic trajectories</w:t>
      </w:r>
    </w:p>
    <w:p>
      <w:pPr>
        <w:pStyle w:val="BodyText"/>
      </w:pPr>
      <w:r>
        <w:t xml:space="preserve">For a more precise quantification, there is need to compute the rates of growth in all these countries. We use log-linear regressions for modeling the incidence curves. We fit multiple models for each country, one starting every day since 1 march 2020 until 21 march 2020. In this way we can asses how the epidemic curves behaves in time. We define the growth rate as the slope best-fit line of the log-linear model. It is not to be confused with the daily growth of the total confirmed cases. It is a parameter of the exponential curve that best fits the empirical data on daily incidence (new confirmed cases). We can think of it as a</w:t>
      </w:r>
      <w:r>
        <w:t xml:space="preserve"> </w:t>
      </w:r>
      <w:r>
        <w:rPr>
          <w:i/>
        </w:rPr>
        <w:t xml:space="preserve">rolling</w:t>
      </w:r>
      <w:r>
        <w:t xml:space="preserve"> </w:t>
      </w:r>
      <w:r>
        <w:t xml:space="preserve">window method of prediction. We will see how this parameter change in time and draw appropiate conclusions.</w:t>
      </w:r>
    </w:p>
    <w:p>
      <w:pPr>
        <w:pStyle w:val="CaptionedFigure"/>
      </w:pPr>
      <w:r>
        <w:drawing>
          <wp:inline>
            <wp:extent cx="4587290" cy="2752374"/>
            <wp:effectExtent b="0" l="0" r="0" t="0"/>
            <wp:docPr descr="Figure 7. Growth rates" title="" id="1" name="Picture"/>
            <a:graphic>
              <a:graphicData uri="http://schemas.openxmlformats.org/drawingml/2006/picture">
                <pic:pic>
                  <pic:nvPicPr>
                    <pic:cNvPr descr="covid_files/figure-docx/unnamed-chunk-9-1.png" id="0" name="Picture"/>
                    <pic:cNvPicPr>
                      <a:picLocks noChangeArrowheads="1" noChangeAspect="1"/>
                    </pic:cNvPicPr>
                  </pic:nvPicPr>
                  <pic:blipFill>
                    <a:blip r:embed="rId34"/>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Figure 7. Growth rates</w:t>
      </w:r>
    </w:p>
    <w:p>
      <w:pPr>
        <w:pStyle w:val="BodyText"/>
      </w:pPr>
      <w:r>
        <w:t xml:space="preserve">It seems there is no discernible pattern in the data regarding the impact of social distancing measures on the growth rates, as all trends start to point downwards after 15 march. As most quarantine measures were taken in the first part of the month, the effects are to be expected after at least two weeks so we should not read too much in this data. An explanation may be that the social distancing measures took by the governments reflect a wider approval and consent in the large population toward these measures and we can suppose that social distancing measures were already informally respected before it became compulsory to do so. Another possible explaination is that the coronavirus is already widespread in the population, testing being limited almost everywhere and we are actually witnessing a general slowdown which is expected when a large part of the susceptible population is infected. This is a more optimistic scenario as it implies that we grossly overestimated the fatality rate of the coronavirus infection and the end of the pandemic may be near. Based on our data it is impossible to judge in favour of one model rather than the other.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2020-04-30T15:05:44Z</dcterms:created>
  <dcterms:modified xsi:type="dcterms:W3CDTF">2020-04-30T15:05:44Z</dcterms:modified>
</cp:coreProperties>
</file>