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Input-Output</w:t>
      </w:r>
      <w:r>
        <w:t xml:space="preserve"> </w:t>
      </w:r>
      <w:r>
        <w:t xml:space="preserve">Analysis</w:t>
      </w:r>
      <w:r>
        <w:t xml:space="preserve"> </w:t>
      </w:r>
      <w:r>
        <w:t xml:space="preserve">for</w:t>
      </w:r>
      <w:r>
        <w:t xml:space="preserve"> </w:t>
      </w:r>
      <w:r>
        <w:t xml:space="preserve">growth</w:t>
      </w:r>
      <w:r>
        <w:t xml:space="preserve"> </w:t>
      </w:r>
      <w:r>
        <w:t xml:space="preserve">regimes</w:t>
      </w:r>
    </w:p>
    <w:p>
      <w:pPr>
        <w:pStyle w:val="Author"/>
      </w:pPr>
      <w:r>
        <w:t xml:space="preserve">Petre</w:t>
      </w:r>
      <w:r>
        <w:t xml:space="preserve"> </w:t>
      </w:r>
      <w:r>
        <w:t xml:space="preserve">Buciu</w:t>
      </w:r>
    </w:p>
    <w:p>
      <w:pPr>
        <w:pStyle w:val="Date"/>
      </w:pPr>
      <w:r>
        <w:t xml:space="preserve">2023-06-21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titled"/>
    <w:p>
      <w:pPr>
        <w:pStyle w:val="Heading1"/>
      </w:pPr>
      <w:r>
        <w:t xml:space="preserve">1. Untitled</w:t>
      </w:r>
    </w:p>
    <w:bookmarkEnd w:id="20"/>
    <w:bookmarkStart w:id="27" w:name="some-theory"/>
    <w:p>
      <w:pPr>
        <w:pStyle w:val="Heading1"/>
      </w:pPr>
      <w:r>
        <w:t xml:space="preserve">2. Some theory</w:t>
      </w:r>
    </w:p>
    <w:bookmarkStart w:id="21" w:name="production-matrix"/>
    <w:p>
      <w:pPr>
        <w:pStyle w:val="Heading2"/>
      </w:pPr>
      <w:r>
        <w:t xml:space="preserve">2.1 Production Matrix</w:t>
      </w:r>
    </w:p>
    <w:p>
      <w:pPr>
        <w:pStyle w:val="FirstParagraph"/>
      </w:pPr>
      <w:r>
        <w:t xml:space="preserve">We have at our disposal a huge table recording transaction between industries (the sellers on rows, the buyers on columns). This is how input-output data come from OECD and not also from OECD, but also WIOD, etc. The cells of our table represent monetary sums. We calculate the production matrix,</w:t>
      </w:r>
      <w:r>
        <w:t xml:space="preserve"> </w:t>
      </w:r>
      <m:oMath>
        <m:r>
          <m:rPr>
            <m:nor/>
            <m:sty m:val="b"/>
          </m:rPr>
          <m:t>A</m:t>
        </m:r>
      </m:oMath>
      <w:r>
        <w:t xml:space="preserve"> </w:t>
      </w:r>
      <w:r>
        <w:t xml:space="preserve">by using the following matrix formula:</w:t>
      </w:r>
    </w:p>
    <w:p>
      <w:pPr>
        <w:pStyle w:val="BodyText"/>
      </w:pPr>
      <m:oMathPara>
        <m:oMathParaPr>
          <m:jc m:val="center"/>
        </m:oMathParaPr>
        <m:oMath>
          <m:r>
            <m:rPr>
              <m:nor/>
              <m:sty m:val="b"/>
            </m:rPr>
            <m:t>A</m:t>
          </m:r>
          <m:r>
            <m:rPr>
              <m:sty m:val="p"/>
            </m:rPr>
            <m:t>=</m:t>
          </m:r>
          <m:r>
            <m:rPr>
              <m:nor/>
              <m:sty m:val="b"/>
            </m:rPr>
            <m:t>Z</m:t>
          </m:r>
          <m:sSup>
            <m:e>
              <m:r>
                <m:rPr>
                  <m:nor/>
                  <m:sty m:val="b"/>
                </m:rPr>
                <m:t>x</m:t>
              </m:r>
            </m:e>
            <m:sup>
              <m:r>
                <m:rPr>
                  <m:sty m:val="p"/>
                </m:rPr>
                <m:t>−</m:t>
              </m:r>
              <m:r>
                <m:t>1</m:t>
              </m:r>
            </m:sup>
          </m:sSup>
        </m:oMath>
      </m:oMathPara>
    </w:p>
    <w:p>
      <w:pPr>
        <w:pStyle w:val="FirstParagraph"/>
      </w:pPr>
      <w:r>
        <w:t xml:space="preserve">Where</w:t>
      </w:r>
      <w:r>
        <w:t xml:space="preserve"> </w:t>
      </w:r>
      <m:oMath>
        <m:r>
          <m:rPr>
            <m:nor/>
            <m:sty m:val="b"/>
          </m:rPr>
          <m:t>Z</m:t>
        </m:r>
      </m:oMath>
      <w:r>
        <w:t xml:space="preserve"> </w:t>
      </w:r>
      <w:r>
        <w:t xml:space="preserve">is the so called transaction table we have been mentioning,</w:t>
      </w:r>
      <w:r>
        <w:t xml:space="preserve"> </w:t>
      </w:r>
      <m:oMath>
        <m:r>
          <m:rPr>
            <m:nor/>
            <m:sty m:val="b"/>
          </m:rPr>
          <m:t>x</m:t>
        </m:r>
      </m:oMath>
      <w:r>
        <w:t xml:space="preserve"> </w:t>
      </w:r>
      <w:r>
        <w:t xml:space="preserve">is a diagonal matrix where each diagonal entry represent the invers of the total production (</w:t>
      </w:r>
      <w:r>
        <w:t xml:space="preserve"> </w:t>
      </w:r>
      <m:oMath>
        <m:sSub>
          <m:e>
            <m:r>
              <m:t>x</m:t>
            </m:r>
          </m:e>
          <m:sub>
            <m:r>
              <m:t>i</m:t>
            </m:r>
            <m:r>
              <m:rPr>
                <m:sty m:val="p"/>
              </m:rPr>
              <m:t>,</m:t>
            </m:r>
            <m:r>
              <m:t>i</m:t>
            </m:r>
          </m:sub>
        </m:sSub>
      </m:oMath>
      <w:r>
        <w:t xml:space="preserve">).</w:t>
      </w:r>
    </w:p>
    <w:bookmarkEnd w:id="21"/>
    <w:bookmarkStart w:id="22" w:name="leontief-inverse-matrix"/>
    <w:p>
      <w:pPr>
        <w:pStyle w:val="Heading2"/>
      </w:pPr>
      <w:r>
        <w:t xml:space="preserve">2.2 Leontief inverse matrix</w:t>
      </w:r>
    </w:p>
    <w:p>
      <w:pPr>
        <w:pStyle w:val="FirstParagraph"/>
      </w:pPr>
      <w:r>
        <w:t xml:space="preserve">Leontief inverse matrix is</w:t>
      </w:r>
      <w:r>
        <w:t xml:space="preserve"> </w:t>
      </w:r>
      <m:oMath>
        <m:sSup>
          <m:e>
            <m:d>
              <m:dPr>
                <m:begChr m:val="("/>
                <m:endChr m:val=")"/>
                <m:sepChr m:val=""/>
                <m:grow/>
              </m:dPr>
              <m:e>
                <m:r>
                  <m:rPr>
                    <m:nor/>
                    <m:sty m:val="b"/>
                  </m:rPr>
                  <m:t>I</m:t>
                </m:r>
                <m:r>
                  <m:rPr>
                    <m:sty m:val="p"/>
                  </m:rPr>
                  <m:t>−</m:t>
                </m:r>
                <m:r>
                  <m:rPr>
                    <m:nor/>
                    <m:sty m:val="b"/>
                  </m:rPr>
                  <m:t>A</m:t>
                </m:r>
              </m:e>
            </m:d>
          </m:e>
          <m:sup>
            <m:r>
              <m:rPr>
                <m:sty m:val="p"/>
              </m:rPr>
              <m:t>−</m:t>
            </m:r>
            <m:r>
              <m:t>1</m:t>
            </m:r>
          </m:sup>
        </m:sSup>
      </m:oMath>
      <w:r>
        <w:t xml:space="preserve"> </w:t>
      </w:r>
      <w:r>
        <w:t xml:space="preserve">being the fundamental tool in input-output analysis. Premultiplying Leontief inverse matrix with</w:t>
      </w:r>
      <w:r>
        <w:t xml:space="preserve"> </w:t>
      </w:r>
      <m:oMath>
        <m:r>
          <m:rPr>
            <m:nor/>
            <m:sty m:val="b"/>
          </m:rPr>
          <m:t>f</m:t>
        </m:r>
      </m:oMath>
      <w:r>
        <w:t xml:space="preserve"> </w:t>
      </w:r>
      <w:r>
        <w:t xml:space="preserve">, the final demand, we obtain the a new matrix (or vector, if</w:t>
      </w:r>
      <w:r>
        <w:t xml:space="preserve"> </w:t>
      </w:r>
      <m:oMath>
        <m:r>
          <m:rPr>
            <m:nor/>
            <m:sty m:val="b"/>
          </m:rPr>
          <m:t>f</m:t>
        </m:r>
      </m:oMath>
      <w:r>
        <w:t xml:space="preserve"> </w:t>
      </w:r>
      <w:r>
        <w:t xml:space="preserve">is a vector) where we have the total production each sector must produce to satisfy this final demand. We can also write Leontief’s inverse as an infinite series:</w:t>
      </w:r>
    </w:p>
    <w:p>
      <w:pPr>
        <w:pStyle w:val="BodyText"/>
      </w:pPr>
      <m:oMathPara>
        <m:oMathParaPr>
          <m:jc m:val="center"/>
        </m:oMathParaPr>
        <m:oMath>
          <m:sSup>
            <m:e>
              <m:d>
                <m:dPr>
                  <m:begChr m:val="("/>
                  <m:endChr m:val=")"/>
                  <m:sepChr m:val=""/>
                  <m:grow/>
                </m:dPr>
                <m:e>
                  <m:r>
                    <m:rPr>
                      <m:nor/>
                      <m:sty m:val="b"/>
                    </m:rPr>
                    <m:t>I</m:t>
                  </m:r>
                  <m:r>
                    <m:rPr>
                      <m:sty m:val="p"/>
                    </m:rPr>
                    <m:t>−</m:t>
                  </m:r>
                  <m:r>
                    <m:rPr>
                      <m:nor/>
                      <m:sty m:val="b"/>
                    </m:rPr>
                    <m:t>A</m:t>
                  </m:r>
                </m:e>
              </m:d>
            </m:e>
            <m:sup>
              <m:r>
                <m:rPr>
                  <m:sty m:val="p"/>
                </m:rPr>
                <m:t>−</m:t>
              </m:r>
              <m:r>
                <m:t>1</m:t>
              </m:r>
            </m:sup>
          </m:sSup>
          <m:r>
            <m:rPr>
              <m:sty m:val="p"/>
            </m:rPr>
            <m:t>=</m:t>
          </m:r>
          <m:r>
            <m:rPr>
              <m:nor/>
              <m:sty m:val="b"/>
            </m:rPr>
            <m:t>I</m:t>
          </m:r>
          <m:r>
            <m:rPr>
              <m:sty m:val="p"/>
            </m:rPr>
            <m:t>+</m:t>
          </m:r>
          <m:r>
            <m:rPr>
              <m:nor/>
              <m:sty m:val="b"/>
            </m:rPr>
            <m:t>A</m:t>
          </m:r>
          <m:r>
            <m:rPr>
              <m:sty m:val="p"/>
            </m:rPr>
            <m:t>+</m:t>
          </m:r>
          <m:sSup>
            <m:e>
              <m:r>
                <m:rPr>
                  <m:nor/>
                  <m:sty m:val="b"/>
                </m:rPr>
                <m:t>A</m:t>
              </m:r>
            </m:e>
            <m:sup>
              <m:r>
                <m:t>2</m:t>
              </m:r>
            </m:sup>
          </m:sSup>
          <m:r>
            <m:rPr>
              <m:sty m:val="p"/>
            </m:rPr>
            <m:t>+</m:t>
          </m:r>
          <m:r>
            <m:rPr>
              <m:sty m:val="p"/>
            </m:rPr>
            <m:t>.</m:t>
          </m:r>
          <m:r>
            <m:rPr>
              <m:sty m:val="p"/>
            </m:rPr>
            <m:t>.</m:t>
          </m:r>
          <m:r>
            <m:rPr>
              <m:sty m:val="p"/>
            </m:rPr>
            <m:t>.</m:t>
          </m:r>
        </m:oMath>
      </m:oMathPara>
    </w:p>
    <w:bookmarkEnd w:id="22"/>
    <w:bookmarkStart w:id="23" w:name="import-content-of-exports"/>
    <w:p>
      <w:pPr>
        <w:pStyle w:val="Heading2"/>
      </w:pPr>
      <w:r>
        <w:t xml:space="preserve">2.3 Import content of exports</w:t>
      </w:r>
    </w:p>
    <w:p>
      <w:pPr>
        <w:pStyle w:val="FirstParagraph"/>
      </w:pPr>
      <w:r>
        <w:t xml:space="preserve">We can calculate the import content of exports by the following formula:</w:t>
      </w:r>
    </w:p>
    <w:p>
      <w:pPr>
        <w:pStyle w:val="BodyText"/>
      </w:pPr>
      <m:oMathPara>
        <m:oMathParaPr>
          <m:jc m:val="center"/>
        </m:oMathParaPr>
        <m:oMath>
          <m:r>
            <m:t>r</m:t>
          </m:r>
          <m:r>
            <m:rPr>
              <m:sty m:val="p"/>
            </m:rPr>
            <m:t>=</m:t>
          </m:r>
          <m:f>
            <m:fPr>
              <m:type m:val="bar"/>
            </m:fPr>
            <m:num>
              <m:sSup>
                <m:e>
                  <m:r>
                    <m:rPr>
                      <m:nor/>
                      <m:sty m:val="b"/>
                    </m:rPr>
                    <m:t>s</m:t>
                  </m:r>
                </m:e>
                <m:sup>
                  <m:r>
                    <m:t>T</m:t>
                  </m:r>
                </m:sup>
              </m:sSup>
              <m:r>
                <m:rPr>
                  <m:nor/>
                  <m:sty m:val="b"/>
                </m:rPr>
                <m:t>M</m:t>
              </m:r>
              <m:sSup>
                <m:e>
                  <m:d>
                    <m:dPr>
                      <m:begChr m:val="("/>
                      <m:endChr m:val=")"/>
                      <m:sepChr m:val=""/>
                      <m:grow/>
                    </m:dPr>
                    <m:e>
                      <m:r>
                        <m:rPr>
                          <m:nor/>
                          <m:sty m:val="b"/>
                        </m:rPr>
                        <m:t>I</m:t>
                      </m:r>
                      <m:r>
                        <m:rPr>
                          <m:sty m:val="p"/>
                        </m:rPr>
                        <m:t>−</m:t>
                      </m:r>
                      <m:r>
                        <m:rPr>
                          <m:nor/>
                          <m:sty m:val="b"/>
                        </m:rPr>
                        <m:t>A</m:t>
                      </m:r>
                    </m:e>
                  </m:d>
                </m:e>
                <m:sup>
                  <m:r>
                    <m:rPr>
                      <m:sty m:val="p"/>
                    </m:rPr>
                    <m:t>−</m:t>
                  </m:r>
                  <m:r>
                    <m:t>1</m:t>
                  </m:r>
                </m:sup>
              </m:sSup>
              <m:r>
                <m:rPr>
                  <m:nor/>
                  <m:sty m:val="b"/>
                </m:rPr>
                <m:t>e</m:t>
              </m:r>
            </m:num>
            <m:den>
              <m:sSup>
                <m:e>
                  <m:r>
                    <m:rPr>
                      <m:nor/>
                      <m:sty m:val="b"/>
                    </m:rPr>
                    <m:t>s</m:t>
                  </m:r>
                </m:e>
                <m:sup>
                  <m:r>
                    <m:t>T</m:t>
                  </m:r>
                </m:sup>
              </m:sSup>
              <m:r>
                <m:rPr>
                  <m:nor/>
                  <m:sty m:val="b"/>
                </m:rPr>
                <m:t>e</m:t>
              </m:r>
            </m:den>
          </m:f>
        </m:oMath>
      </m:oMathPara>
    </w:p>
    <w:p>
      <w:pPr>
        <w:pStyle w:val="FirstParagraph"/>
      </w:pPr>
      <w:r>
        <w:t xml:space="preserve">Where</w:t>
      </w:r>
      <w:r>
        <w:t xml:space="preserve"> </w:t>
      </w:r>
      <m:oMath>
        <m:sSup>
          <m:e>
            <m:r>
              <m:rPr>
                <m:nor/>
                <m:sty m:val="b"/>
              </m:rPr>
              <m:t>s</m:t>
            </m:r>
          </m:e>
          <m:sup>
            <m:r>
              <m:t>T</m:t>
            </m:r>
          </m:sup>
        </m:sSup>
      </m:oMath>
      <w:r>
        <w:t xml:space="preserve"> </w:t>
      </w:r>
      <w:r>
        <w:t xml:space="preserve">is the summation vector transposed ,</w:t>
      </w:r>
      <w:r>
        <w:t xml:space="preserve"> </w:t>
      </w:r>
      <m:oMath>
        <m:r>
          <m:rPr>
            <m:nor/>
            <m:sty m:val="b"/>
          </m:rPr>
          <m:t>M</m:t>
        </m:r>
      </m:oMath>
      <w:r>
        <w:t xml:space="preserve"> </w:t>
      </w:r>
      <w:r>
        <w:t xml:space="preserve">is the import coefficient matrix</w:t>
      </w:r>
      <w:r>
        <w:t xml:space="preserve"> </w:t>
      </w:r>
      <m:oMath>
        <m:r>
          <m:rPr>
            <m:nor/>
            <m:sty m:val="b"/>
          </m:rPr>
          <m:t>e</m:t>
        </m:r>
      </m:oMath>
      <w:r>
        <w:t xml:space="preserve"> </w:t>
      </w:r>
      <w:r>
        <w:t xml:space="preserve">is the vector (or matrix if disaggreggated) of exports.</w:t>
      </w:r>
    </w:p>
    <w:bookmarkEnd w:id="23"/>
    <w:bookmarkStart w:id="24" w:name="domestic-trade-value-added"/>
    <w:p>
      <w:pPr>
        <w:pStyle w:val="Heading2"/>
      </w:pPr>
      <w:r>
        <w:t xml:space="preserve">2.4 Domestic Trade Value added</w:t>
      </w:r>
    </w:p>
    <w:p>
      <w:pPr>
        <w:pStyle w:val="FirstParagraph"/>
      </w:pPr>
      <w:r>
        <w:t xml:space="preserve">Similarly, we can calculate the domestic value added content of trade (or more generaly final demand categories) which we will use in our analysis.</w:t>
      </w:r>
    </w:p>
    <w:p>
      <w:pPr>
        <w:pStyle w:val="BodyText"/>
      </w:pPr>
      <m:oMath>
        <m:r>
          <m:rPr>
            <m:nor/>
            <m:sty m:val="b"/>
          </m:rPr>
          <m:t>VA</m:t>
        </m:r>
        <m:r>
          <m:rPr>
            <m:sty m:val="p"/>
          </m:rPr>
          <m:t>=</m:t>
        </m:r>
        <m:r>
          <m:rPr>
            <m:nor/>
            <m:sty m:val="b"/>
          </m:rPr>
          <m:t>v</m:t>
        </m:r>
        <m:sSup>
          <m:e>
            <m:d>
              <m:dPr>
                <m:begChr m:val="("/>
                <m:endChr m:val=")"/>
                <m:sepChr m:val=""/>
                <m:grow/>
              </m:dPr>
              <m:e>
                <m:r>
                  <m:rPr>
                    <m:nor/>
                    <m:sty m:val="b"/>
                  </m:rPr>
                  <m:t>I</m:t>
                </m:r>
                <m:r>
                  <m:rPr>
                    <m:sty m:val="p"/>
                  </m:rPr>
                  <m:t>−</m:t>
                </m:r>
                <m:r>
                  <m:rPr>
                    <m:nor/>
                    <m:sty m:val="b"/>
                  </m:rPr>
                  <m:t>A</m:t>
                </m:r>
              </m:e>
            </m:d>
          </m:e>
          <m:sup>
            <m:r>
              <m:rPr>
                <m:sty m:val="p"/>
              </m:rPr>
              <m:t>−</m:t>
            </m:r>
            <m:r>
              <m:t>1</m:t>
            </m:r>
          </m:sup>
        </m:sSup>
        <m:r>
          <m:rPr>
            <m:nor/>
            <m:sty m:val="b"/>
          </m:rPr>
          <m:t>f</m:t>
        </m:r>
      </m:oMath>
    </w:p>
    <w:p>
      <w:pPr>
        <w:pStyle w:val="BodyText"/>
      </w:pPr>
      <w:r>
        <w:t xml:space="preserve">Where</w:t>
      </w:r>
      <w:r>
        <w:t xml:space="preserve"> </w:t>
      </w:r>
      <m:oMath>
        <m:r>
          <m:rPr>
            <m:nor/>
            <m:sty m:val="b"/>
          </m:rPr>
          <m:t>VA</m:t>
        </m:r>
      </m:oMath>
      <w:r>
        <w:t xml:space="preserve"> </w:t>
      </w:r>
      <w:r>
        <w:t xml:space="preserve">is the value added matrix which we cam sum over columns to get the total value added,</w:t>
      </w:r>
      <w:r>
        <w:t xml:space="preserve"> </w:t>
      </w:r>
      <m:oMath>
        <m:r>
          <m:rPr>
            <m:nor/>
            <m:sty m:val="b"/>
          </m:rPr>
          <m:t>v</m:t>
        </m:r>
      </m:oMath>
      <w:r>
        <w:t xml:space="preserve"> </w:t>
      </w:r>
      <w:r>
        <w:t xml:space="preserve">is a diagonal matrix with value added coefficients as diagonal entries, and you already know the rest.</w:t>
      </w:r>
    </w:p>
    <w:bookmarkEnd w:id="24"/>
    <w:bookmarkStart w:id="26" w:name="structural-decomposition-analysis"/>
    <w:p>
      <w:pPr>
        <w:pStyle w:val="Heading2"/>
      </w:pPr>
      <w:r>
        <w:t xml:space="preserve">2.5 Structural decomposition analysis</w:t>
      </w:r>
    </w:p>
    <w:p>
      <w:pPr>
        <w:pStyle w:val="FirstParagraph"/>
      </w:pPr>
      <w:r>
        <w:t xml:space="preserve">We will take a different path from</w:t>
      </w:r>
      <w:r>
        <w:t xml:space="preserve"> </w:t>
      </w:r>
      <w:hyperlink r:id="rId25">
        <w:r>
          <w:rPr>
            <w:rStyle w:val="Hyperlink"/>
          </w:rPr>
          <w:t xml:space="preserve">Baccaro et al (2023</w:t>
        </w:r>
      </w:hyperlink>
      <w:r>
        <w:t xml:space="preserve">) and rather than calculate induced imports by final demand category and subtracting them from the corresponding category responsible for their existence, by will calculate value added generated by exports and decompose this value added on a year-by-year basis into quantities corresponding to changes in technical coefficients, import coefficients and final demand changes. As recommended by Miller and Blair (2009) we use the average of two polar decomposition.</w:t>
      </w:r>
    </w:p>
    <w:p>
      <w:pPr>
        <w:pStyle w:val="BodyText"/>
      </w:pPr>
      <m:oMath>
        <m:r>
          <m:t>Δ</m:t>
        </m:r>
        <m:r>
          <m:t>V</m:t>
        </m:r>
        <m:r>
          <m:t>a</m:t>
        </m:r>
        <m:r>
          <m:rPr>
            <m:sty m:val="p"/>
          </m:rPr>
          <m:t>=</m:t>
        </m:r>
        <m:f>
          <m:fPr>
            <m:type m:val="bar"/>
          </m:fPr>
          <m:num>
            <m:r>
              <m:t>1</m:t>
            </m:r>
          </m:num>
          <m:den>
            <m:r>
              <m:t>2</m:t>
            </m:r>
          </m:den>
        </m:f>
        <m:r>
          <m:t>Δ</m:t>
        </m:r>
        <m:r>
          <m:rPr>
            <m:nor/>
            <m:sty m:val="b"/>
          </m:rPr>
          <m:t>v</m:t>
        </m:r>
        <m:d>
          <m:dPr>
            <m:begChr m:val="("/>
            <m:endChr m:val=")"/>
            <m:sepChr m:val=""/>
            <m:grow/>
          </m:dPr>
          <m:e>
            <m:sSub>
              <m:e>
                <m:r>
                  <m:rPr>
                    <m:nor/>
                    <m:sty m:val="b"/>
                  </m:rPr>
                  <m:t>L</m:t>
                </m:r>
              </m:e>
              <m:sub>
                <m:r>
                  <m:t>1</m:t>
                </m:r>
              </m:sub>
            </m:sSub>
            <m:sSub>
              <m:e>
                <m:r>
                  <m:rPr>
                    <m:nor/>
                    <m:sty m:val="b"/>
                  </m:rPr>
                  <m:t>f</m:t>
                </m:r>
              </m:e>
              <m:sub>
                <m:r>
                  <m:t>1</m:t>
                </m:r>
              </m:sub>
            </m:sSub>
            <m:r>
              <m:rPr>
                <m:sty m:val="p"/>
              </m:rPr>
              <m:t>+</m:t>
            </m:r>
            <m:sSub>
              <m:e>
                <m:r>
                  <m:rPr>
                    <m:nor/>
                    <m:sty m:val="b"/>
                  </m:rPr>
                  <m:t>L</m:t>
                </m:r>
              </m:e>
              <m:sub>
                <m:r>
                  <m:t>2</m:t>
                </m:r>
              </m:sub>
            </m:sSub>
            <m:sSub>
              <m:e>
                <m:r>
                  <m:rPr>
                    <m:nor/>
                    <m:sty m:val="b"/>
                  </m:rPr>
                  <m:t>f</m:t>
                </m:r>
              </m:e>
              <m:sub>
                <m:r>
                  <m:t>2</m:t>
                </m:r>
              </m:sub>
            </m:sSub>
          </m:e>
        </m:d>
        <m:r>
          <m:rPr>
            <m:sty m:val="p"/>
          </m:rPr>
          <m:t>+</m:t>
        </m:r>
        <m:f>
          <m:fPr>
            <m:type m:val="bar"/>
          </m:fPr>
          <m:num>
            <m:r>
              <m:t>1</m:t>
            </m:r>
          </m:num>
          <m:den>
            <m:r>
              <m:t>2</m:t>
            </m:r>
          </m:den>
        </m:f>
        <m:d>
          <m:dPr>
            <m:begChr m:val="("/>
            <m:endChr m:val=")"/>
            <m:sepChr m:val=""/>
            <m:grow/>
          </m:dPr>
          <m:e>
            <m:sSub>
              <m:e>
                <m:r>
                  <m:rPr>
                    <m:nor/>
                    <m:sty m:val="b"/>
                  </m:rPr>
                  <m:t>v</m:t>
                </m:r>
              </m:e>
              <m:sub>
                <m:r>
                  <m:t>1</m:t>
                </m:r>
              </m:sub>
            </m:sSub>
            <m:r>
              <m:t>Δ</m:t>
            </m:r>
            <m:r>
              <m:rPr>
                <m:nor/>
                <m:sty m:val="b"/>
              </m:rPr>
              <m:t>L</m:t>
            </m:r>
            <m:sSub>
              <m:e>
                <m:r>
                  <m:rPr>
                    <m:nor/>
                    <m:sty m:val="b"/>
                  </m:rPr>
                  <m:t>f</m:t>
                </m:r>
              </m:e>
              <m:sub>
                <m:r>
                  <m:t>2</m:t>
                </m:r>
              </m:sub>
            </m:sSub>
            <m:r>
              <m:rPr>
                <m:sty m:val="p"/>
              </m:rPr>
              <m:t>+</m:t>
            </m:r>
            <m:sSub>
              <m:e>
                <m:r>
                  <m:rPr>
                    <m:nor/>
                    <m:sty m:val="b"/>
                  </m:rPr>
                  <m:t>v</m:t>
                </m:r>
              </m:e>
              <m:sub>
                <m:r>
                  <m:t>2</m:t>
                </m:r>
              </m:sub>
            </m:sSub>
            <m:r>
              <m:t>Δ</m:t>
            </m:r>
            <m:r>
              <m:rPr>
                <m:nor/>
                <m:sty m:val="b"/>
              </m:rPr>
              <m:t>L</m:t>
            </m:r>
            <m:sSub>
              <m:e>
                <m:r>
                  <m:rPr>
                    <m:nor/>
                    <m:sty m:val="b"/>
                  </m:rPr>
                  <m:t>f</m:t>
                </m:r>
              </m:e>
              <m:sub>
                <m:r>
                  <m:t>1</m:t>
                </m:r>
              </m:sub>
            </m:sSub>
          </m:e>
        </m:d>
        <m:r>
          <m:rPr>
            <m:sty m:val="p"/>
          </m:rPr>
          <m:t>+</m:t>
        </m:r>
        <m:f>
          <m:fPr>
            <m:type m:val="bar"/>
          </m:fPr>
          <m:num>
            <m:r>
              <m:t>1</m:t>
            </m:r>
          </m:num>
          <m:den>
            <m:r>
              <m:t>2</m:t>
            </m:r>
          </m:den>
        </m:f>
        <m:d>
          <m:dPr>
            <m:begChr m:val="("/>
            <m:endChr m:val=")"/>
            <m:sepChr m:val=""/>
            <m:grow/>
          </m:dPr>
          <m:e>
            <m:sSub>
              <m:e>
                <m:r>
                  <m:rPr>
                    <m:nor/>
                    <m:sty m:val="b"/>
                  </m:rPr>
                  <m:t>v</m:t>
                </m:r>
              </m:e>
              <m:sub>
                <m:r>
                  <m:t>1</m:t>
                </m:r>
              </m:sub>
            </m:sSub>
            <m:sSub>
              <m:e>
                <m:r>
                  <m:rPr>
                    <m:nor/>
                    <m:sty m:val="b"/>
                  </m:rPr>
                  <m:t>L</m:t>
                </m:r>
              </m:e>
              <m:sub>
                <m:r>
                  <m:t>1</m:t>
                </m:r>
              </m:sub>
            </m:sSub>
            <m:r>
              <m:rPr>
                <m:sty m:val="p"/>
              </m:rPr>
              <m:t>+</m:t>
            </m:r>
            <m:sSub>
              <m:e>
                <m:r>
                  <m:rPr>
                    <m:nor/>
                    <m:sty m:val="b"/>
                  </m:rPr>
                  <m:t>v</m:t>
                </m:r>
              </m:e>
              <m:sub>
                <m:r>
                  <m:t>2</m:t>
                </m:r>
              </m:sub>
            </m:sSub>
            <m:sSub>
              <m:e>
                <m:r>
                  <m:rPr>
                    <m:nor/>
                    <m:sty m:val="b"/>
                  </m:rPr>
                  <m:t>L</m:t>
                </m:r>
              </m:e>
              <m:sub>
                <m:r>
                  <m:t>2</m:t>
                </m:r>
              </m:sub>
            </m:sSub>
          </m:e>
        </m:d>
        <m:r>
          <m:t>Δ</m:t>
        </m:r>
        <m:r>
          <m:rPr>
            <m:nor/>
            <m:sty m:val="b"/>
          </m:rPr>
          <m:t>f</m:t>
        </m:r>
      </m:oMath>
    </w:p>
    <w:p>
      <w:pPr>
        <w:pStyle w:val="BodyText"/>
      </w:pPr>
      <w:r>
        <w:t xml:space="preserve">The difference in the value added generated by final demand categories will be decomposed into three sums, each corresponding to changes in one of its constituent terms.</w:t>
      </w:r>
    </w:p>
    <w:bookmarkEnd w:id="26"/>
    <w:bookmarkEnd w:id="27"/>
    <w:bookmarkStart w:id="43" w:name="some-exploratory-analyses"/>
    <w:p>
      <w:pPr>
        <w:pStyle w:val="Heading1"/>
      </w:pPr>
      <w:r>
        <w:t xml:space="preserve">3. Some exploratory analyses</w:t>
      </w:r>
    </w:p>
    <w:p>
      <w:pPr>
        <w:pStyle w:val="FirstParagraph"/>
      </w:pPr>
      <w:r>
        <w:t xml:space="preserve">Let us decompose the value added generated by final demand categories for the eastern european countries between 1995 and 2018. Let us see Romania first.</w:t>
      </w:r>
    </w:p>
    <w:p>
      <w:pPr>
        <w:pStyle w:val="BodyText"/>
      </w:pPr>
      <w:r>
        <w:drawing>
          <wp:inline>
            <wp:extent cx="4620126" cy="3696101"/>
            <wp:effectExtent b="0" l="0" r="0" t="0"/>
            <wp:docPr descr="" title="" id="29" name="Picture"/>
            <a:graphic>
              <a:graphicData uri="http://schemas.openxmlformats.org/drawingml/2006/picture">
                <pic:pic>
                  <pic:nvPicPr>
                    <pic:cNvPr descr="analize_exploratorii_files/figure-docx/unnamed-chunk-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2" name="Picture"/>
            <a:graphic>
              <a:graphicData uri="http://schemas.openxmlformats.org/drawingml/2006/picture">
                <pic:pic>
                  <pic:nvPicPr>
                    <pic:cNvPr descr="analize_exploratorii_files/figure-docx/unnamed-chunk-2-1.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We can see that almost all the value added between 1995 and 2018 is due to final demand growing in this time. Also, exports are more important in the generation of value added since the Great Financial Crisis.</w:t>
      </w:r>
    </w:p>
    <w:p>
      <w:pPr>
        <w:pStyle w:val="BodyText"/>
      </w:pPr>
      <w:r>
        <w:t xml:space="preserve">Let us see Eastern Europe relative contribution to value added before and after the financial crisis.</w:t>
      </w:r>
    </w:p>
    <w:p>
      <w:pPr>
        <w:pStyle w:val="BodyText"/>
      </w:pPr>
      <w:r>
        <w:drawing>
          <wp:inline>
            <wp:extent cx="5334000" cy="5334000"/>
            <wp:effectExtent b="0" l="0" r="0" t="0"/>
            <wp:docPr descr="" title="" id="35" name="Picture"/>
            <a:graphic>
              <a:graphicData uri="http://schemas.openxmlformats.org/drawingml/2006/picture">
                <pic:pic>
                  <pic:nvPicPr>
                    <pic:cNvPr descr="analize_exploratorii_files/figure-docx/unnamed-chunk-3-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As it was to be expected, our countries are now more export-oriented.</w:t>
      </w:r>
    </w:p>
    <w:p>
      <w:pPr>
        <w:pStyle w:val="BodyText"/>
      </w:pPr>
      <w:r>
        <w:t xml:space="preserve">Why does Croatia look that way, also different from your study ?</w:t>
      </w:r>
    </w:p>
    <w:p>
      <w:pPr>
        <w:pStyle w:val="BodyText"/>
      </w:pPr>
      <w:r>
        <w:drawing>
          <wp:inline>
            <wp:extent cx="5334000" cy="4000500"/>
            <wp:effectExtent b="0" l="0" r="0" t="0"/>
            <wp:docPr descr="" title="" id="38" name="Picture"/>
            <a:graphic>
              <a:graphicData uri="http://schemas.openxmlformats.org/drawingml/2006/picture">
                <pic:pic>
                  <pic:nvPicPr>
                    <pic:cNvPr descr="analize_exploratorii_files/figure-docx/unnamed-chunk-4-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It is hard to see problems with graph so maybe we plot annual changes:</w:t>
      </w:r>
    </w:p>
    <w:p>
      <w:pPr>
        <w:pStyle w:val="BodyText"/>
      </w:pPr>
      <w:r>
        <w:drawing>
          <wp:inline>
            <wp:extent cx="5334000" cy="4000500"/>
            <wp:effectExtent b="0" l="0" r="0" t="0"/>
            <wp:docPr descr="" title="" id="41" name="Picture"/>
            <a:graphic>
              <a:graphicData uri="http://schemas.openxmlformats.org/drawingml/2006/picture">
                <pic:pic>
                  <pic:nvPicPr>
                    <pic:cNvPr descr="analize_exploratorii_files/figure-docx/unnamed-chunk-5-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We can see more clearly now that we had negative (absolute) contributions from exports in a few years after the financial crisis and some constant contributions afterwards. They mostly cancel out but they remain positive (actually the only positive component in the 2009-2018 period). So we will use the math module function for the total value added so we can have positive contribution of positive components even when growth is negative.</w:t>
      </w:r>
    </w:p>
    <w:bookmarkEnd w:id="43"/>
    <w:bookmarkStart w:id="50" w:name="growth-regimes"/>
    <w:p>
      <w:pPr>
        <w:pStyle w:val="Heading1"/>
      </w:pPr>
      <w:r>
        <w:t xml:space="preserve">4. Growth Regimes</w:t>
      </w:r>
    </w:p>
    <w:p>
      <w:pPr>
        <w:pStyle w:val="FirstParagraph"/>
      </w:pPr>
      <w:r>
        <w:t xml:space="preserve">Let us make a plot similar to yours.</w:t>
      </w:r>
    </w:p>
    <w:p>
      <w:pPr>
        <w:pStyle w:val="BodyText"/>
      </w:pPr>
      <w:r>
        <w:drawing>
          <wp:inline>
            <wp:extent cx="5334000" cy="8297333"/>
            <wp:effectExtent b="0" l="0" r="0" t="0"/>
            <wp:docPr descr="" title="" id="45" name="Picture"/>
            <a:graphic>
              <a:graphicData uri="http://schemas.openxmlformats.org/drawingml/2006/picture">
                <pic:pic>
                  <pic:nvPicPr>
                    <pic:cNvPr descr="regimuri_files/figure-docx/unnamed-chunk-1-1.png" id="46" name="Picture"/>
                    <pic:cNvPicPr>
                      <a:picLocks noChangeArrowheads="1" noChangeAspect="1"/>
                    </pic:cNvPicPr>
                  </pic:nvPicPr>
                  <pic:blipFill>
                    <a:blip r:embed="rId44"/>
                    <a:stretch>
                      <a:fillRect/>
                    </a:stretch>
                  </pic:blipFill>
                  <pic:spPr bwMode="auto">
                    <a:xfrm>
                      <a:off x="0" y="0"/>
                      <a:ext cx="5334000" cy="8297333"/>
                    </a:xfrm>
                    <a:prstGeom prst="rect">
                      <a:avLst/>
                    </a:prstGeom>
                    <a:noFill/>
                    <a:ln w="9525">
                      <a:noFill/>
                      <a:headEnd/>
                      <a:tailEnd/>
                    </a:ln>
                  </pic:spPr>
                </pic:pic>
              </a:graphicData>
            </a:graphic>
          </wp:inline>
        </w:drawing>
      </w:r>
    </w:p>
    <w:p>
      <w:pPr>
        <w:pStyle w:val="BodyText"/>
      </w:pPr>
      <w:r>
        <w:t xml:space="preserve">There are some differences between these graphs, but there is an overall agreement as well. Let us now see the growth contribution on the regional level.</w:t>
      </w:r>
    </w:p>
    <w:p>
      <w:pPr>
        <w:pStyle w:val="BodyText"/>
      </w:pPr>
      <w:r>
        <w:drawing>
          <wp:inline>
            <wp:extent cx="5334000" cy="3556000"/>
            <wp:effectExtent b="0" l="0" r="0" t="0"/>
            <wp:docPr descr="" title="" id="48" name="Picture"/>
            <a:graphic>
              <a:graphicData uri="http://schemas.openxmlformats.org/drawingml/2006/picture">
                <pic:pic>
                  <pic:nvPicPr>
                    <pic:cNvPr descr="regimuri_files/figure-docx/unnamed-chunk-2-1.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Let us see the export sectors with the greatest change between 1995-2007 and 2009-2018 as contribution to value added in six eastern european countries.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Top 10 export sectors by value added generated</w:t>
      </w:r>
    </w:p>
    <w:p>
      <w:pPr>
        <w:spacing w:before="0" w:after="60"/>
        <w:keepNext/>
        <w:jc w:val="start"/>
        <w:pStyle w:val="caption"/>
      </w:pPr>
      <w:r>
        <w:rPr>
          <w:rFonts w:ascii="Calibri" w:hAnsi="Calibri"/>
          <w:sz w:val="20"/>
          <w:color w:val="333333"/>
        </w:rPr>
        <w:t xml:space="default">Sorted by the largest absolute difference between periods</w:t>
      </w:r>
      <w:r>
        <w:rPr>
          <w:vertAlign w:val="superscript"/>
          <w:i/>
          <w:rFonts w:ascii="Calibri" w:hAnsi="Calibri"/>
          <w:sz w:val="20"/>
          <w:color w:val="333333"/>
        </w:rPr>
        <w:t xml:space="default">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shd w:val="clear" w:color="auto" w:fill="EEA100"/>
          </w:tcPr>
          <w:p>
            <w:pPr>
              <w:spacing w:before="0" w:after="60"/>
              <w:keepNext/>
              <w:jc w:val="start"/>
            </w:pPr>
            <w:r>
              <w:rPr>
                <w:rFonts w:ascii="Calibri" w:hAnsi="Calibri"/>
                <w:sz w:val="20"/>
              </w:rPr>
              <w:t xml:space="default">sector</w:t>
            </w:r>
          </w:p>
        </w:tc>
        <w:tc>
          <w:tcPr>
            <w:tcBorders>
              <w:top w:val="single" w:sz="16" w:space="0" w:color="D3D3D3"/>
              <w:bottom w:val="single" w:sz="16" w:space="0" w:color="BLACK"/>
            </w:tcBorders>
            <w:shd w:val="clear" w:color="auto" w:fill="EEA100"/>
          </w:tcPr>
          <w:p>
            <w:pPr>
              <w:spacing w:before="0" w:after="60"/>
              <w:keepNext/>
              <w:jc w:val="end"/>
            </w:pPr>
            <w:r>
              <w:rPr>
                <w:rFonts w:ascii="Calibri" w:hAnsi="Calibri"/>
                <w:sz w:val="20"/>
              </w:rPr>
              <w:t xml:space="default">1995-2007</w:t>
            </w:r>
          </w:p>
        </w:tc>
        <w:tc>
          <w:tcPr>
            <w:tcBorders>
              <w:top w:val="single" w:sz="16" w:space="0" w:color="D3D3D3"/>
              <w:bottom w:val="single" w:sz="16" w:space="0" w:color="BLACK"/>
            </w:tcBorders>
            <w:shd w:val="clear" w:color="auto" w:fill="EEA100"/>
          </w:tcPr>
          <w:p>
            <w:pPr>
              <w:spacing w:before="0" w:after="60"/>
              <w:keepNext/>
              <w:jc w:val="end"/>
            </w:pPr>
            <w:r>
              <w:rPr>
                <w:rFonts w:ascii="Calibri" w:hAnsi="Calibri"/>
                <w:sz w:val="20"/>
              </w:rPr>
              <w:t xml:space="default">2009-2018</w:t>
            </w:r>
          </w:p>
        </w:tc>
        <w:tc>
          <w:tcPr>
            <w:tcBorders>
              <w:top w:val="single" w:sz="16" w:space="0" w:color="D3D3D3"/>
              <w:bottom w:val="single" w:sz="16" w:space="0" w:color="BLACK"/>
              <w:end w:val="single" w:space="0" w:color="D3D3D3"/>
            </w:tcBorders>
            <w:shd w:val="clear" w:color="auto" w:fill="EEA100"/>
          </w:tcPr>
          <w:p>
            <w:pPr>
              <w:spacing w:before="0" w:after="60"/>
              <w:keepNext/>
              <w:jc w:val="end"/>
            </w:pPr>
            <w:r>
              <w:rPr>
                <w:rFonts w:ascii="Calibri" w:hAnsi="Calibri"/>
                <w:sz w:val="20"/>
              </w:rPr>
              <w:t xml:space="default">delta</w:t>
            </w:r>
          </w:p>
        </w:tc>
      </w:tr>
      <w:tr>
        <w:trPr>
          <w:cantSplit/>
        </w:trPr>
        <w:tc>
          <w:tcPr>
            <w:tcBorders>
              <w:top w:val="single" w:sz="16" w:space="0" w:color="BLACK"/>
              <w:bottom w:val="single" w:sz="16" w:space="0" w:color="WHITE"/>
              <w:start w:val="single" w:space="0" w:color="D3D3D3"/>
              <w:end w:val="single" w:space="0" w:color="D3D3D3"/>
            </w:tcBorders>
            <w:shd w:val="clear" w:color="auto" w:fill="F2F2F2"/>
            <w:tcMar>
              <w:top w:w="25" w:type="dxa"/>
            </w:tcMar>
            <w:gridSpan w:val="4"/>
          </w:tcPr>
          <w:p>
            <w:pPr>
              <w:spacing w:before="0" w:after="60"/>
              <w:keepNext/>
            </w:pPr>
            <w:r>
              <w:rPr>
                <w:rFonts w:ascii="Calibri" w:hAnsi="Calibri"/>
                <w:sz w:val="20"/>
                <w:b w:val="true"/>
              </w:rPr>
              <w:t xml:space="default">Slovakia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 vehicles, trailers and semi-trailers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Machinery and equipment, nec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 and other information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Professional, scientific and technical activities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and products of wood and cork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Paper products and printing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Telecommunications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Coke and refined petroleum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electronic and optical equipment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w:t>
            </w:r>
          </w:p>
        </w:tc>
      </w:tr>
      <w:tr>
        <w:trPr>
          <w:cantSplit/>
        </w:trPr>
        <w:tc>
          <w:tcPr>
            <w:tcBorders>
              <w:top w:val="single" w:sz="16" w:space="0" w:color="BLACK"/>
              <w:bottom w:val="single" w:sz="16" w:space="0" w:color="WHITE"/>
              <w:start w:val="single" w:space="0" w:color="D3D3D3"/>
              <w:end w:val="single" w:space="0" w:color="D3D3D3"/>
            </w:tcBorders>
            <w:shd w:val="clear" w:color="auto" w:fill="F2F2F2"/>
            <w:tcMar>
              <w:top w:w="25" w:type="dxa"/>
            </w:tcMar>
            <w:gridSpan w:val="4"/>
          </w:tcPr>
          <w:p>
            <w:pPr>
              <w:spacing w:before="0" w:after="60"/>
              <w:keepNext/>
            </w:pPr>
            <w:r>
              <w:rPr>
                <w:rFonts w:ascii="Calibri" w:hAnsi="Calibri"/>
                <w:sz w:val="20"/>
                <w:b w:val="true"/>
              </w:rPr>
              <w:t xml:space="default">Czechia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 vehicles, trailers and semi-trailers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Administrative and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Land transport and transport via pipelines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 and other information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Telecommunications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products, beverages and tobacco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electronic and optical equipment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metals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Electricity, gas, steam and air conditioning supply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w:t>
            </w:r>
          </w:p>
        </w:tc>
      </w:tr>
      <w:tr>
        <w:trPr>
          <w:cantSplit/>
        </w:trPr>
        <w:tc>
          <w:tcPr>
            <w:tcBorders>
              <w:top w:val="single" w:sz="16" w:space="0" w:color="BLACK"/>
              <w:bottom w:val="single" w:sz="16" w:space="0" w:color="WHITE"/>
              <w:start w:val="single" w:space="0" w:color="D3D3D3"/>
              <w:end w:val="single" w:space="0" w:color="D3D3D3"/>
            </w:tcBorders>
            <w:shd w:val="clear" w:color="auto" w:fill="F2F2F2"/>
            <w:tcMar>
              <w:top w:w="25" w:type="dxa"/>
            </w:tcMar>
            <w:gridSpan w:val="4"/>
          </w:tcPr>
          <w:p>
            <w:pPr>
              <w:spacing w:before="0" w:after="60"/>
              <w:keepNext/>
            </w:pPr>
            <w:r>
              <w:rPr>
                <w:rFonts w:ascii="Calibri" w:hAnsi="Calibri"/>
                <w:sz w:val="20"/>
                <w:b w:val="true"/>
              </w:rPr>
              <w:t xml:space="default">Romania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 vehicles, trailers and semi-trailers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products, beverages and tobacco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Professional, scientific and technical activities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 and other information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Machinery and equipment, nec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and insurance activities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electronic and optical equipment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Textiles, textile products, leather and footwear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metals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r>
      <w:tr>
        <w:trPr>
          <w:cantSplit/>
        </w:trPr>
        <w:tc>
          <w:tcPr>
            <w:tcBorders>
              <w:top w:val="single" w:sz="16" w:space="0" w:color="BLACK"/>
              <w:bottom w:val="single" w:sz="16" w:space="0" w:color="WHITE"/>
              <w:start w:val="single" w:space="0" w:color="D3D3D3"/>
              <w:end w:val="single" w:space="0" w:color="D3D3D3"/>
            </w:tcBorders>
            <w:shd w:val="clear" w:color="auto" w:fill="F2F2F2"/>
            <w:tcMar>
              <w:top w:w="25" w:type="dxa"/>
            </w:tcMar>
            <w:gridSpan w:val="4"/>
          </w:tcPr>
          <w:p>
            <w:pPr>
              <w:spacing w:before="0" w:after="60"/>
              <w:keepNext/>
            </w:pPr>
            <w:r>
              <w:rPr>
                <w:rFonts w:ascii="Calibri" w:hAnsi="Calibri"/>
                <w:sz w:val="20"/>
                <w:b w:val="true"/>
              </w:rPr>
              <w:t xml:space="default">Hungary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 vehicles, trailers and semi-trailers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 and other information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Administrative and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Rubber and plastics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Machinery and equipment, nec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administration and defence; compulsory social security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products, beverages and tobacco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Telecommunications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electronic and optical equipment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-6.68%</w:t>
            </w:r>
          </w:p>
        </w:tc>
      </w:tr>
      <w:tr>
        <w:trPr>
          <w:cantSplit/>
        </w:trPr>
        <w:tc>
          <w:tcPr>
            <w:tcBorders>
              <w:top w:val="single" w:sz="16" w:space="0" w:color="BLACK"/>
              <w:bottom w:val="single" w:sz="16" w:space="0" w:color="WHITE"/>
              <w:start w:val="single" w:space="0" w:color="D3D3D3"/>
              <w:end w:val="single" w:space="0" w:color="D3D3D3"/>
            </w:tcBorders>
            <w:shd w:val="clear" w:color="auto" w:fill="F2F2F2"/>
            <w:tcMar>
              <w:top w:w="25" w:type="dxa"/>
            </w:tcMar>
            <w:gridSpan w:val="4"/>
          </w:tcPr>
          <w:p>
            <w:pPr>
              <w:spacing w:before="0" w:after="60"/>
              <w:keepNext/>
            </w:pPr>
            <w:r>
              <w:rPr>
                <w:rFonts w:ascii="Calibri" w:hAnsi="Calibri"/>
                <w:sz w:val="20"/>
                <w:b w:val="true"/>
              </w:rPr>
              <w:t xml:space="default">Bulgaria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products, beverages and tobacco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 vehicles, trailers and semi-trailers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equipment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Fabricated metal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Warehousing and support activities for transportation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and insurance activities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transport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Telecommunications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Wholesale and retail trade; repair of motor vehicles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r>
      <w:tr>
        <w:trPr>
          <w:cantSplit/>
        </w:trPr>
        <w:tc>
          <w:tcPr>
            <w:tcBorders>
              <w:top w:val="single" w:sz="16" w:space="0" w:color="BLACK"/>
              <w:bottom w:val="single" w:sz="16" w:space="0" w:color="WHITE"/>
              <w:start w:val="single" w:space="0" w:color="D3D3D3"/>
              <w:end w:val="single" w:space="0" w:color="D3D3D3"/>
            </w:tcBorders>
            <w:shd w:val="clear" w:color="auto" w:fill="F2F2F2"/>
            <w:tcMar>
              <w:top w:w="25" w:type="dxa"/>
            </w:tcMar>
            <w:gridSpan w:val="4"/>
          </w:tcPr>
          <w:p>
            <w:pPr>
              <w:spacing w:before="0" w:after="60"/>
              <w:keepNext/>
            </w:pPr>
            <w:r>
              <w:rPr>
                <w:rFonts w:ascii="Calibri" w:hAnsi="Calibri"/>
                <w:sz w:val="20"/>
                <w:b w:val="true"/>
              </w:rPr>
              <w:t xml:space="default">Poland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 and other information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 vehicles, trailers and semi-trailers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health and social work activities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Accommodation and food service activities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Administrative and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Electricity, gas, steam and air conditioning supply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Wholesale and retail trade; repair of motor vehicles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metals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electronic and optical equipment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Relative contribution to total VA generated by exports</w:t>
            </w:r>
          </w:p>
        </w:tc>
      </w:tr>
    </w:tbl>
    <w:bookmarkEnd w:id="50"/>
    <w:bookmarkStart w:id="52" w:name="references"/>
    <w:p>
      <w:pPr>
        <w:pStyle w:val="Heading1"/>
      </w:pPr>
      <w:r>
        <w:t xml:space="preserve">References</w:t>
      </w:r>
    </w:p>
    <w:bookmarkStart w:id="51" w:name="refs"/>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25" Target="https://www.mpifg.de/994292/baccaro-hadziabdic-operationalisierung-von-wachstumsmodellen" TargetMode="External" /></Relationships>
</file>

<file path=word/_rels/footnotes.xml.rels><?xml version="1.0" encoding="UTF-8"?><Relationships xmlns="http://schemas.openxmlformats.org/package/2006/relationships"><Relationship Type="http://schemas.openxmlformats.org/officeDocument/2006/relationships/hyperlink" Id="rId25" Target="https://www.mpifg.de/994292/baccaro-hadziabdic-operationalisierung-von-wachstumsmodel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Input-Output Analysis for growth regimes</dc:title>
  <dc:creator>Petre Buciu</dc:creator>
  <cp:keywords/>
  <dcterms:created xsi:type="dcterms:W3CDTF">2023-06-27T14:11:53Z</dcterms:created>
  <dcterms:modified xsi:type="dcterms:W3CDTF">2023-06-27T14:11:53Z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2023-06-21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