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Calibri" w:cs="Calibri"/>
          <w:b/>
          <w:color w:val="A56A15"/>
          <w:sz w:val="20"/>
        </w:rPr>
        <w:t>НЕЗАВИСИМОЕ ИССЛЕДОВАНИЕ  ·  ОМСК</w:t>
      </w:r>
    </w:p>
    <w:p>
      <w:pPr>
        <w:spacing w:after="160"/>
        <w:jc w:val="center"/>
      </w:pPr>
      <w:r>
        <w:rPr>
          <w:rFonts w:ascii="Calibri" w:hAnsi="Calibri" w:eastAsia="Calibri" w:cs="Calibri"/>
          <w:b/>
          <w:color w:val="0B2545"/>
          <w:sz w:val="60"/>
        </w:rPr>
        <w:t>Milkim Research V2</w:t>
      </w:r>
    </w:p>
    <w:p>
      <w:pPr>
        <w:spacing w:after="680"/>
        <w:jc w:val="center"/>
      </w:pPr>
      <w:r>
        <w:rPr>
          <w:rFonts w:ascii="Calibri" w:hAnsi="Calibri" w:eastAsia="Calibri" w:cs="Calibri"/>
          <w:color w:val="1F4D78"/>
          <w:sz w:val="29"/>
        </w:rPr>
        <w:t>Доказательная основа для проектирования маркетинговой и клиентской воронки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5F6B76"/>
          <w:sz w:val="21"/>
        </w:rPr>
        <w:t xml:space="preserve">Для: </w:t>
      </w:r>
      <w:r>
        <w:rPr>
          <w:rFonts w:ascii="Calibri" w:hAnsi="Calibri" w:eastAsia="Calibri" w:cs="Calibri"/>
          <w:color w:val="5F6B76"/>
          <w:sz w:val="21"/>
        </w:rPr>
        <w:t>Антона, владельца проекта Milkim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5F6B76"/>
          <w:sz w:val="21"/>
        </w:rPr>
        <w:t xml:space="preserve">География: </w:t>
      </w:r>
      <w:r>
        <w:rPr>
          <w:rFonts w:ascii="Calibri" w:hAnsi="Calibri" w:eastAsia="Calibri" w:cs="Calibri"/>
          <w:color w:val="5F6B76"/>
          <w:sz w:val="21"/>
        </w:rPr>
        <w:t>Омск; внутренний актив — база и сарафан в Русской Поляне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5F6B76"/>
          <w:sz w:val="21"/>
        </w:rPr>
        <w:t xml:space="preserve">Внешние данные: </w:t>
      </w:r>
      <w:r>
        <w:rPr>
          <w:rFonts w:ascii="Calibri" w:hAnsi="Calibri" w:eastAsia="Calibri" w:cs="Calibri"/>
          <w:color w:val="5F6B76"/>
          <w:sz w:val="21"/>
        </w:rPr>
        <w:t>актуальны на 2 сентября 2026 года</w:t>
      </w:r>
    </w:p>
    <w:p>
      <w:pPr>
        <w:spacing w:after="80"/>
        <w:jc w:val="center"/>
      </w:pPr>
      <w:r>
        <w:rPr>
          <w:rFonts w:ascii="Calibri" w:hAnsi="Calibri" w:eastAsia="Calibri" w:cs="Calibri"/>
          <w:b/>
          <w:color w:val="5F6B76"/>
          <w:sz w:val="21"/>
        </w:rPr>
        <w:t xml:space="preserve">Этап: </w:t>
      </w:r>
      <w:r>
        <w:rPr>
          <w:rFonts w:ascii="Calibri" w:hAnsi="Calibri" w:eastAsia="Calibri" w:cs="Calibri"/>
          <w:color w:val="5F6B76"/>
          <w:sz w:val="21"/>
        </w:rPr>
        <w:t>аудит Research V1 и выбор архитектуры до детализации воронки</w:t>
      </w:r>
    </w:p>
    <w:p>
      <w:pPr>
        <w:pStyle w:val="Callout"/>
        <w:spacing w:before="680"/>
        <w:ind w:left="648" w:right="648"/>
        <w:jc w:val="center"/>
        <w:shd w:fill="F7F9FB"/>
      </w:pPr>
      <w:r>
        <w:rPr>
          <w:rFonts w:ascii="Calibri" w:hAnsi="Calibri" w:eastAsia="Calibri" w:cs="Calibri"/>
          <w:b w:val="0"/>
          <w:color w:val="0B2545"/>
          <w:sz w:val="22"/>
        </w:rPr>
        <w:t>Статус: стратегическая основа подготовлена; финальная архитектура и воронка не утверждены.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Как читать статусы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1F2933"/>
          <w:sz w:val="22"/>
        </w:rPr>
        <w:t>ФАКТ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подтверждено внутренними данными Milkim, первичным источником или прямым публичным наблюдением.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1F2933"/>
          <w:sz w:val="22"/>
        </w:rPr>
        <w:t>ВЫВОД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несколько независимых источников сходятся, а альтернативные объяснения не меняют решение.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1F2933"/>
          <w:sz w:val="22"/>
        </w:rPr>
        <w:t>ГИПОТЕЗА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правдоподобно и пригодно для теста, но результата Milkim ещё нет.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 w:cs="Calibri"/>
          <w:b/>
          <w:color w:val="1F2933"/>
          <w:sz w:val="22"/>
        </w:rPr>
        <w:t>РЕШЕНИЕ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используется только после явного утверждения Антоном. Новых решений в этом документе нет.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Уточнения вроде «слабая опора» и уровень уверенности не создают новых статусов: они показывают качество доказательств внутри </w:t>
      </w:r>
      <w:r>
        <w:rPr>
          <w:rFonts w:ascii="Calibri" w:hAnsi="Calibri" w:eastAsia="Calibri" w:cs="Calibri"/>
          <w:b/>
          <w:color w:val="1F2933"/>
          <w:sz w:val="22"/>
        </w:rPr>
        <w:t>ГИПОТЕЗЫ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или </w:t>
      </w:r>
      <w:r>
        <w:rPr>
          <w:rFonts w:ascii="Calibri" w:hAnsi="Calibri" w:eastAsia="Calibri" w:cs="Calibri"/>
          <w:b/>
          <w:color w:val="1F2933"/>
          <w:sz w:val="22"/>
        </w:rPr>
        <w:t>ВЫВОДА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. В аудите V1 формулировки «подтверждено / частично / не подтверждено / противоречит» — это оценка исходного утверждения, а не стратегическое решение. Уверенность указывает на пригодность вывода для конкретного выбора Milkim: </w:t>
      </w:r>
      <w:r>
        <w:rPr>
          <w:rFonts w:ascii="Calibri" w:hAnsi="Calibri" w:eastAsia="Calibri" w:cs="Calibri"/>
          <w:b/>
          <w:color w:val="1F2933"/>
          <w:sz w:val="22"/>
        </w:rPr>
        <w:t>высокая / средняя / низкая</w:t>
      </w:r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pStyle w:val="Heading1"/>
        <w:spacing w:before="280"/>
      </w:pPr>
      <w:r>
        <w:t>Содержание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1. Прямой ответ</w:t>
        <w:tab/>
        <w:t>2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2. Метод и ограничения</w:t>
        <w:tab/>
        <w:t>5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3. Аудит 28 утверждений Research V1</w:t>
        <w:tab/>
        <w:t>7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4. Рынок Омска: что видно без домыслов</w:t>
        <w:tab/>
        <w:t>10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5. Голос клиента: что женщина пытается решить</w:t>
        <w:tab/>
        <w:t>15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6. JTBD-сегменты и необходимая разветвлённость</w:t>
        <w:tab/>
        <w:t>17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7. Старый перманент: A / B / C</w:t>
        <w:tab/>
        <w:t>19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8. Поисковое намерение и офферы</w:t>
        <w:tab/>
        <w:t>21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9. Как клиент выбирает мастера и чем снижать риск</w:t>
        <w:tab/>
        <w:t>23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10. Каналы и точки назначения</w:t>
        <w:tab/>
        <w:t>25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11. Клиентский цикл после процедуры и рост LTV</w:t>
        <w:tab/>
        <w:t>29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12. Аналитика и экономика без выдуманных benchmarks</w:t>
        <w:tab/>
        <w:t>31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13. Финальное сравнение Research V1 и V2</w:t>
        <w:tab/>
        <w:t>33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14. Финальный стратегический вывод</w:t>
        <w:tab/>
        <w:t>35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15. Три концептуальные архитектуры будущей воронки</w:t>
        <w:tab/>
        <w:t>44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16. Источники и границы доказательств</w:t>
        <w:tab/>
        <w:t>46</w:t>
      </w:r>
    </w:p>
    <w:p>
      <w:pPr>
        <w:tabs>
          <w:tab w:pos="9144" w:val="right" w:leader="dot"/>
        </w:tabs>
        <w:spacing w:before="0" w:after="30" w:line="240" w:lineRule="auto"/>
      </w:pPr>
      <w:r>
        <w:rPr>
          <w:rFonts w:ascii="Calibri" w:hAnsi="Calibri" w:eastAsia="Calibri" w:cs="Calibri"/>
          <w:b w:val="0"/>
          <w:color w:val="5F6B76"/>
          <w:sz w:val="18"/>
        </w:rPr>
        <w:t>Заключение</w:t>
        <w:tab/>
        <w:t>48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1. Прямой ответ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Research V2 меняет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Research V1 верно увидел зрелую конкуренцию, страх необратимого результата, ценность заживших работ, роль отзывов и необходимость отдельного маршрута для старого перманента. Но он преждевременно превратил эти наблюдения в готовую стратегию: назначил исправление главным acquisition-позиционированием, лендинг — обязательной точкой назначения, upper-middle — подходящим прайсом, а Search, карты и Avito — P0-каналами без экономики Milkim.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Из 28 проверенных утверждений V1: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b/>
          <w:color w:val="1F2933"/>
          <w:sz w:val="22"/>
        </w:rPr>
        <w:t>11 — сильно подтверждены</w:t>
      </w:r>
      <w:r>
        <w:rPr>
          <w:rFonts w:ascii="Calibri" w:hAnsi="Calibri" w:eastAsia="Calibri" w:cs="Calibri"/>
          <w:b w:val="0"/>
          <w:color w:val="1F2933"/>
          <w:sz w:val="22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b/>
          <w:color w:val="1F2933"/>
          <w:sz w:val="22"/>
        </w:rPr>
        <w:t>9 — подтверждены частично</w:t>
      </w:r>
      <w:r>
        <w:rPr>
          <w:rFonts w:ascii="Calibri" w:hAnsi="Calibri" w:eastAsia="Calibri" w:cs="Calibri"/>
          <w:b w:val="0"/>
          <w:color w:val="1F2933"/>
          <w:sz w:val="22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b/>
          <w:color w:val="1F2933"/>
          <w:sz w:val="22"/>
        </w:rPr>
        <w:t>3 — доказаны слабо</w:t>
      </w:r>
      <w:r>
        <w:rPr>
          <w:rFonts w:ascii="Calibri" w:hAnsi="Calibri" w:eastAsia="Calibri" w:cs="Calibri"/>
          <w:b w:val="0"/>
          <w:color w:val="1F2933"/>
          <w:sz w:val="22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b/>
          <w:color w:val="1F2933"/>
          <w:sz w:val="22"/>
        </w:rPr>
        <w:t>3 — не подтверждаются как основание для решения</w:t>
      </w:r>
      <w:r>
        <w:rPr>
          <w:rFonts w:ascii="Calibri" w:hAnsi="Calibri" w:eastAsia="Calibri" w:cs="Calibri"/>
          <w:b w:val="0"/>
          <w:color w:val="1F2933"/>
          <w:sz w:val="22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 w:cs="Calibri"/>
          <w:b/>
          <w:color w:val="1F2933"/>
          <w:sz w:val="22"/>
        </w:rPr>
        <w:t>2 — имеют противоречащие или изменившиеся данные</w:t>
      </w:r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Главный стратегический вердикт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Сейчас наиболее доказательна модель:</w:t>
      </w:r>
    </w:p>
    <w:p>
      <w:pPr>
        <w:pStyle w:val="Callout"/>
        <w:shd w:fill="F7F9FB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2"/>
        </w:rPr>
        <w:t>широкий бренд естественного, подходящего лицу перманента с понятным и честным процессом + отдельная экспертная ветка диагностики старого/нежелательного ПМ.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Исправление/перекрытие следует тестировать как сильный входной сценарий и контентную компетенцию, но </w:t>
      </w:r>
      <w:r>
        <w:rPr>
          <w:rFonts w:ascii="Calibri" w:hAnsi="Calibri" w:eastAsia="Calibri" w:cs="Calibri"/>
          <w:b/>
          <w:color w:val="1F2933"/>
          <w:sz w:val="22"/>
        </w:rPr>
        <w:t>не утверждать главным зонтичным позиционированием</w:t>
      </w:r>
      <w:r>
        <w:rPr>
          <w:rFonts w:ascii="Calibri" w:hAnsi="Calibri" w:eastAsia="Calibri" w:cs="Calibri"/>
          <w:b w:val="0"/>
          <w:color w:val="1F2933"/>
          <w:sz w:val="22"/>
        </w:rPr>
        <w:t>, пока нет трёх доказательств Milkim: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 xml:space="preserve">достаточного портфеля сопоставимых </w:t>
      </w:r>
      <w:r>
        <w:rPr>
          <w:rFonts w:ascii="Calibri" w:hAnsi="Calibri" w:eastAsia="Calibri" w:cs="Calibri"/>
          <w:b/>
          <w:color w:val="1F2933"/>
          <w:sz w:val="22"/>
        </w:rPr>
        <w:t>заживших и долгосрочных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corrective-кейсов;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фактического объёма квалифицированных обращений и приемлемой экономики этой ветки;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устойчивого маршрута «можно работать / сначала удалять / подождать / отказать» с партнёром по удалению, если удаление не является подтверждённой услугой Milkim.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Почему не вариант «обычная дополнительная услуга»: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мастер умеет и любит эту работу; локальный и клинический материал подтверждает высокую интенсивность проблемы. Спрятать компетенцию в общем прайсе означало бы потерять полезный проблемный спрос.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Почему не вариант «главное позиционирование»: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ёмкость сегмента и экономика не измерены; неудача не является типичным исходом ПМ; correction/removal публично предлагают как минимум 13 игроков из исследованной выборки, а один конкурент уже использует дистанционный подбор по фото.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можно принять уже сейчас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Омске высокая видимая плотность предложений: категория 2ГИС показывала 418 мест, но это смешанный список салонов, филиалов и специалистов, а не 418 прямых PMU-конкурентов. </w:t>
      </w:r>
      <w:hyperlink r:id="rId13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Категория 2ГИС «Перманентный макияж»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Слова «натурально», «индивидуально», «стерильно» и «комфортно» — гигиенические атрибуты категории, а не самостоятельная дифференциация.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При этом естественный, подходящий лицу результат — центральный желаемый исход клиента. Нельзя путать слабость слова как позиционирования с неважностью самого результата.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 выбор влияют не только работы: клиент оценивает мастера как человека, объяснение, согласование формы/цвета, отзывы, рекомендацию, понятность цены и лёгкость записи.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Свежий результат недостаточен как доказательство. Для снижения риска сильнее зажившие и, где доступны, долгосрочные кейсы.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Старый/нежелательный ПМ требует другой квалификации и следующего шага, поэтому это отдельная входная ветка, а не одно объявление со стандартными бровями.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Карты являются самостоятельной посадочной и конверсионной поверхностью: прайс, фото, отзывы, акция, кнопка записи и мессенджер могут закрыть путь без сайта.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Один универсальный пункт назначения для всех каналов слабее channel-matched системы: карты остаются в карте, Avito — в нативном чате, problem-search получает доказательную страницу или структурированную консультацию, база — прямое касание.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Собственное приложение, Mini App и сложный бот не решают доказанную проблему текущего этапа.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После процедуры начинается не «сервис после продажи», а вторая половина экономики: контроль заживления → решение о коррекции → отзыв после подтверждённого результата → следующая зона → рекомендация → обновление. Точные сроки задаёт протокол мастера, а не маркетинговый календарь.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нельзя принимать без проверки Milkim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«Исправление старого ПМ даст лучший CAC, чем новый ПМ».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«Ровно три фотографии — лучший формат первичной диагностики».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«Риск-снижающий оффер всегда сильнее скидки».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 · слабая опора]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«Upper-middle — правильная цена Milkim».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«Лендинг повысит конверсию любого источника».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«Search, карты и Avito должны одновременно получить платный бюджет».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 · слабая опора]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Любая абсолютная частотность поисковых запросов по Омску без выгрузки из авторизованного Wordstat.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 · противоречие источников]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Telegram нельзя автоматически считать обычным рекламным/CRM-каналом 2026 года: частные сервисные сообщения, органические публикации и публичная реклама имеют разный правовой режим.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 · слабая опора]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Точные интервалы cross-sell и refresh из V1.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 · слабая опора]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Модельные CPL/CAC/LTV и календарь на 90 дней из V1 — это примеры расчёта, а не прогноз.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2. Метод и ограничения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Что было исследовано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Полностью разобран Research V1 как набор проверяемых утверждений.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Независимо изучены 25 релевантных игроков Омска: частные мастера, специализированные и многопрофильные студии, клиники, разные уровни цен, correction/removal и публичные воронки.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Зафиксированы прямые прайсы, офферы, доказательства, кнопки записи и переходы между картами, сайтами, DIKIDI и мессенджерами.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Проанализирован качественный корпус клиентского языка: восемь омских 2ГИС-карточек, Яндекс Карты, Flamp, одна отобранная студийная подборка, локальные категории удаления/перекрытия, профильные исследования и несколько неомских обсуждений для отрицательных кейсов.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Проверены научные данные по удовлетворённости, причинам неудовлетворённости и неопределённости удаления ПМ.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Проверены текущие возможности Яндекс Бизнеса/Директа и 2ГИС, правила отзывов, ограничения рекламы и требования к использованию изображения/персональных данных.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Стоп-критерий достигнут: в конкурентной и voice-of-customer выборках новые источники начали повторять уже найденные паттерны; наиболее важные разногласия либо разрешены, либо явно ограничены отсутствием внутренних данных.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Ограничения, влияющие на решения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Отзывы — self-selection.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Они хорошо показывают язык, страхи и путь довольных/недовольных клиентов, но не дают долю каждого JTBD и почти не показывают тех, кто не записался.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Публичная цена — не средний чек.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выборке смешаны мастерские уровни, акции, модели, «от» и стандартные процедуры; нет фактического распределения оплат.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Каталожные счётчики динамичны.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Числа оценок, фото, акций и даже названия меняются; они используются как датированный сигнал масштаба публичного proof.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Присутствие услуги не равно продажам.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То, что 13 игроков упоминают removal/correction, доказывает конкуренцию предложения, но не ёмкость спроса.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Продавец не является независимым доказательством качества.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«Без боли», «не меняет цвет», «гарантия» и «премиальные пигменты» — рекламные заявления конкурентов.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Научная выборка по неудовлетворительному ПМ не измеряет рынок.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Клиенты одной клиники удаления — селективная группа с уже возникшей проблемой.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Avito не дал стабильного публичного snapshot.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Канал нужно оценивать по кабинету Milkim и live-выдаче с омской геолокацией, а не по веб-сниппетам.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 w:cs="Calibri"/>
          <w:b/>
          <w:color w:val="1F2933"/>
          <w:sz w:val="22"/>
        </w:rPr>
        <w:t>Wordstat требует авторизованной локальной выгрузки.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отчёте нет выдуманных объёмов запросов.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  <w:pgNumType w:start="1"/>
        </w:sectPr>
      </w:pP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3. Аудит 28 утверждений Research V1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"/>
        <w:gridCol w:w="3611"/>
        <w:gridCol w:w="2425"/>
        <w:gridCol w:w="1548"/>
        <w:gridCol w:w="4512"/>
      </w:tblGrid>
      <w:tr>
        <w:trPr>
          <w:tblHeader w:val="true"/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№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Утверждение V1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Статус V2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Уверенность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Почему / влияние на решение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Омский рынок насыщен; «натуральный ПМ» не дифференцирует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25 игроков повторяют естественность, индивидуальность, стерильность и комфорт. Нужна доказательная механика, а не ещё одно слово «натурально».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Естественный заживший результат — центральный клиентский исход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Повторяется в независимых омских отзывах и публичных офферах. Показывать визуально, потому что смысл слова субъективен.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Страх плохого/неестественного результата — крупный барьер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Локальный язык «долго выбирала», «боялась», «не могла доверить лицо» сходится с исследованиями неудовлетворённости цветом/формой.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Страх боли заметно задерживает покупку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Боль повторяется в отзывах и исследованиях, но неизвестно её место относительно результата, цены и локации у некупивших клиентов.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Портфолио, особенно зажившее, определяет выбор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Клиенты смотрят работы, сильные карточки показывают сотни фото; причинный прирост конверсии зажившего proof не измерен.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Отзывы и рекомендации существенно влияют на выбор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Клиенты прямо описывают рекомендации и чтение отзывов; карты выносят их в центр выбора. Но отзыв не гарантирует результат.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Старый/изменившийся/неудачный ПМ — отдельный высокоболевой сегмент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для наличия, низкая для размера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Локальные истории и клинические данные сходятся по цвету, форме и насыщенности. Размер Омска и экономика неизвестны.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8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Исправление/перекрытие должно быть главным acquisition-крючком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СЛАБО ДОКАЗАНО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 для понижения статуса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Нет доли спроса, конверсий и готовности proof Milkim. Минимум 13 игроков уже показывают correction/removal.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9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«Честный выбор маршрута» дифференцирует сильнее, чем «перекрываем»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Неопределённость реальна, но консультации и подбор по фото уже встречаются. Преимущество появится только при лучшем протоколе и доказательствах.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10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Разбор ровно по трём фото — сильный лид-оффер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СЛАБО ДОКАЗАНО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Удалённая оценка логична, но число фото, completion rate и конверсия не доказаны; конкурент уже предлагает подбор по фото.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11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 части случаев нужен маршрут через удаление/партнёра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Клиническая вариативность пигмента и локальные маршруты removal → ожидание → новый ПМ исключают обещание универсального перекрытия.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12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Карты должны быть стартовым каналом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Бесплатная упаковка карточек — P0; платное продвижение — гипотеза до проверки адреса, отзывов и экономики Milkim.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13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Яндекс Search должен быть стартовым платным каналом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Коммерческий intent есть, но нет Wordstat/CPC/CAC Milkim. Запускать после proof, destination и attribution readiness.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14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Avito должен быть стартовым каналом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Уже используется Milkim, поэтому его разумно продолжить как тест. Публичный live-аудит и фактическая экономика отсутствуют.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15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VK — proof/nurture; Telegram — CRM, а не cold acquisition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ПРОТИВОРЕЧИВЫЕ ДАННЫЕ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Роль VK логична. По Telegram в 2026 году появились новые ограничения: частный сервис и публичная реклама должны оцениваться раздельно.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16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Paid Instagram/Facebook не должен входить в российский запуск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14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Федеральный закон №72‑ФЗ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и </w:t>
            </w:r>
            <w:hyperlink r:id="rId15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разъяснения ФАС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поддерживают исключение paid-размещений на запрещённых/ограниченных ресурсах.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17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Один conversion-лендинг нужен с первого дня; большой сайт не нужен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НЕ ПОДТВЕРЖДАЕТСЯ</w:t>
            </w: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как обязательное условие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Сильные игроки конвертируют через карты + proof + booking; </w:t>
            </w:r>
            <w:hyperlink r:id="rId16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Яндекс Директ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позволяет продвигаться без собственного сайта. Лендинг условно полезен Search/complex-case, большой сайт не обоснован.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18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Direct-to-messenger быстрее, но слабее по proof/аналитике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Запуск быстрее. Однако карточка даёт proof, а source-tag/manual CRM возвращают атрибуцию; слабость зависит от реализации.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19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Приложение/Mini App сейчас не нужны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Редкая покупка и существующие booking/forms/CRM закрывают наблюдаемые задачи. Нет доказанного unmet need.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Milkim подходит upper-middle прайс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НЕ ПОДТВЕРЖДАЕТСЯ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Рыночные якоря известны, но неизвестны текущий прайс, proof, опыт, затраты, загрузка и политика коррекции Milkim.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21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Скидки приводят слабых клиентов, risk-reversal сильнее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СЛАБО ДОКАЗАНО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 рынке сосуществуют скидки, бесплатный эскиз, фото-консультация и пакеты. Победитель определяется margin-adjusted CAC, а не мнением.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22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Существующая база и сарафан — немедленный актив роста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Наличие базы — внутренний факт, repeat/referral — локальный паттерн. Неизвестны объём, разрешения, актуальность и доля клиенток Омска.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23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Follow-up, healed checkpoint, review, next zone и refresh должны быть event-driven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Логика следует из риска заживления и реальных repeat-путей. Точные сроки V1 не доказаны и задаются протоколом мастера.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24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Первый ПМ, старый ПМ и существующие клиентки требуют разных входов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Несовместимые барьеры и квалификация: reassurance, diagnostic triage или reactivation. Backend может быть общим.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25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Брови/губы/межресничка требуют разных сообщений, но общего backend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ЧАСТИЧНО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Зоны имеют разные желаемые эффекты и страхи; общая запись/CRM рациональна. Экономика каждой зоны неизвестна.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26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Награда за рекомендацию и стимул за отзыв — разные механики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СИЛЬНО ПОДТВЕРЖДЕНО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17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2ГИС разрешает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только прозрачный стимул за честный отзыв любой оценки и запрещает манипуляции; referral — другое действие и KPI.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27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V1 достаточно актуальны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ПРОТИВОРЕЧИВЫЕ ДАННЫЕ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Часть воспроизведена, часть устарела; найдены ребрендинги, placeholders и меняющиеся акции. V2 разделяет прямой текущий прайс, старый прайс, модель и «от».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28</w:t>
            </w:r>
          </w:p>
        </w:tc>
        <w:tc>
          <w:tcPr>
            <w:tcW w:type="dxa" w:w="361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Иллюстративные CPL/CAC/LTV и 90-дневный календарь могут направлять решения</w:t>
            </w:r>
          </w:p>
        </w:tc>
        <w:tc>
          <w:tcPr>
            <w:tcW w:type="dxa" w:w="24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НЕ ПОДТВЕРЖДАЕТСЯ</w:t>
            </w:r>
          </w:p>
        </w:tc>
        <w:tc>
          <w:tcPr>
            <w:tcW w:type="dxa" w:w="15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</w:t>
            </w:r>
          </w:p>
        </w:tc>
        <w:tc>
          <w:tcPr>
            <w:tcW w:type="dxa" w:w="45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Формулы полезны; цифры и даты без Milkim inputs нельзя использовать для бюджета, цены или приоритета канала.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4. Рынок Омска: что видно без домыслов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4.1. Конкурентная структура</w:t>
      </w:r>
    </w:p>
    <w:p>
      <w:pPr>
        <w:pStyle w:val="ReportLead"/>
      </w:pPr>
      <w:r>
        <w:rPr>
          <w:rFonts w:ascii="Calibri" w:hAnsi="Calibri" w:eastAsia="Calibri" w:cs="Calibri"/>
          <w:b/>
          <w:color w:val="1F4D78"/>
          <w:sz w:val="22"/>
        </w:rPr>
        <w:t>[ФАКТ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Независимая выборка включает 25 игроков разных типов. В ней есть частные мастера, школы-студии, многоуровневые команды, low-price предложения, сильные карточки на картах, клиники, мастера с removal/correction и игроки без публичного прайса.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Рынок нельзя описать одной осью «дешёвый—дорогой». Конкурируют как минимум четыре модели: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1F2933"/>
          <w:sz w:val="22"/>
        </w:rPr>
        <w:t>личный эксперт/мастер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лицо, портфолио, консультация, мессенджер;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1F2933"/>
          <w:sz w:val="22"/>
        </w:rPr>
        <w:t>многоуровневая студия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выбор мастера и цены внутри одного бренда;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1F2933"/>
          <w:sz w:val="22"/>
        </w:rPr>
        <w:t>correction/removal lifecycle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удаление, новый ПМ, сопровождение, следующая зона;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 w:cs="Calibri"/>
          <w:b/>
          <w:color w:val="1F2933"/>
          <w:sz w:val="22"/>
        </w:rPr>
        <w:t>клинический trust stack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процесс, анамнез, стерильность, лицензии, callback.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Самые сильные публичные игроки выигрывают не одной фразой, а связкой: заметная карточка → массив фото/отзывов → понятный прайс/оффер → короткая запись → сопровождение. Milkim нельзя «перепозиционировать текстом» без эквивалентной системы доказательств.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4.2. Репрезентативная выборка 25 игроков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Цены ниже — публичные, в рублях, на дату/поверхность источника. Они не являются фактическим средним чеком. «Нет цены» означает отсутствие надёжно индексируемой цены, а не отсутствие услуги.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927"/>
        <w:gridCol w:w="3170"/>
        <w:gridCol w:w="2357"/>
        <w:gridCol w:w="2096"/>
        <w:gridCol w:w="2410"/>
      </w:tblGrid>
      <w:tr>
        <w:trPr>
          <w:tblHeader w:val="true"/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Игрок / тип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Наблюдаемая цена или модель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Оффер / correction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Публичный путь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Надёжность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18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Vasilina Evtushenko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крупный специалист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от 7 200; М 5 400; С от 7 200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−10% первый визит; удаление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proof → сайт/запись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прайс обновлён 12.11.2025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19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Olesya Ozi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сеть/экспертная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5 000 / 6 000 / 10 000; М 4 000–6 000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мастер-чемпион; удаление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DIKIDI/мессенджер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26.05.2026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0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Kultura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tiered-студия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 6 500/8 000/10 000; Г до 12 000; У 3 000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«ПМ с гарантией»; correction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booking/VK/WA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12.03.2026; вероятный ребрендинг THE MIRA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1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Anna Kapustinskaya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школа/команда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 4 000–9 600; removal 2 000–3 500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уровни мастера; −20% встречалось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сайт/WA/MAX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31.03.2026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2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MK PM Studio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крупная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надёжной 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removal → новый PM; repeat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WA/TG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lifecycle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3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Olga Starostina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эксперт/обучение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надёжной 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PM/removal; −10% новому клиенту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booking/мессенджер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услугам, промо меняется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4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Olga Klimova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corrective-эксперт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открытый текущий прайс неполон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консультация → удаление/PM → healed → next zone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Карты/сайт → консультация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отзывам/lifecycle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5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Sfera Permanenta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специализированная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7 000; М 5 000; К 3 000; remover 1 500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бесплатная консультация; естественность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сайт/2ГИС → DIKIDI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18.08.2025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6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Permanent Top/Lux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надёжный единый прайс не извлечён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бесплатный подбор по фото; −10% ДР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сайт → форма/WA/TG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Средняя; расхождение названия сайта/карточки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7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Parche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эксперт/обучение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от 5 000; М от 4 000; С от 7 000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эскиз/сопровождение; bundle встречался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booking/соцсети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09.07.2026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8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ProPermanent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частный эксперт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7 000; глаза 6 000; 2 зоны 10–11 000; 3 зоны 15 000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пакеты, correction/removal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сайт/VK/мессенджер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08.01.2026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29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by Nina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частный мастер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6 500; М 4 500; К 2 500–3 500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бесплатная примерка формы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карты → booking/мессенджер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прайс 20.08.2025, оффер 10.08.2026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0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Algaza.pm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частная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7 000; М 5 000; К 5 000; remover 3 000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стандарт + удаление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booking/WA/TG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Средняя–высокая; 20.04.2026, есть warning о свежести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1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Tsareva_PM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частный мастер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 6 000–8 000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общий PM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VK/WA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диапазону; 06.07.2026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2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Студия на 19-й Линии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low-price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Б/перекрытие 3 000; Г 3 500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перекрытие по цене low-tier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booking/VK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Высокая; 29.05.2026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3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La Permanent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позиции 1 ₽ — placeholder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PM/removal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booking/VK/WA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Низкая для цены, средняя для наличия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4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Cosmos PM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школа/команда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tier 3 000–8 000; модели 1 000–3 000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уровни мастера/remover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запись/обучение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Низкая для цены: прайс 2022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5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Victory.pm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небольшая студия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PM, большое портфолио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booking/VK/OK/MAX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6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Sima_beauty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PM/removal/обучение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естественный PM/removal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DIKIDI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Средняя; опыт — self-claim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7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Студия Игоря Мишина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tattoo/PM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PM/removal; post-care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VK/WA/TG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Средняя–высокая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8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Doctor Sichkar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клиника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Б/Г 8 000–10 000; М 4 000–5 000; refresh до 8 500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консультация, safety/процесс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SEO-лендинг → callback/WA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прямому сайту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39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Euromed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клиника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числовая цена не видна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анамнез → эскиз → процедура → correction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лендинг → телефон/форма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Высокая по процессу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40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Beauty Home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салон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перекрытие около 5 000 в индексе DIKIDI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PM/removal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карта → DIKIDI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Средняя; прямой DIKIDI ограничен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41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M Studio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салон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PM/removal, первый laser-result в отзыве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multilink/VK/WA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292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hyperlink r:id="rId42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Anastasia Volk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 xml:space="preserve"> / </w:t>
            </w:r>
            <w:hyperlink r:id="rId43">
              <w:r>
                <w:rPr>
                  <w:rFonts w:ascii="Calibri" w:hAnsi="Calibri" w:eastAsia="Calibri" w:cs="Calibri"/>
                  <w:color w:val="2E74B5"/>
                  <w:u w:val="single"/>
                  <w:sz w:val="17"/>
                  <w:szCs w:val="17"/>
                </w:rPr>
                <w:t>#DariuBrovi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, малые игроки</w:t>
            </w:r>
          </w:p>
        </w:tc>
        <w:tc>
          <w:tcPr>
            <w:tcW w:type="dxa" w:w="31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цены нет</w:t>
            </w:r>
          </w:p>
        </w:tc>
        <w:tc>
          <w:tcPr>
            <w:tcW w:type="dxa" w:w="23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общий PM/portfolio</w:t>
            </w:r>
          </w:p>
        </w:tc>
        <w:tc>
          <w:tcPr>
            <w:tcW w:type="dxa" w:w="2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2ГИС → соцсети/WA/TG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Средняя–низкая; подтверждает длинный хвост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4.3. Наблюдаемые цены</w:t>
      </w:r>
    </w:p>
    <w:p>
      <w:pPr>
        <w:pStyle w:val="SourceNote"/>
      </w:pPr>
      <w:r>
        <w:rPr>
          <w:rFonts w:ascii="Calibri" w:hAnsi="Calibri" w:eastAsia="Calibri" w:cs="Calibri"/>
          <w:b w:val="0"/>
          <w:color w:val="5F6B76"/>
          <w:sz w:val="18"/>
        </w:rPr>
        <w:t xml:space="preserve">Это не статистическая медиана и не рекомендация Milkim, а </w:t>
      </w:r>
      <w:r>
        <w:rPr>
          <w:rFonts w:ascii="Calibri" w:hAnsi="Calibri" w:eastAsia="Calibri" w:cs="Calibri"/>
          <w:b/>
          <w:color w:val="5F6B76"/>
          <w:sz w:val="18"/>
        </w:rPr>
        <w:t>границы и видимое ядро текущей публичной выборки</w:t>
      </w:r>
      <w:r>
        <w:rPr>
          <w:rFonts w:ascii="Calibri" w:hAnsi="Calibri" w:eastAsia="Calibri" w:cs="Calibri"/>
          <w:b w:val="0"/>
          <w:color w:val="5F6B76"/>
          <w:sz w:val="18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63"/>
        <w:gridCol w:w="2204"/>
        <w:gridCol w:w="2323"/>
        <w:gridCol w:w="3070"/>
      </w:tblGrid>
      <w:tr>
        <w:trPr>
          <w:tblHeader w:val="true"/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Услуга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Наблюдаемый диапазон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Видимое ядро стандартных предложений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Критическая оговорка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Брови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3 000–10 000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5 000–7 200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Верхние значения зависят от уровня мастера; модели/акции исключать отдельно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Губы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3 500–12 000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5 000–7 200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12 000 — верхний уровень конкретной tiered-студии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Межресничка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4 000–10 000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4 000–6 500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«Глаза» иногда смешивает межресничку и стрелку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Коррекция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2 500–5 000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3 000–5 000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Условия по срокам и «чужой/своей» работе различаются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Лазер/remover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1 500–3 500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1 800–3 000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 одного сеанса не отражает полную стоимость курса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Refresh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4 000–8 500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данных мало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Сильно зависит от давности, зоны и своего/чужого мастера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Пакет 2 зоны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10 000–11 000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один надёжный прямой прайс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Нельзя обобщать на рынок</w:t>
            </w:r>
          </w:p>
        </w:tc>
      </w:tr>
      <w:tr>
        <w:trPr>
          <w:cantSplit w:val="true"/>
        </w:trPr>
        <w:tc>
          <w:tcPr>
            <w:tcW w:type="dxa" w:w="17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Пакет 3 зоны</w:t>
            </w:r>
          </w:p>
        </w:tc>
        <w:tc>
          <w:tcPr>
            <w:tcW w:type="dxa" w:w="22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15 000</w:t>
            </w:r>
          </w:p>
        </w:tc>
        <w:tc>
          <w:tcPr>
            <w:tcW w:type="dxa" w:w="23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один надёжный прямой прайс</w:t>
            </w:r>
          </w:p>
        </w:tc>
        <w:tc>
          <w:tcPr>
            <w:tcW w:type="dxa" w:w="3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Нельзя обобщать на рынок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V1 правильно уловил существование low/mid/high уровней, но ошибся, когда превратил рыночные наблюдения в прайс Milkim. Позиция по цене требует внутренней связки: proof → текущая конверсия → загрузка → прямые затраты → correction policy → желаемая маржа.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Tiered pricing — отдельная конкурентная модель: Olesya Ozi, Kultura и Anna Kapustinskaya продают одну услугу по уровню мастера. Это объясняет широкий диапазон лучше, чем идея единой «рыночной цены».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4.4. Что делают сильные публичные воронки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68"/>
        <w:gridCol w:w="2239"/>
        <w:gridCol w:w="2564"/>
        <w:gridCol w:w="2689"/>
      </w:tblGrid>
      <w:tr>
        <w:trPr>
          <w:tblHeader w:val="true"/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Паттерн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реально наблюдается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Вероятное преимущество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Статус для Milkim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Карта → proof → booking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Отзывы, фото, прайс, акция и CTA без сайта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Меньше переходов в момент локального выбора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базовая инфраструктура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Уровни мастеров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Три цены на одну зону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Монетизация разных бюджетов и снижение price-friction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Milkim не нужен tiering без команды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Бесплатная консультация/эскиз/примерка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Sfera, by Nina, Doctor Sichkar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Снижает риск необратимого результата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выбрать один формат и измерить attendance economics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Подбор по фото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Permanent Top/Lux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Уменьшает неопределённость сложного случая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ВЫВОД · противоречит V1: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идея не уникальна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Correction lifecycle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Olga Klimova, MK PM Studio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Удерживает клиента от удаления до нового PM и следующей зоны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нужен управляемый handoff/return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Лендинг → proof → форма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Клиники и ряд специализированных студий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Больше места для процесса, рисков, FAQ и сегментации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полезно для Search/complex-case, не для всех каналов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Bundle/cross-sell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ProPermanent; ротирующие акции Parche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Увеличение среднего дохода клиента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только после данных о марже и естественном спросе</w:t>
            </w:r>
          </w:p>
        </w:tc>
      </w:tr>
      <w:tr>
        <w:trPr>
          <w:cantSplit w:val="true"/>
        </w:trPr>
        <w:tc>
          <w:tcPr>
            <w:tcW w:type="dxa" w:w="18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Клинический trust stack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Euromed, Doctor Sichkar</w:t>
            </w:r>
          </w:p>
        </w:tc>
        <w:tc>
          <w:tcPr>
            <w:tcW w:type="dxa" w:w="25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Снижает страх безопасности и процесса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Milkim может показывать процесс, но не имитировать медицинский статус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4.5. Что не является конкурентным преимуществом само по себе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«Натурально», «индивидуально», «качественные пигменты», «стерильно» — необходимы, но повторяются.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Скидка 10–20% на первый визит — широко используется и легко копируется.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«Исправляем старый перманент» — услуга видна минимум у 13 игроков.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«Пришлите фото» — уже присутствует у конкурента.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«Чемпион», «премиум», «гарантия», «абсолютно без боли» — заметные self-claims, но не независимое доказательство результата.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Потенциальное преимущество Milkim может возникнуть только из связки:</w:t>
      </w:r>
    </w:p>
    <w:p>
      <w:pPr>
        <w:pStyle w:val="Callout"/>
        <w:shd w:fill="F7F9FB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2"/>
        </w:rPr>
        <w:t>сопоставимый кейс → честные ограничения → понятное решение → согласованная форма/цвет → заживший результат → сопровождение.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5. Голос клиента: что женщина пытается решить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5.1. Главный язык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локальном корпусе центрально не слово «перекрытие», а последовательность эмоций и доказательств:</w:t>
      </w:r>
    </w:p>
    <w:p>
      <w:pPr>
        <w:pStyle w:val="Callout"/>
        <w:shd w:fill="F7F9FB"/>
        <w:pBdr>
          <w:left w:val="single" w:sz="18" w:space="8" w:color="2E74B5"/>
        </w:pBdr>
      </w:pPr>
      <w:r>
        <w:rPr>
          <w:rFonts w:ascii="Calibri" w:hAnsi="Calibri" w:eastAsia="Calibri" w:cs="Calibri"/>
          <w:b w:val="0"/>
          <w:color w:val="0B2545"/>
          <w:sz w:val="22"/>
        </w:rPr>
        <w:t>«долго выбирала» → «боялась» → «мастер услышала и объяснила» → «подобрала форму и цвет» → «выглядит как своё» → «не надо красить утром» → «вернусь на другую зону / порекомендую».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Это качественный паттерн, не оценка доли рынка.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4"/>
        <w:gridCol w:w="2954"/>
        <w:gridCol w:w="2636"/>
        <w:gridCol w:w="1896"/>
      </w:tblGrid>
      <w:tr>
        <w:trPr>
          <w:tblHeader w:val="true"/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Ситуация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Живой паттерн языка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клиент проверяет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Доказательная сила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 ПМ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«долго искала», «очень боялась», «не могла доверить лицо»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мастер, похожие работы, объяснение, отзывы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Сильная, локальная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Желаемый вид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«как свои», «подходит лицу», «услышала пожелания»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заживший цвет, форма, индивидуальность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Сильная, локальная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Экономия рутины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«не надо рисовать утром», «не бояться воды»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практический эффект, стойкость без обещаний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Сильная, локальная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Доверие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«объяснила», «успокоила», «как человек приятна»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поведение мастера, возможность задать вопрос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Сильная, локальная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Старый ПМ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синий/зелёный/рыжий остаток, слишком широкие или разные брови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можно ли работать сейчас, не станет ли хуже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 по характеру боли, неизвестная по частоте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Удаление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«сколько сеансов», «почему остался цвет», «когда можно заново»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реалистичность прогноза, этапы, handoff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Средняя–высокая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«стоит денег» против «неожиданно доплатить за коррекцию»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полный путь и условия, а не только headline-price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Средняя–высокая</w:t>
            </w:r>
          </w:p>
        </w:tc>
      </w:tr>
      <w:tr>
        <w:trPr>
          <w:cantSplit w:val="true"/>
        </w:trPr>
        <w:tc>
          <w:tcPr>
            <w:tcW w:type="dxa" w:w="18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Повтор</w:t>
            </w:r>
          </w:p>
        </w:tc>
        <w:tc>
          <w:tcPr>
            <w:tcW w:type="dxa" w:w="295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«вернулась на губы/стрелку», «привела подругу»</w:t>
            </w:r>
          </w:p>
        </w:tc>
        <w:tc>
          <w:tcPr>
            <w:tcW w:type="dxa" w:w="26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стабильность результата и сервиса</w:t>
            </w:r>
          </w:p>
        </w:tc>
        <w:tc>
          <w:tcPr>
            <w:tcW w:type="dxa" w:w="1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 для наличия пути, не для conversion rate</w:t>
            </w:r>
          </w:p>
        </w:tc>
      </w:tr>
    </w:tbl>
    <w:p>
      <w:pPr>
        <w:spacing w:after="40"/>
      </w:pPr>
    </w:p>
    <w:p>
      <w:pPr>
        <w:pStyle w:val="SourceNote"/>
      </w:pPr>
      <w:r>
        <w:rPr>
          <w:rFonts w:ascii="Calibri" w:hAnsi="Calibri" w:eastAsia="Calibri" w:cs="Calibri"/>
          <w:b w:val="0"/>
          <w:color w:val="5F6B76"/>
          <w:sz w:val="18"/>
        </w:rPr>
        <w:t xml:space="preserve">Источники клиентского языка: </w:t>
      </w:r>
      <w:hyperlink r:id="rId37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студия на Игоря Мишина — отзывы 2ГИС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 xml:space="preserve">, </w:t>
      </w:r>
      <w:hyperlink r:id="rId44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омская студия PM/removal — отзывы 2ГИС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 xml:space="preserve">, </w:t>
      </w:r>
      <w:hyperlink r:id="rId45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Vasilina Evtushenko — отзывы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 xml:space="preserve">, </w:t>
      </w:r>
      <w:hyperlink r:id="rId46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Kultura — отзывы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 xml:space="preserve">, </w:t>
      </w:r>
      <w:hyperlink r:id="rId47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Lazur — отзывы об удалении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 xml:space="preserve">, </w:t>
      </w:r>
      <w:hyperlink r:id="rId48">
        <w:r>
          <w:rPr>
            <w:rFonts w:ascii="Calibri" w:hAnsi="Calibri" w:eastAsia="Calibri" w:cs="Calibri"/>
            <w:color w:val="2E74B5"/>
            <w:u w:val="single"/>
            <w:sz w:val="18"/>
            <w:szCs w:val="18"/>
          </w:rPr>
          <w:t>Top Permanent — отобранные отзывы</w:t>
        </w:r>
      </w:hyperlink>
      <w:r>
        <w:rPr>
          <w:rFonts w:ascii="Calibri" w:hAnsi="Calibri" w:eastAsia="Calibri" w:cs="Calibri"/>
          <w:b w:val="0"/>
          <w:color w:val="5F6B76"/>
          <w:sz w:val="18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5.2. Отрицательные данные, которые защищают от переоценки отзывов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 · противоречие источников] Отзыв до заживления слабее результата.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локальных карточках встречаются ранние позитивные отзывы, где итог ещё не стабилизировался.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 Отзывы не гарантируют качество.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 Kultura есть истории выбора по отзывам с последующим недовольством цветом или асимметрией.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Ранняя паника не всегда равна провалу.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Свежий цвет/форма могут восприниматься иначе до заживления; коммуникация должна разделять ожидаемую динамику и признаки, требующие профессионального контакта.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 · слабая опора] Студийные подборки отзывов пригодны для языка, но не для оценки качества/частоты</w:t>
      </w:r>
      <w:r>
        <w:rPr>
          <w:rFonts w:ascii="Calibri" w:hAnsi="Calibri" w:eastAsia="Calibri" w:cs="Calibri"/>
          <w:b w:val="0"/>
          <w:color w:val="1F2933"/>
          <w:sz w:val="22"/>
        </w:rPr>
        <w:t>, потому что владелец отбирает публикации.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Голос некупивших почти отсутствует.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Причины отказа после консультации, цена отказа и чувствительность к депозиту могут быть получены только из Milkim CRM и интервью.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5.3. Что говорят исследования — и чего они не говорят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В </w:t>
      </w:r>
      <w:hyperlink r:id="rId49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исследовании Pióro и Kasielska‑Trojan, 2025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среди женщин, завершивших удаление неудовлетворительного PMU, наиболее частыми причинами были цвет (43,8%), сочетание цвета и формы (37%), насыщенность (19,2%) и форма (11%). После удаления улучшились отдельные показатели качества жизни.</w:t>
      </w:r>
    </w:p>
    <w:p>
      <w:pPr>
        <w:pStyle w:val="ReportLead"/>
      </w:pPr>
      <w:r>
        <w:rPr>
          <w:rFonts w:ascii="Calibri" w:hAnsi="Calibri" w:eastAsia="Calibri" w:cs="Calibri"/>
          <w:b/>
          <w:color w:val="1F4D78"/>
          <w:sz w:val="22"/>
        </w:rPr>
        <w:t>[ФАКТ · ограничение источника]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Это небольшая селективная выборка одной частной польской клиники; она не измеряет долю недовольных среди всех клиентов и не доказывает объём омского спроса. В тексте также расходится число участниц между абстрактом и методами.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В </w:t>
      </w:r>
      <w:hyperlink r:id="rId50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исследовании Tomita et al., 2021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89,6% из 1 352 клиентов сообщили об удовлетворённости; нежелательные явления указали 12,1%, главным образом зуд/отёк. Но медианное наблюдение составляло лишь 15 дней.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Две работы вместе дают более полезную картину, чем каждая отдельно: большинство ранних опытов может быть положительным, а тяжёлые проблемы цвета/формы существуют и могут проявляться позже. Следовательно, correction — реальный высокоболевой сегмент, но не доказанный доминирующий рынок.</w:t>
      </w:r>
    </w:p>
    <w:p>
      <w:pPr/>
      <w:hyperlink r:id="rId51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Scientific Reports, 2026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не нашёл простого цветового параметра, надёжно предсказывающего количество сеансов удаления; обзоры удаления показывают небольшой и неоднородный массив клинических данных. Это поддерживает консервативный маркетинг: предварительная оценка, ограничения, очная квалификация и отсутствие обещания универсального результата.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6. JTBD-сегменты и необходимая разветвлённость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6.1. Сегментация по ситуации, а не по возрасту</w:t>
      </w:r>
    </w:p>
    <w:p>
      <w:pPr>
        <w:pStyle w:val="SourceNote"/>
      </w:pPr>
      <w:r>
        <w:rPr>
          <w:rFonts w:ascii="Calibri" w:hAnsi="Calibri" w:eastAsia="Calibri" w:cs="Calibri"/>
          <w:b w:val="0"/>
          <w:color w:val="5F6B76"/>
          <w:sz w:val="18"/>
        </w:rPr>
        <w:t>Оценки «видимая частота», «платёжная мотивация» и «конкуренция» качественные. Публичные источники не дают рыночных долей или willingness-to-pay.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41"/>
        <w:gridCol w:w="2672"/>
        <w:gridCol w:w="1905"/>
        <w:gridCol w:w="1798"/>
        <w:gridCol w:w="1721"/>
        <w:gridCol w:w="2053"/>
        <w:gridCol w:w="1070"/>
      </w:tblGrid>
      <w:tr>
        <w:trPr>
          <w:tblHeader w:val="true"/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JTBD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Ситуация → желаемый прогресс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Главный барьер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Видимый спрос / интенсивность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Доступ к клиенту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Потенциальный fit Milkim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Безопасно решиться на первый ПМ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улучшить лицо и не рисовать каждый день, но боюсь необратимой ошибки»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чужое лицо, яркость, боль, доверие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Часто виден / высокая тревога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карты, Search, Avito, рекомендации, контент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Высокий при сильном healed proof и консультации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Естественно улучшить конкретную зону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форму/цвет, которые выглядят моими»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шаблонность и несоответствие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Часто виден / средняя–высокая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zone-search, карты, короткое видео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Высокий, но сообщение недифференцирующее без proof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Сократить ежедневный макияж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просыпаться ухоженной и не поправлять макияж»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сомнение, стоит ли процедура риска/цены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Часто виден / практическая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Search, maps, social proof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Высокий для стандартных зон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Обновить удачный ПМ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сохранить знакомый результат без нового поиска мастера»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понять своевременность/условия refresh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Хорошо виден у повторных клиентов / ниже тревога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собственная база, referral, карты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Очень высокий для существующей базы; неизвестен объём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Исправить цвет/форму старого ПМ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перестать маскировать и не сделать ещё хуже»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можно ли перекрывать; страх повторной ошибки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Видим локально / очень высокая боль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problem-search, Avito, карты, партнёр по удалению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Потенциально высокий по компетенции; proof/экономика неизвестны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 о сегменте; ГИПОТЕЗА о приоритете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Пройти removal и начать заново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«Мне нужен честный поэтапный путь, а не ещё один слой»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длительность, непредсказуемость, полная цена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Видим, но частота неизвестна / высокая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removal-партнёр, Search, reviews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Средний–высокий при handoff/return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ЧАСТИЧНО ПОДТВЕРЖДЕНО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Добавить вторую зону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«Первая получилась — теперь готова доверить другую»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нет срочности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Регулярно виден в отзывах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CRM/личное сообщение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Высокий после healed satisfaction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 о механике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Реализовать доверие по рекомендации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результат как у знакомой»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перенести доверие к новому мастеру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Часто виден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сарафан, referral, база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Высокий, но это путь входа, а не самостоятельный JTBD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Подготовиться к событию/подарку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«Давно откладывала, нужен повод»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сроки заживления, риск перед событием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Эпизодический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сертификаты, база, social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Неизвестен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 · слабая опора</w:t>
            </w:r>
          </w:p>
        </w:tc>
      </w:tr>
      <w:tr>
        <w:trPr>
          <w:cantSplit w:val="true"/>
        </w:trPr>
        <w:tc>
          <w:tcPr>
            <w:tcW w:type="dxa" w:w="174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Реконструировать отсутствующие брови</w:t>
            </w:r>
          </w:p>
        </w:tc>
        <w:tc>
          <w:tcPr>
            <w:tcW w:type="dxa" w:w="2672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«Хочу вернуть визуальный контур при алопеции/редких волосах»</w:t>
            </w:r>
          </w:p>
        </w:tc>
        <w:tc>
          <w:tcPr>
            <w:tcW w:type="dxa" w:w="1905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безопасность и специализированная компетенция</w:t>
            </w:r>
          </w:p>
        </w:tc>
        <w:tc>
          <w:tcPr>
            <w:tcW w:type="dxa" w:w="1798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Низкая видимая частота / высокая ценность</w:t>
            </w:r>
          </w:p>
        </w:tc>
        <w:tc>
          <w:tcPr>
            <w:tcW w:type="dxa" w:w="1721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рекомендации/медицинские связи</w:t>
            </w:r>
          </w:p>
        </w:tc>
        <w:tc>
          <w:tcPr>
            <w:tcW w:type="dxa" w:w="2053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Только при подтверждённом опыте</w:t>
            </w:r>
          </w:p>
        </w:tc>
        <w:tc>
          <w:tcPr>
            <w:tcW w:type="dxa" w:w="1070"/>
            <w:tcMar>
              <w:top w:w="35" w:type="dxa"/>
              <w:bottom w:w="35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ГИПОТЕЗА, не стартовый сегмент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6.2. Какие сценарии действительно должны быть отдельными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Отдельные входные маршруты обязательны: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 w:cs="Calibri"/>
          <w:b/>
          <w:color w:val="1F2933"/>
          <w:sz w:val="22"/>
        </w:rPr>
        <w:t>первый/стандартный ПМ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убеждение и визуальная калибровка;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 w:cs="Calibri"/>
          <w:b/>
          <w:color w:val="1F2933"/>
          <w:sz w:val="22"/>
        </w:rPr>
        <w:t>refresh удачной работы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проверка давности/состояния и простая запись;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 w:cs="Calibri"/>
          <w:b/>
          <w:color w:val="1F2933"/>
          <w:sz w:val="22"/>
        </w:rPr>
        <w:t>нежелательный/старый/чужой ПМ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diagnostic triage, возможное удаление/отказ;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 w:cs="Calibri"/>
          <w:b/>
          <w:color w:val="1F2933"/>
          <w:sz w:val="22"/>
        </w:rPr>
        <w:t>существующий клиент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healed checkpoint, correction, следующая зона, refresh/referral.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Не отдельные полные воронки, а разные message/FAQ modules: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брови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форма, симметрия, цвет и старый пигмент;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губы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оттенок, контур, естественность и ожидания заживления;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межресничка/веки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страх работы рядом с глазом, толщина/стиль и долгосрочность;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клиент по рекомендации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proof уже частично передан знакомой, поэтому сокращается этап прогрева;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холодный трафик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состояние знания/доверия, а не JTBD;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 w:cs="Calibri"/>
          <w:b/>
          <w:color w:val="1F2933"/>
          <w:sz w:val="22"/>
        </w:rPr>
        <w:t>Avito / карты / Search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источники, а не сегменты.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Попытка построить отдельную CRM и backend под каждую зону создаст лишнюю сложность. Нужен общий клиентский профиль и разные entry tags: источник, JTBD, зона, старый ПМ, стадия, следующий шаг.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7. Старый перманент: A / B / C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7.1. Что доказано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Milkim умеет и любит работать с исправлением/перекрытием старого ПМ — внутренний факт проекта.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Проблемы цвета, формы и насыщенности существуют и могут серьёзно влиять на самочувствие клиента. </w:t>
      </w:r>
      <w:hyperlink r:id="rId49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Pióro et al., 2025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Локальные клиенты описывают синие, зелёные, рыжие остатки, широкую/разную форму и путь через удаление.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Correction/removal уже видны минимум у 13 омских игроков; пониженная цена 3 000 ₽ встречается даже в low-tier.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Один конкурент уже предлагает бесплатный дистанционный подбор услуги по фото.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Removal/cover-up нельзя обещать одинаково: состав, глубина, цвет, слои и желаемая форма меняют маршрут; клиническая литература описывает непредсказуемость и риск цветовых изменений. </w:t>
      </w:r>
      <w:hyperlink r:id="rId52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Обзор Geisler et al.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53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Kream et al.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54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Lee et al.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7.2. Сравнение моделей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50"/>
        <w:gridCol w:w="2809"/>
        <w:gridCol w:w="2678"/>
        <w:gridCol w:w="2223"/>
      </w:tblGrid>
      <w:tr>
        <w:trPr>
          <w:tblHeader w:val="true"/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Критерий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A. Главное позиционирование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B. Сильная acquisition-ветка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C. Обычная допуслуга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Эмоциональная сила проблемы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Недоиспользуется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Доказанная ёмкость Омска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Неизвестна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Можно проверить без ставки всем брендом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 требуется, но обучение теряется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Конкурентная уникальность слова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Низкая–средняя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 при лучшем диагностическом протоколе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Охват стандартных клиентов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Риск сужения/ассоциации с «проблемными лицами»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Сохраняется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Полностью сохраняется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Требование к портфелю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Очень высокое по всему бренду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Высокое только для ветки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Среднее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Операционная сложность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Высокая: triage, отказ, partner handoff, return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Управляемая отдельным сценарием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 ошибки обещания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Очень высокая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Ограниченная веткой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Скорость проверки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Низкая: нужен ребрендинг и достаточный объём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Высокая: отдельные объявления/семантика/entry tag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 обучаемость рынка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Стратегический риск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Высокий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Умеренный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Риск упустить сильную компетенцию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Итог V2</w:t>
            </w:r>
          </w:p>
        </w:tc>
        <w:tc>
          <w:tcPr>
            <w:tcW w:type="dxa" w:w="28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Не утверждать сейчас</w:t>
            </w:r>
          </w:p>
        </w:tc>
        <w:tc>
          <w:tcPr>
            <w:tcW w:type="dxa" w:w="26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Рекомендовано к проверке</w:t>
            </w:r>
          </w:p>
        </w:tc>
        <w:tc>
          <w:tcPr>
            <w:tcW w:type="dxa" w:w="22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Слишком пассивно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7.3. Вердикт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уверенность] Роль B.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Исправление/перекрытие — отдельный сильный acquisition-оффер и доказательная специализация внутри более широкого Milkim, а не всё позиционирование.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Рабочий смысл ветки:</w:t>
      </w:r>
    </w:p>
    <w:p>
      <w:pPr>
        <w:pStyle w:val="Callout"/>
        <w:shd w:fill="F7F9FB"/>
        <w:pBdr>
          <w:left w:val="single" w:sz="18" w:space="8" w:color="2E74B5"/>
        </w:pBdr>
      </w:pPr>
      <w:r>
        <w:rPr>
          <w:rFonts w:ascii="Calibri" w:hAnsi="Calibri" w:eastAsia="Calibri" w:cs="Calibri"/>
          <w:b/>
          <w:color w:val="0B2545"/>
          <w:sz w:val="22"/>
        </w:rPr>
        <w:t>не «перекроем», а «разберём, что уже есть, объясним ограничения и выберем разумный путь: обновить, скорректировать, сначала удалить/осветлить, подождать или не трогать».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Это ещё не финальный рекламный текст.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Что должно произойти, чтобы рассмотреть модель A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Без заранее выдуманных порогов Antон должен увидеть по данным Milkim: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стабильный поток релевантных обращений, а не единичные громкие случаи;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достаточную долю случаев, пригодных к работе без разрушительно длинного handoff;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конкурентную экономику от обращения до пришедшего и оплатившего клиента;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сильный массив сопоставимых healed/long-term cases с правом публикации;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отсутствие заметного ухудшения спроса на стандартные зоны при correction-led сообщении;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устойчивого removal-партнёра и возврат клиента после handoff.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Почему формула «три фото» остаётся тестом</w:t>
      </w:r>
    </w:p>
    <w:p>
      <w:pPr>
        <w:pStyle w:val="ReportLead"/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Структурированная предварительная оценка снижает неопределённость. Но «три» — не доказанный оптимум. Формат должен определяться профессионально необходимыми ракурсами, friction и качеством решения. Метрики теста: доля завершивших фото-шаг, доля квалифицированных, время мастера, booking, attendance, доля removal/refusal и итоговая экономика.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8. Поисковое намерение и офферы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8.1. Кластеры намерения без выдуманной частотности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9"/>
        <w:gridCol w:w="2791"/>
        <w:gridCol w:w="2249"/>
        <w:gridCol w:w="2591"/>
      </w:tblGrid>
      <w:tr>
        <w:trPr>
          <w:tblHeader w:val="true"/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Кластер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Примеры смысла запроса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Состояние клиента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Нужный следующий шаг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Категория + город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перманентный макияж Омск, мастер ПМ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сравнивает рынок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профиль/страница с мастером, зонами, proof, ценой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Зона + цена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брови/губы/межресничка Омск цена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ближе к покупке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релевантный прайс, healed cases, запись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Риск/доказательство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отзывы, до/после, заживший результат, больно ли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хочет снизить риск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кейсы по времени, процесс, FAQ, консультация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Старый ПМ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перекрыть/исправить старый татуаж, синие/рыжие брови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проблема высокой интенсивности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diagnostic intake, не мгновенная запись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Удаление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лазер/remover, сколько процедур, когда новый PM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принимает многоэтапный путь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qualified partner + return protocol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Refresh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обновить/освежить старый ПМ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уже понимает категорию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фото/оценка давности → запись</w:t>
            </w:r>
          </w:p>
        </w:tc>
      </w:tr>
      <w:tr>
        <w:trPr>
          <w:cantSplit w:val="true"/>
        </w:trPr>
        <w:tc>
          <w:tcPr>
            <w:tcW w:type="dxa" w:w="17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Навигационный</w:t>
            </w:r>
          </w:p>
        </w:tc>
        <w:tc>
          <w:tcPr>
            <w:tcW w:type="dxa" w:w="27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имя мастера/студии + отзывы/цены</w:t>
            </w:r>
          </w:p>
        </w:tc>
        <w:tc>
          <w:tcPr>
            <w:tcW w:type="dxa" w:w="224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проверяет конкретного игрока</w:t>
            </w:r>
          </w:p>
        </w:tc>
        <w:tc>
          <w:tcPr>
            <w:tcW w:type="dxa" w:w="25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сильная карточка и единые данные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Само наличие кластеров подтверждается выдачей и предложением, но их относительный объём — </w:t>
      </w:r>
      <w:r>
        <w:rPr>
          <w:rFonts w:ascii="Calibri" w:hAnsi="Calibri" w:eastAsia="Calibri" w:cs="Calibri"/>
          <w:b/>
          <w:color w:val="1F2933"/>
          <w:sz w:val="22"/>
        </w:rPr>
        <w:t>неизвестен</w:t>
      </w:r>
      <w:r>
        <w:rPr>
          <w:rFonts w:ascii="Calibri" w:hAnsi="Calibri" w:eastAsia="Calibri" w:cs="Calibri"/>
          <w:b w:val="0"/>
          <w:color w:val="1F2933"/>
          <w:sz w:val="22"/>
        </w:rPr>
        <w:t>. Перед распределением бюджета нужна выгрузка Wordstat по Омску с частотностью, сезонностью и вложенными/минус-словами.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8.2. Наблюдаемые офферы рынка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94"/>
        <w:gridCol w:w="2798"/>
        <w:gridCol w:w="1775"/>
        <w:gridCol w:w="3093"/>
      </w:tblGrid>
      <w:tr>
        <w:trPr>
          <w:tblHeader w:val="true"/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Тип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Примеры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снижает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Ограничение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Снижение цены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−10–20% на первый визит, master tiers, модели, bundle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денежный barrier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легко копируется; может скрывать полную стоимость correction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Снижение риска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бесплатная консультация, эскиз/примерка, подбор по фото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страх формы/результата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требует времени мастера и ясных границ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Снижение неопределённости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прозрачный прайс, этапы, FAQ, отказ от неподходящего cover-up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непонимание пути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сильнее только при доказанном протоколе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Социальное доказательство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отзывы, фото, награды, «15 лет»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недоверие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self-claims и свежие фото не равны healed outcome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Удобство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online booking, мессенджеры, несколько филиалов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friction записи/локации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 заменяет доверие</w:t>
            </w:r>
          </w:p>
        </w:tc>
      </w:tr>
      <w:tr>
        <w:trPr>
          <w:cantSplit w:val="true"/>
        </w:trPr>
        <w:tc>
          <w:tcPr>
            <w:tcW w:type="dxa" w:w="16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LTV-offer</w:t>
            </w:r>
          </w:p>
        </w:tc>
        <w:tc>
          <w:tcPr>
            <w:tcW w:type="dxa" w:w="27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пакет зон, скидка к ДР, следующая зона</w:t>
            </w:r>
          </w:p>
        </w:tc>
        <w:tc>
          <w:tcPr>
            <w:tcW w:type="dxa" w:w="1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повод вернуться</w:t>
            </w:r>
          </w:p>
        </w:tc>
        <w:tc>
          <w:tcPr>
            <w:tcW w:type="dxa" w:w="30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нужна маржа и естественный timing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A56A15"/>
          <w:sz w:val="22"/>
        </w:rPr>
        <w:t>[ГИПОТЕЗА · средняя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Для Milkim перспективнее тестировать не «скидка или экспертность» как идеологию, а три сопоставимых value propositions: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стандартная цена + доказательство зажившего результата;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бесплатная/условно бесплатная консультация или примерка формы;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прозрачный diagnostic offer для старого ПМ.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Сравнивать нужно по </w:t>
      </w:r>
      <w:r>
        <w:rPr>
          <w:rFonts w:ascii="Calibri" w:hAnsi="Calibri" w:eastAsia="Calibri" w:cs="Calibri"/>
          <w:b/>
          <w:color w:val="1F2933"/>
          <w:sz w:val="22"/>
        </w:rPr>
        <w:t>вкладу с пришедшего клиента</w:t>
      </w:r>
      <w:r>
        <w:rPr>
          <w:rFonts w:ascii="Calibri" w:hAnsi="Calibri" w:eastAsia="Calibri" w:cs="Calibri"/>
          <w:b w:val="0"/>
          <w:color w:val="1F2933"/>
          <w:sz w:val="22"/>
        </w:rPr>
        <w:t>, а не только CTR/CPL. Скидка не делает клиента автоматически «плохим», а risk-reversal не делает лид автоматически платёжеспособным.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9. Как клиент выбирает мастера и чем снижать риск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9.1. Факторы выбора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Это не причинный рейтинг; уровни отражают повторяемость в наблюдаемом качественном материале.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468"/>
        <w:gridCol w:w="2124"/>
        <w:gridCol w:w="3163"/>
        <w:gridCol w:w="2605"/>
      </w:tblGrid>
      <w:tr>
        <w:trPr>
          <w:tblHeader w:val="true"/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Уровень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Фактор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является доказательством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не считать доказательством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Ядро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Подходящий лицу естественный результат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сопоставимые healed cases, понятный стиль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слово «натурально» без примеров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Ядро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Доверие к мастеру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лицо/голос, объяснение, эскиз, ответы, право остановиться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безличный каталог и регалии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Ядро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Отзывы и рекомендации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детальный реальный опыт, время после процедуры, ответы на негатив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накрутка, только ранние отзывы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Ядро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Управление риском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ограничения, contraindication route, отказ от неподходящей работы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«100%», «абсолютно без боли», «не меняет цвет»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Важно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Прозрачная полная цена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первичная процедура, correction/refresh/deposit/cancel terms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одна headline-цена без условий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Важно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Удобство и локация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подтверждённая карта, парковка/маршрут, online booking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неподтверждённый адрес из агрегатора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Важно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Чистота/процесс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наблюдаемый процесс, одноразовые материалы, информированное согласие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слово «стерильно» без процесса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Поддержка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Опыт/награды/обучение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подтверждаемые документы и релевантные кейсы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общий self-claim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Поддержка</w:t>
            </w:r>
          </w:p>
        </w:tc>
        <w:tc>
          <w:tcPr>
            <w:tcW w:type="dxa" w:w="21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Акция</w:t>
            </w:r>
          </w:p>
        </w:tc>
        <w:tc>
          <w:tcPr>
            <w:tcW w:type="dxa" w:w="31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ясные условия и полная стоимость</w:t>
            </w:r>
          </w:p>
        </w:tc>
        <w:tc>
          <w:tcPr>
            <w:tcW w:type="dxa" w:w="26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искусственный deadline и скрытая correction price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9.2. Минимальный trust stack Milkim до масштабирования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Подтверждённые карточки с актуальными названием, адресом, контактами, режимом и одинаковым прайсом.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Визуально единый профиль мастера: лицо, подход, границы обещания, реальные квалификации без неподтверждённых чисел.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Портфолио, разделённое на: fresh → healed → долгосрочный результат, где он есть.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Для correction — исходная проблема, решение, что было нельзя сделать, этапы и healed outcome; не только эффектное «до/сразу после».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Точный публичный смысл correction, refresh и исправления чужой работы.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Понятная консультация: что спросим, что можно оценить дистанционно, что только очно.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Условия цены, коррекции, депозита, переноса и отмены — после утверждения владельцем.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Памятка подготовки/ухода и канал для вопросов; содержание утверждает мастер, а не маркетолог.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Процесс получения честных отзывов после результата и ответы на негатив.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Письменное согласие на использование изображения и корректное хранение клиентских данных.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Правовая оговорка: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</w:t>
      </w:r>
      <w:hyperlink r:id="rId55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статья 152.1 ГК РФ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в общем случае требует согласия на публикацию и дальнейшее использование изображения гражданина. Фото-intake, формы и CRM также требуют проверки по </w:t>
      </w:r>
      <w:hyperlink r:id="rId56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152‑ФЗ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 Это не юридическая консультация; перед запуском форм/публикаций нужны корректные документы и локальная проверка.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10. Каналы и точки назначения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10.1. Роль каналов в общей системе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Оценка «на старте» означает стратегическую пригодность, а не разрешение немедленно тратить бюджет. Для платного запуска сначала нужны доказательства, корректная посадочная, правила обработки и атрибуция.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2366"/>
        <w:gridCol w:w="2313"/>
        <w:gridCol w:w="2166"/>
        <w:gridCol w:w="2146"/>
        <w:gridCol w:w="2409"/>
      </w:tblGrid>
      <w:tr>
        <w:trPr>
          <w:tblHeader w:val="true"/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Канал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Роль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Кому и с каким входом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Куда вести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Оправданность для старта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6"/>
              </w:rPr>
              <w:t>Статус / условие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Существующая база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Reactivation, refresh, следующая зона, рекомендация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прежние клиентки по фактическому состоянию результата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личное сообщение → консультация/запись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Очень высокая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, если база пригодна и есть основания для коммуникации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приоритет P0; объём эффекта неизвестен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Сарафанное радио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Передача доверия и клиентов с коротким прогревом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довольная клиентка → знакомая с похожим JTBD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персональная рекомендация → профиль/мессенджер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Очень высокая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систематизировать после подтверждённого результата; не смешивать с покупкой отзывов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Яндекс Карты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Локальное discovery, проверка репутации, навигация и действие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категория/зона/бренд, холодный и рекомендованный трафик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карточка → звонок/мессенджер/запись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Высокая для бесплатной упаковки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; paid — тест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P0 asset; </w:t>
            </w:r>
            <w:hyperlink r:id="rId57">
              <w:r>
                <w:rPr>
                  <w:rFonts w:ascii="Calibri" w:hAnsi="Calibri" w:eastAsia="Calibri" w:cs="Calibri"/>
                  <w:color w:val="2E74B5"/>
                  <w:u w:val="single"/>
                  <w:sz w:val="16"/>
                  <w:szCs w:val="16"/>
                </w:rPr>
                <w:t>Яндекс Бизнес</w:t>
              </w:r>
            </w:hyperlink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показывает запросы и действия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2ГИС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Локальное сравнение, прайс, фото, отзывы, маршрут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локальный трафик по категории/зоне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карточка → звонок/мессенджер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Высокая для бесплатной упаковки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; paid — тест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P0 asset; реклама даёт показы/клики/звонки, но не доказывает CAC Milkim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Avito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Нативное performance-объявление и диалог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отдельно стандартная зона и старый/нежелательный ПМ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объявление → нативный чат → квалификация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Средняя–высокая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, потому что уже используется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продолжить как измеряемый тест; решение о масштабе только по кабинету Milkim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Яндекс Поиск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Захват выраженного коммерческого/problem intent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зона+цена; первый ПМ; исправление/удаление; refresh — раздельно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релевантная страница или сильная карточка → обращение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Условно высокая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после readiness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первый кандидат на paid test; частотность/CPC/CAC неизвестны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РСЯ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Охват, повторное касание, обучение на креативах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более холодная аудитория и посетители доказательных активов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релевантный proof → консультация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Ниже Search на старте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тестировать позже или отдельно, не смешивая с Search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VK, органика/короткое видео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Показ мастера, процесса, healed proof, ответы на страхи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холодные наблюдатели и рассматривающие процедуру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профиль → мессенджер/карточка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Средняя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, если есть устойчивое производство контента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trust/nurture-asset, но не обязательный ежедневный медиазавод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VK Ads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Платный спрос и ретаргетинг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сегменты с доказанным сообщением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proof page/lead form/сообщения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Позже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только после базовой конверсии и раздельной атрибуции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Instagram/Reels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Органическое портфолио и наблюдение для существующей аудитории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подписчики/рекомендованные пользователи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профиль → разрешённый контакт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Не core paid-channel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paid не включать; органическое использование проверять юридически и операционно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Telegram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Частный сервисный диалог/уведомления при корректном основании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уже обратившиеся и клиентки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личный чат → следующий сервисный шаг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Только ограниченная сервисная роль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не строить публичное paid acquisition; нужна правовая проверка формата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SEO/контентный сайт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Накопление поискового proof и ответов на сложные вопросы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informational/problem intent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статья/кейс → консультация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Позже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после нахождения работающих кластеров и способности поддерживать контент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Локальные сообщества/инфлюенсеры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Заёмное доверие и локальный охват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аудитория конкретного автора/района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маркированная ссылка/код → профиль/мессенджер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Позже, как тест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ГИПОТЕЗА: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только с договорённостью о маркировке и измеримым источником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Партнёры по удалению</w:t>
            </w:r>
          </w:p>
        </w:tc>
        <w:tc>
          <w:tcPr>
            <w:tcW w:type="dxa" w:w="23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Квалифицированный handoff и возврат сложного клиента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старый ПМ, который нельзя безопасно перекрыть сейчас</w:t>
            </w:r>
          </w:p>
        </w:tc>
        <w:tc>
          <w:tcPr>
            <w:tcW w:type="dxa" w:w="21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>партнёр → контрольный срок → возврат в Milkim</w:t>
            </w:r>
          </w:p>
        </w:tc>
        <w:tc>
          <w:tcPr>
            <w:tcW w:type="dxa" w:w="21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Рано, если запускается correction-ветка</w:t>
            </w:r>
          </w:p>
        </w:tc>
        <w:tc>
          <w:tcPr>
            <w:tcW w:type="dxa" w:w="2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6"/>
              </w:rPr>
              <w:t>ВЫВОД:</w:t>
            </w:r>
            <w:r>
              <w:rPr>
                <w:rFonts w:ascii="Calibri" w:hAnsi="Calibri" w:eastAsia="Calibri" w:cs="Calibri"/>
                <w:b w:val="0"/>
                <w:color w:val="1F2933"/>
                <w:sz w:val="16"/>
              </w:rPr>
              <w:t xml:space="preserve"> это инфраструктура обещания «честного маршрута», не просто источник лидов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Правовая граница Telegram и социальных платформ</w:t>
      </w:r>
    </w:p>
    <w:p>
      <w:pPr>
        <w:pStyle w:val="ReportLead"/>
      </w:pPr>
      <w:r>
        <w:rPr>
          <w:rFonts w:ascii="Calibri" w:hAnsi="Calibri" w:eastAsia="Calibri" w:cs="Calibri"/>
          <w:b/>
          <w:color w:val="1F4D78"/>
          <w:sz w:val="22"/>
        </w:rPr>
        <w:t>[ФАКТ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Федеральный запрет рекламы на запрещённых/ограниченных ресурсах действует с 1 сентября 2025 года. В 2026 году ФАС отнесла Telegram и YouTube к ресурсам с ограниченным доступом, одновременно описав переходный период до конца 2026 года без мер ответственности в изложенном случае. См. </w:t>
      </w:r>
      <w:hyperlink r:id="rId14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официальный закон №72‑ФЗ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15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разъяснения ФАС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hyperlink r:id="rId58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сводку разъяснения 2026 года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Публичная реклама, органическая публикация и частное сервисное сообщение клиенту — не одно действие. До юридической проверки Milkim не следует покупать публичную рекламу в Telegram/Instagram/Facebook или строить на ней архитектуру. Сервисные сообщения существующим клиентам требуют отдельной проверки согласий, содержания и применимого режима.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10.2. Куда вести трафик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Milkim не нужен один обязательный destination для всех источников. Нужна короткая комбинация, согласованная с намерением канала: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7"/>
        <w:gridCol w:w="2966"/>
        <w:gridCol w:w="4087"/>
      </w:tblGrid>
      <w:tr>
        <w:trPr>
          <w:tblHeader w:val="true"/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Источник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Рекомендуемая точка назначения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Почему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Яндекс Карты / 2ГИС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Нативная карточка → контакт/запись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человек уже сравнивает локальные варианты; лишний переход может не добавлять proof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Avito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Нативный чат → короткая квалификация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сохраняет контекст объявления и данные кабинета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База / рекомендация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Личное сообщение или мастер-профиль → запись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доверие уже частично существует; длинный лендинг необязателен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Яндекс Search, стандартные зоны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Компактная zone/reassurance-страница </w:t>
            </w: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или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сильная карточка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решение зависит от качества карты, возможности разметки и объёма трафика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Яндекс Search, старый ПМ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Структурированная evidence-страница → фото-intake/консультация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здесь нужно объяснить triage и не обещать мгновенное перекрытие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VK / органический контент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Профиль/кейс → разрешённый мессенджер/карточка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контент выполняет прогрев, а запись должна быть короткой</w:t>
            </w:r>
          </w:p>
        </w:tc>
      </w:tr>
      <w:tr>
        <w:trPr>
          <w:cantSplit w:val="true"/>
        </w:trPr>
        <w:tc>
          <w:tcPr>
            <w:tcW w:type="dxa" w:w="23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Removal-партнёр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Именной handoff → контрольная дата → возврат</w:t>
            </w:r>
          </w:p>
        </w:tc>
        <w:tc>
          <w:tcPr>
            <w:tcW w:type="dxa" w:w="408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предотвращает потерю клиента на длинном маршруте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b/>
          <w:color w:val="1F2933"/>
          <w:sz w:val="22"/>
        </w:rPr>
        <w:t>Пока не доказаны: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полноценный многостраничный сайт, универсальный квиз, обязательный лендинг для каждого канала, собственное приложение, Mini App, сложный бот и большая CRM. Это </w:t>
      </w: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>, а не запрет навсегда: каждый инструмент должен появляться после зафиксированной проблемы, которую он решает дешевле и надёжнее простого процесса.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10.3. Готовность канала к запуску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Платный канал можно считать готовым только если одновременно есть: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конкретный сегмент и обещание без недоказанных гарантий;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сопоставимый visual proof, включая healed outcome;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актуальная цена/условия и понятный CTA;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владелец обработки и норматив ответа;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source tag от обращения до оплаты;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правила квалификации, переноса, депозита и отказа;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capacity мастера и минимальная допустимая экономика.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Это </w:t>
      </w: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>. Без этих условий сравнивается не качество каналов, а разный уровень недособранности процесса.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11. Клиентский цикл после процедуры и рост LTV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11.1. Логика событий, а не календарных рассылок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Следующее касание должно запускаться состоянием клиента, а не произвольным числом дней из маркетингового шаблона: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3"/>
        <w:gridCol w:w="2474"/>
        <w:gridCol w:w="2513"/>
        <w:gridCol w:w="2350"/>
      </w:tblGrid>
      <w:tr>
        <w:trPr>
          <w:tblHeader w:val="true"/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Событие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Задача Milkim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Допустимый следующий шаг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Чего не делать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Процедура завершена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зафиксировать согласованный результат, уход, канал связи и план наблюдения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отправить утверждённую памятку и подтвердить контакт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продавать вторую зону до прохождения раннего периода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Контроль по протоколу мастера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выявить вопрос/отклонение, поддержать соблюдение ухода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запрос состояния/фото в профессионально нужный момент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обещать результат по одному свежему фото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Результат зажил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сравнить с ожиданием и решить, нужна ли коррекция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коррекция, наблюдение или закрытие цикла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просить публичный отзыв до понимания результата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Результат подтверждён клиентом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закрепить доверие и собрать честную обратную связь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отзыв любой оценки; разрешение на кейс отдельно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вознаграждать только положительную оценку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Есть удовлетворение и релевантная потребность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предложить следующую зону/подарок/рекомендацию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персональный next-best action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массово продавать всем одинаковую зону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Результат объективно требует refresh по протоколу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вернуть без нового поиска мастера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оценка состояния → refresh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назначать одинаковый маркетинговый срок всем</w:t>
            </w:r>
          </w:p>
        </w:tc>
      </w:tr>
      <w:tr>
        <w:trPr>
          <w:cantSplit w:val="true"/>
        </w:trPr>
        <w:tc>
          <w:tcPr>
            <w:tcW w:type="dxa" w:w="20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Клиент передан на удаление</w:t>
            </w:r>
          </w:p>
        </w:tc>
        <w:tc>
          <w:tcPr>
            <w:tcW w:type="dxa" w:w="24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сохранить continuity и ясность маршрута</w:t>
            </w:r>
          </w:p>
        </w:tc>
        <w:tc>
          <w:tcPr>
            <w:tcW w:type="dxa" w:w="251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контрольная дата после решения специалиста → переоценка Milkim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терять клиента после передачи партнёру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Research V1 не содержит подтверждённого протокола Milkim по срокам. </w:t>
      </w:r>
      <w:r>
        <w:rPr>
          <w:rFonts w:ascii="Calibri" w:hAnsi="Calibri" w:eastAsia="Calibri" w:cs="Calibri"/>
          <w:b/>
          <w:color w:val="2F6B4F"/>
          <w:sz w:val="22"/>
        </w:rPr>
        <w:t>[РЕШЕНИЕ]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появится только после того, как Антон и мастер утвердят профессиональные контрольные точки, условия коррекции и refresh.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11.2. Отзыв, кейс и рекомендация — три разные операции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 w:cs="Calibri"/>
          <w:b/>
          <w:color w:val="1F2933"/>
          <w:sz w:val="22"/>
        </w:rPr>
        <w:t>Отзыв: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честная оценка услуги на платформе. Для 2ГИС стимул допустим только прозрачно, за отзыв любой тональности и без манипуляции. </w:t>
      </w:r>
      <w:hyperlink r:id="rId59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Правила 2ГИС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17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рекомендации 2ГИС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 w:cs="Calibri"/>
          <w:b/>
          <w:color w:val="1F2933"/>
          <w:sz w:val="22"/>
        </w:rPr>
        <w:t>Кейс: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разрешение Milkim использовать фото и историю; требует отдельного понятного согласия, не «спрятанного» в просьбе об отзыве.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 w:cs="Calibri"/>
          <w:b/>
          <w:color w:val="1F2933"/>
          <w:sz w:val="22"/>
        </w:rPr>
        <w:t>Рекомендация: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клиент приводит другого человека; вознаграждение, если оно будет, относится к факту квалифицированного действия/покупки и собственной экономике программы.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Просить всё одновременно в одном сообщении — лишняя нагрузка и риск. Последовательность должна учитывать удовлетворение, согласие и ценность конкретного действия.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11.3. Что означает LTV для Milkim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LTV здесь растёт не за счёт частых массовых рассылок, а через пять контролируемых переходов: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первичная процедура → обоснованная коррекция;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подтверждённый результат → следующая зона;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подтверждённый результат → рекомендация;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срок/состояние результата → refresh;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removal handoff → возвращённый corrective/new-PMU клиент.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Доля и денежная ценность каждого перехода неизвестны до выгрузки Milkim.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12. Аналитика и экономика без выдуманных benchmarks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12.1. Минимальная единица учёта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Одна строка/карточка клиента должна содержать: дату первого обращения; источник и campaign/ad tag; новый/повторный клиент; JTBD; зону; наличие старого ПМ; статус фото-intake; квалификационный исход; дату записи; депозит, если утверждён; явку; фактическую оплату; прямые затраты; correction; removal/referral route; healed check; отзыв; следующую зону; рекомендацию; refresh; причину потери.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Для старта достаточно дисциплинированной таблицы или имеющейся простой системы записи. CRM выбирают после описания процесса; её отсутствие не оправдывает отсутствие source/status data.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12.2. Воронка измерения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Пусть: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S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расход канала;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L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все обращения;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Q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квалифицированные обращения;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B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записи;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V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фактические визиты;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P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оплатившие первичную услугу;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R₁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выручка первой покупки;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D₁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прямые затраты, возвраты и неоплаченная переделка первой покупки;</w:t>
      </w:r>
    </w:p>
    <w:p>
      <w:pPr>
        <w:spacing w:after="80" w:line="300" w:lineRule="auto"/>
        <w:numPr>
          <w:ilvl w:val="0"/>
          <w:numId w:val="29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R₁₂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r>
        <w:rPr>
          <w:rFonts w:ascii="Liberation Mono" w:hAnsi="Liberation Mono" w:eastAsia="Liberation Mono" w:cs="Liberation Mono"/>
          <w:color w:val="1F4D78"/>
          <w:sz w:val="21"/>
        </w:rPr>
        <w:t>D₁₂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совокупные выручка и прямые затраты к выбранному 12-месячному срезу.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Тогда: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939"/>
        <w:gridCol w:w="2239"/>
        <w:gridCol w:w="4182"/>
      </w:tblGrid>
      <w:tr>
        <w:trPr>
          <w:tblHeader w:val="true"/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Метрика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Формула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Какое решение поддерживает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CPL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S / L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 любого обращения, но не качество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CPQL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S / Q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 релевантного обращения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Cost per booking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S / B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эффективность до записи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CAC по визиту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S / V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стоимость реально пришедшего клиента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CAC по оплате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S / P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стоимость покупателя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L→Q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Q / L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качество intent/объявления и квалификации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Q→B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B / Q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сила консультации/оффера и доступности слотов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Show rate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V / B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качество подтверждения/депозита/расписания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Вклад первой покупки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R₁ − D₁ − S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можно ли окупать канал без надежды на будущий LTV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12-месячный вклад когорты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  <w:shd w:fill="F7F9FB"/>
            </w:pPr>
            <w:r>
              <w:rPr>
                <w:rFonts w:ascii="Liberation Mono" w:hAnsi="Liberation Mono" w:eastAsia="Liberation Mono" w:cs="Liberation Mono"/>
                <w:color w:val="1F4D78"/>
                <w:sz w:val="17"/>
              </w:rPr>
              <w:t>R₁₂ − D₁₂ − S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реальная ценность repeat/referral/refresh</w:t>
            </w:r>
          </w:p>
        </w:tc>
      </w:tr>
      <w:tr>
        <w:trPr>
          <w:cantSplit w:val="true"/>
        </w:trPr>
        <w:tc>
          <w:tcPr>
            <w:tcW w:type="dxa" w:w="29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Возврат из removal</w:t>
            </w:r>
          </w:p>
        </w:tc>
        <w:tc>
          <w:tcPr>
            <w:tcW w:type="dxa" w:w="223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вернувшиеся после handoff / переданные</w:t>
            </w:r>
          </w:p>
        </w:tc>
        <w:tc>
          <w:tcPr>
            <w:tcW w:type="dxa" w:w="418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жизнеспособность correction lifecycle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Канал или оффер нельзя выбирать только по CPL. Дешёвый лид с низкой квалификацией/явкой и сложной неоплаченной обработкой может быть хуже дорогого, а «выигрышный» correction lead — хуже стандартного клиента после учёта удаления, отказов и времени мастера.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12.3. Разрезы, без которых выводы будут ложными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Метрики нужно разделять минимум по: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источнику и кампании;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первому ПМ / стандартной зоне / refresh / старому ПМ;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бровям / губам / межресничке;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новому / существующему / рекомендованному клиенту;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прямой записи / фото-intake / removal handoff;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мастеру, если позже появится больше одного уровня;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первой оплате и 12-месячной когорте.</w:t>
      </w:r>
    </w:p>
    <w:p>
      <w:pPr>
        <w:pStyle w:val="ReportLead"/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Если объём мал, слишком дробная отчётность создаст шум. Поэтому сначала сохраняются теги, а решения принимаются только после накопления достаточной для конкретного риска выборки; универсальный числовой порог без фактического потока Milkim не задаётся.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13. Финальное сравнение Research V1 и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29"/>
        <w:gridCol w:w="2041"/>
        <w:gridCol w:w="2565"/>
        <w:gridCol w:w="3125"/>
      </w:tblGrid>
      <w:tr>
        <w:trPr>
          <w:tblHeader w:val="true"/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Вопрос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Research V1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Research V2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Итог для стратегии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Насыщенность рынка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Рынок конкурентный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Подтверждено выборкой 25 игроков и 418 смешанных мест в 2ГИС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ПРИНЯТЬ: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нужен proof/process, а не общее обещание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«Натуральный результат»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Центральный смысл и возможное отличие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Желаемый исход подтверждён; формула повторяется рынком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СКОРРЕКТИРОВАТЬ: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результат оставить, слово не считать дифференциатором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Главный барьер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Страх плохого результата/боли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Подтверждён качественно; относительный вес у некупивших неизвестен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ПРИНЯТЬ с ограничением: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измерять причины отказа Milkim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Старый ПМ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Вероятный сильнейший hook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Боль реальна, но спрос/экономика не измерены; услуга не уникальна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ПОНИЗИТЬ СТАТУС: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сильная отдельная ветка, не зонтик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Три фото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Готовый лид-магнит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Дистанционный triage разумен, число и формат не доказаны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ТЕСТИРОВАТЬ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, а не фиксировать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Цена Milkim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Upper-middle и пакетные якоря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Публичные диапазоны обновлены, но fit Milkim неизвестен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НЕ ПРИНИМАТЬ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без внутренних затрат, proof и capacity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Скидка против risk-reversal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Risk-reversal предпочтительнее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Оба типа оффера встречаются; причинных данных нет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СРАВНИВАТЬ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по вкладу с пришедшего клиента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Стартовые каналы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Карты, Search, Avito; соцсети для proof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Логика подтверждена условно; paid-приоритет зависит от readiness и данных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ПОЭТАПНО: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P0 assets → раздельные тесты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Telegram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CRM/удержание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Правовой контекст 2026 года усложнился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СКОРРЕКТИРОВАТЬ: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только после проверки конкретного частного сервисного сценария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Лендинг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Нужен сразу как единый центр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Карты и Avito могут конвертировать нативно; Яндекс допускает рекламу без сайта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ОПРОВЕРГНУТЬ обязательность: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делать под Search/complex case при доказанной задаче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Сегментация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Первый/старый/refresh/зоны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JTBD-подход подтверждён; зоны — message modules, referral/cold — контекст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ПРИНЯТЬ в уточнённой архитектуре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Post-procedure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Follow-up → review → cross-sell → refresh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Логика подтверждена, календарные сроки V1 — нет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ПРИНЯТЬ event-driven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, сроки утверждает мастер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Экономика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Формулы плюс иллюстративные цифры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Формулы сохранены, внешние benchmarks исключены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ОПРОВЕРГНУТЬ числовые ориентиры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без когорт Milkim</w:t>
            </w:r>
          </w:p>
        </w:tc>
      </w:tr>
      <w:tr>
        <w:trPr>
          <w:cantSplit w:val="true"/>
        </w:trPr>
        <w:tc>
          <w:tcPr>
            <w:tcW w:type="dxa" w:w="162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Приложение/бот/CRM</w:t>
            </w:r>
          </w:p>
        </w:tc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 первоочередны</w:t>
            </w:r>
          </w:p>
        </w:tc>
        <w:tc>
          <w:tcPr>
            <w:tcW w:type="dxa" w:w="25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Подтверждено: unmet need не найден</w:t>
            </w:r>
          </w:p>
        </w:tc>
        <w:tc>
          <w:tcPr>
            <w:tcW w:type="dxa" w:w="31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8"/>
              </w:rPr>
              <w:t>ПРИНЯТЬ:</w:t>
            </w: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 xml:space="preserve"> начать с простого учёта и существующих каналов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Calibri" w:cs="Calibri"/>
          <w:b/>
          <w:color w:val="1F2933"/>
          <w:sz w:val="22"/>
        </w:rPr>
        <w:t>Итог аудита 28 утверждений: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11 сильно подтверждены, 9 подтверждены частично, 3 имеют слабую опору, 3 не подтверждаются как заявлено и 2 вступили в противоречие с обновлёнными данными. Это не «оценка качества» V1: V1 верно наметил ряд направлений, а V2 отделил решения от идей, которые ещё должны заработать на данных Milkim.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14. Финальный стратегический вывод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A. 10 наиболее надёжных выводов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Омский публичный рынок плотный и неоднородный; 418 мест в рубрике 2ГИС — показатель насыщенного discovery, а не число прямых специализированных конкурентов.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«Натурально», «индивидуально», «комфортно» и «стерильно» — обязательные ожидания категории, но не достаточное позиционирование.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Центральный желаемый исход всё же естественный, подходящий конкретному лицу результат; его нужно доказывать healed cases, а не заменять другим лозунгом.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Выбор мастера — снижение воспринимаемого риска: похожие работы, человек и объяснение, согласование формы/цвета, отзывы, прозрачная цена и простой следующий шаг работают как система.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Первый ПМ, удачный refresh, старый/нежелательный ПМ и существующий клиент требуют разных входов; backend записи и учёта может быть общим.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Брови, губы и межресничка требуют собственных proof/FAQ/message modules, но не трёх независимых бизнес-систем.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Старый ПМ — реальная высокоболевая задача, но «исправление» не уникально и не доказано как крупнейший/самый прибыльный сегмент Омска.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Карты, Avito, Search, рекомендации и база должны вести в разные подходящие им точки назначения; обязательный универсальный лендинг не нужен.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Реальный продукт продолжается после процедуры: контроль результата и коррекция предшествуют отзыву, cross-sell, рекомендации и refresh.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Приоритеты каналов, цены и офферы можно выбрать только по квалифицированным обращениям, явке, вкладу и когортному повтору; CPL сам по себе недостаточен.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B. 10 наиболее важных гипотез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Связка «естественный результат + спокойный прозрачный процесс + healed proof» даст Milkim более качественный спрос, чем общее «натурально» или одна скидка.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Отдельная correction-ветка даст приемлемую долю квалифицированных случаев и экономику после учёта отказов, удаления и времени мастера.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Структурированный фото-intake повысит качество консультации; оптимальное число/ракурсы и completion rate ещё нужно определить.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Для первого ПМ reassurance-offer — консультация/примерка/разбор — улучшит запись без чрезмерной неоплаченной нагрузки.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Healed и долгосрочные кейсы конвертируют лучше свежих before/after при сопоставимом охвате.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Яндекс Search даст более управляемый intent, чем холодная сеть, после разделения стандартных зон и старого ПМ.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Упакованные Яндекс Карты/2ГИС дадут достаточно действий, чтобы отложить общий сайт и направить ресурс в proof.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Нативный Avito-чат сохранит конкурентную экономику хотя бы для одного JTBD; это проверяется по текущему кабинету, а не по обзору рынка.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Event-driven работа с существующей базой создаст больший ранний вклад, чем запуск дополнительного холодного канала.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Removal-партнёр с формализованным возвратом увеличит доверие и долю завершённых corrective-путей по сравнению с неуправляемой рекомендацией «сначала удалить».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C. Самые перспективные сегменты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79"/>
        <w:gridCol w:w="2394"/>
        <w:gridCol w:w="2993"/>
        <w:gridCol w:w="2394"/>
      </w:tblGrid>
      <w:tr>
        <w:trPr>
          <w:tblHeader w:val="true"/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Приоритет для проверки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Сегмент / JTBD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Почему перспективен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Что не известно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 контур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Существующие довольные клиентки: refresh, следующая зона, рекомендация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доверие уже создано; локальные отзывы подтверждают repeat/referral-путь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размер, география, разрешения, состояние результата, фактическая конверсия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 контур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Первый/стандартный ПМ с запросом на естественный результат и экономию времени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широкий видимый category demand и повторяющийся клиентский язык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какая зона и ценностное сообщение выгоднее именно Milkim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Первый контур как отдельный тест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Старый/нежелательный ПМ: исправить, осветлить, удалить или не трогать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 интенсивность проблемы и подтверждённая компетенция/интерес мастера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объём, доля пригодных случаев, proof, CAC и полный путь до оплаты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Второй контур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Refresh работы другого мастера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клиент понимает категорию, но требуется квалификация состояния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границы услуги, цена и риск превращения в сложную коррекцию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Второй контур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Следующая зона после зажившего результата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доверие максимальное, а путь наблюдается в отзывах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естественная доля спроса, timing и маржа по зонам</w:t>
            </w:r>
          </w:p>
        </w:tc>
      </w:tr>
      <w:tr>
        <w:trPr>
          <w:cantSplit w:val="true"/>
        </w:trPr>
        <w:tc>
          <w:tcPr>
            <w:tcW w:type="dxa" w:w="157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 отдельный сегмент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Рекомендация и холодный трафик</w:t>
            </w:r>
          </w:p>
        </w:tc>
        <w:tc>
          <w:tcPr>
            <w:tcW w:type="dxa" w:w="29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меняют уровень доверия, но не саму работу клиента</w:t>
            </w:r>
          </w:p>
        </w:tc>
        <w:tc>
          <w:tcPr>
            <w:tcW w:type="dxa" w:w="239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требуют разных entry messages, не отдельных продуктов</w:t>
            </w:r>
          </w:p>
        </w:tc>
      </w:tr>
    </w:tbl>
    <w:p>
      <w:pPr>
        <w:spacing w:after="40"/>
      </w:pP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 старте разумно проверять портфель из трёх demand pools — база, стандартный/первый ПМ и старый ПМ — вместо ставки всего бренда на один из них. Это не распределение бюджета: оно появится после внутренних данных.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D. Самые сильные клиентские проблемы и желания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Фразы ниже — нормализованные мотивы из клиентского корпуса, а не придуманные рекламные обещания: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«Я долго выбираю, потому что боюсь доверить лицо не тому человеку».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«Хочу, чтобы форма и цвет подходили мне, а не выглядели нарисованными по шаблону».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«Хочу просыпаться ухоженной и не тратить время на макияж каждый день».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«Мне важно заранее понимать, что будет происходить, сколько стоит весь путь и что делать после процедуры».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«У меня уже есть синий/рыжий/зелёный или слишком широкий старый ПМ; я боюсь получить ещё один слой и сделать хуже».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«Скажите честно: это можно исправить сейчас, сначала убрать или лучше не трогать».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«Я хочу увидеть не только сразу после, но и как это заживает и выглядит спустя время».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«После хорошего результата я готова вернуться на другую зону и рекомендовать мастера».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E. Три варианта позиционирования для проверки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05"/>
        <w:gridCol w:w="3076"/>
        <w:gridCol w:w="2560"/>
        <w:gridCol w:w="3076"/>
        <w:gridCol w:w="1743"/>
      </w:tblGrid>
      <w:tr>
        <w:trPr>
          <w:tblHeader w:val="true"/>
          <w:cantSplit w:val="true"/>
        </w:trPr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Вариант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Смысл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Сильная сторона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Главный риск</w:t>
            </w:r>
          </w:p>
        </w:tc>
        <w:tc>
          <w:tcPr>
            <w:tcW w:type="dxa" w:w="17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7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1. Спокойный первый ПМ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Естественный результат через понятное согласование и сопровождение от эскиза до заживления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точно отвечает страху первого решения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может сузить восприятие и звучать похоже на рынок без сильного proof</w:t>
            </w:r>
          </w:p>
        </w:tc>
        <w:tc>
          <w:tcPr>
            <w:tcW w:type="dxa" w:w="17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ГИПОТЕЗА</w:t>
            </w:r>
          </w:p>
        </w:tc>
      </w:tr>
      <w:tr>
        <w:trPr>
          <w:cantSplit w:val="true"/>
        </w:trPr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2. Естественный результат + честная работа с тем, что уже есть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Широкий бренд натурального PM; отдельный диагностический маршрут для чистой кожи, refresh и старого ПМ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объединяет основной рынок и сильную компетенцию мастера без обещания всем перекрытия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сложнее сформулировать кратко; требует маршрутизации</w:t>
            </w:r>
          </w:p>
        </w:tc>
        <w:tc>
          <w:tcPr>
            <w:tcW w:type="dxa" w:w="17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ГИПОТЕЗА; рекомендуемая основа для архитектуры, не утверждённое позиционирование</w:t>
            </w:r>
          </w:p>
        </w:tc>
      </w:tr>
      <w:tr>
        <w:trPr>
          <w:cantSplit w:val="true"/>
        </w:trPr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3. Эксперт по старому и сложному ПМ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Milkim как место для разбора неудачного/изменившегося результата и нового старта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интенсивная проблема и запоминаемость</w:t>
            </w:r>
          </w:p>
        </w:tc>
        <w:tc>
          <w:tcPr>
            <w:tcW w:type="dxa" w:w="30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7"/>
              </w:rPr>
              <w:t>недоказанная ёмкость, высокая цена ошибки, риск отпугнуть стандартных клиентов</w:t>
            </w:r>
          </w:p>
        </w:tc>
        <w:tc>
          <w:tcPr>
            <w:tcW w:type="dxa" w:w="174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1F2933"/>
                <w:sz w:val="17"/>
              </w:rPr>
              <w:t>ГИПОТЕЗА для ограниченного теста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Вариант 2 лучше всего сохраняет стратегические опции, поэтому подходит как рабочая основа следующего проектирования. </w:t>
      </w:r>
      <w:r>
        <w:rPr>
          <w:rFonts w:ascii="Calibri" w:hAnsi="Calibri" w:eastAsia="Calibri" w:cs="Calibri"/>
          <w:b/>
          <w:color w:val="2F6B4F"/>
          <w:sz w:val="22"/>
        </w:rPr>
        <w:t>[РЕШЕНИЕМ]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он станет только после утверждения Антоном.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F. Роль исправления/перекрытия</w:t>
      </w:r>
    </w:p>
    <w:p>
      <w:pPr>
        <w:pStyle w:val="ReportLead"/>
      </w:pPr>
      <w:r>
        <w:rPr>
          <w:rFonts w:ascii="Calibri" w:hAnsi="Calibri" w:eastAsia="Calibri" w:cs="Calibri"/>
          <w:b/>
          <w:color w:val="1F2933"/>
          <w:sz w:val="22"/>
        </w:rPr>
        <w:t>Вердикт: ведущая отдельная acquisition-ветка внутри более широкого Milkim.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 xml:space="preserve">Как </w:t>
      </w:r>
      <w:r>
        <w:rPr>
          <w:rFonts w:ascii="Calibri" w:hAnsi="Calibri" w:eastAsia="Calibri" w:cs="Calibri"/>
          <w:b/>
          <w:color w:val="1F2933"/>
          <w:sz w:val="22"/>
        </w:rPr>
        <w:t>зонтичное позиционирование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</w:t>
      </w:r>
      <w:r>
        <w:rPr>
          <w:rFonts w:ascii="Calibri" w:hAnsi="Calibri" w:eastAsia="Calibri" w:cs="Calibri"/>
          <w:b/>
          <w:color w:val="A56A15"/>
          <w:sz w:val="22"/>
        </w:rPr>
        <w:t>[ГИПОТЕЗА с недостаточной опорой; пока не принимать]</w:t>
      </w:r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 xml:space="preserve">Как </w:t>
      </w:r>
      <w:r>
        <w:rPr>
          <w:rFonts w:ascii="Calibri" w:hAnsi="Calibri" w:eastAsia="Calibri" w:cs="Calibri"/>
          <w:b/>
          <w:color w:val="1F2933"/>
          <w:sz w:val="22"/>
        </w:rPr>
        <w:t>ведущий оффер отдельной кампании/страницы/объявления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</w:t>
      </w: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уверенность; принять к тесту]</w:t>
      </w:r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 xml:space="preserve">Как </w:t>
      </w:r>
      <w:r>
        <w:rPr>
          <w:rFonts w:ascii="Calibri" w:hAnsi="Calibri" w:eastAsia="Calibri" w:cs="Calibri"/>
          <w:b/>
          <w:color w:val="1F2933"/>
          <w:sz w:val="22"/>
        </w:rPr>
        <w:t>обычная строка среди допуслуг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</w:t>
      </w:r>
      <w:r>
        <w:rPr>
          <w:rFonts w:ascii="Calibri" w:hAnsi="Calibri" w:eastAsia="Calibri" w:cs="Calibri"/>
          <w:b/>
          <w:color w:val="2E74B5"/>
          <w:sz w:val="22"/>
        </w:rPr>
        <w:t>[ВЫВОД · средняя уверенность; слишком пассивно]</w:t>
      </w:r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Логика: проблема реальна и эмоционально сильна, а компетенция соответствует Milkim; одновременно local supply заметен, «по фото» уже предлагают, объём спроса и экономика неизвестны, а не каждый случай можно безопасно исправить без удаления/ожидания/отказа.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G. Каналы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Запускать первыми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Существующая база и сарафан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после проверки состава базы, согласий и клиентского состояния; сценарии refresh, healed check, следующая зона и рекомендация.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Яндекс Карты и 2ГИС как бесплатные/органические активы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единые данные, прайс, proof, отзывы, CTA и источник действий. Платное продвижение внутри карт остаётся отдельным тестом.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Avito как контролируемое продолжение текущего канала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минимум раздельные сценарии стандартной зоны и старого ПМ; масштаб только по внутренней экономике.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Яндекс Search как первый кандидат на новый paid acquisition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после готовности proof, назначения, обработки и атрибуции; стандартный и problem intent не смешивать.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Removal/referral-партнёрство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если correction-ветка входит в стартовую архитектуру.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Тестировать позже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РСЯ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отдельно от Search, с самостоятельными креативами и отчётом.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VK organic/short video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как proof/nurture при реальной способности производить качественный контент.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VK Ads/ретаргетинг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после нахождения рабочего сообщения и достаточной посещаемости активов.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SEO и контентные кейсы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после подтверждения поисковых кластеров и появления ресурса на поддержку.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Локальные сообщества/инфлюенсеры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только как маркированные, измеримые размещения.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 w:cs="Calibri"/>
          <w:b/>
          <w:color w:val="A56A15"/>
          <w:sz w:val="22"/>
        </w:rPr>
        <w:t>[ГИПОТЕЗА] Платное продвижение в Яндекс Картах/2ГИС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раздельно и после готовой карточки.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Пока не нужны / не использовать как основу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Paid Instagram/Facebook и публичный paid Telegram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правовой риск и отсутствие необходимости строить на них стартовую систему.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Собственное приложение, Mini App и сложный бот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нет доказанной частой задачи клиента или операционной боли.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Большой многостраничный сайт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преждевременная стоимость; возможен позже, если выиграет Search/SEO.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 Единый медиамикс из всех каналов одновременно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лишает возможности понять источник результата.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H. Минимальный набор активов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Единая подтверждённая identity Milkim: название, лицо мастера, контакты, адрес, режим, зона обслуживания.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Актуальные Яндекс Карты/2ГИС с одинаковым прайсом, описанием, фото, CTA и ответами на отзывы.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Система портфолио: зона, исходная ситуация, fresh, healed, при наличии long-term; для correction — этапы и ограничения.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Короткий мастер-профиль: подход, реальные подтверждаемые квалификации, что мастер делает и чего не обещает.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Два входных сценария консультации: стандартный/первый ПМ и старый/нежелательный ПМ; refresh может быть короткой веткой.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Прозрачный прайс и утверждённые условия коррекции, refresh, депозита, переноса и отмены.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Простая запись/мессенджер с source tags и ответственной обработкой.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Утверждённые мастером материалы подготовки, ухода, контрольных точек и эскалации вопроса.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Отдельные согласия/основания для персональных данных, сервисной коммуникации и публикации изображения.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Минимальный реестр лидов/клиентов и событий после процедуры; dashboard/CRM не обязательны.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Если запускается correction — критерии triage, отказа, removal handoff и возврата.</w:t>
      </w:r>
    </w:p>
    <w:p>
      <w:pPr>
        <w:pStyle w:val="ReportLead"/>
      </w:pPr>
      <w:r>
        <w:rPr>
          <w:rFonts w:ascii="Calibri" w:hAnsi="Calibri" w:eastAsia="Calibri" w:cs="Calibri"/>
          <w:b/>
          <w:color w:val="A56A15"/>
          <w:sz w:val="22"/>
        </w:rPr>
        <w:t>[ГИПОТЕЗА]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Компактный лендинг входит в минимум только для платного Search или complex-case, если карточка/профиль не позволяют донести proof и измерить путь.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I. Что Milkim категорически не стоит делать сейчас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Объявлять исправление старого ПМ главным брендом без данных спроса, экономики и достаточного healed proof.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Обещать «перекроем любой старый ПМ», гарантированный цвет, отсутствие боли или фиксированное число удалений.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Копировать «натурально/качественно/стерильно» как всю дифференциацию.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Назначать цену Milkim из рыночного диапазона без затрат, загрузки, политики коррекции и силы доказательств.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Запускать Search, РСЯ, карты, VK и инфлюенсеров одним пакетом без раздельной атрибуции.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Строить большой сайт, приложение, Mini App, сложного бота или тяжёлую CRM ради технологичности.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Считать свежие работы достаточным портфолио и просить отзыв до подтверждения результата.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Покупать положительные отзывы, скрывать стимул или объединять review reward и referral reward.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Публиковать лица/истории и собирать фото через формы без корректного согласия и режима хранения.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Использовать Instagram/Facebook/Telegram как обычный paid inventory без актуальной юридической проверки.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Принимать иллюстративные CPL/CAC/LTV V1 за плановые показатели Milkim.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J. Какие решения должен принять Антон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Ни один пункт ниже не становится </w:t>
      </w:r>
      <w:r>
        <w:rPr>
          <w:rFonts w:ascii="Calibri" w:hAnsi="Calibri" w:eastAsia="Calibri" w:cs="Calibri"/>
          <w:b/>
          <w:color w:val="2F6B4F"/>
          <w:sz w:val="22"/>
        </w:rPr>
        <w:t>[РЕШЕНИЕМ]</w:t>
      </w:r>
      <w:r>
        <w:rPr>
          <w:rFonts w:ascii="Calibri" w:hAnsi="Calibri" w:eastAsia="Calibri" w:cs="Calibri"/>
          <w:b w:val="0"/>
          <w:color w:val="1F2933"/>
          <w:sz w:val="22"/>
        </w:rPr>
        <w:t>, пока Антон явно его не утвердит.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Какая рабочая основа бренда идёт в проектирование: вариант 1, 2 или ограниченный тест варианта 3.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Принимается ли роль correction как отдельной ведущей ветки, но не зонтичного позиционирования.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Какие услуги/зоны доступны для старта и где проходят профессиональные границы refresh, исправления и отказа.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Какая из трёх концептуальных архитектур ниже утверждается и каким этапом запускается первой.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Какие каналы считать P0 assets, какой один paid channel тестировать первым и сохраняется ли Avito.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Нужен ли компактный лендинг сразу для Search/старого ПМ или первый тест можно провести через карты/профиль/чат.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Полный прайс: что входит в первичную процедуру, как оплачиваются коррекция, refresh, чужая работа и сложный случай.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Правила депозита, переноса, отмены, опоздания, возврата и непредвиденной переделки.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Какой профессиональный aftercare-протокол и события CRM утверждает мастер.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Будет ли formal removal partner и кто отвечает за handoff/return.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Допустимая capacity, бюджет теста, горизонт оценки и минимальный вклад — после предоставления исходных данных.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Кто отвечает за лиды, карточки, отзывы, данные и еженедельное принятие решений.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K. Что нужно уточнить у Антона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Только данные, способные изменить стратегическую развилку: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Текущий прайс Milkim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 зонам, коррекции, refresh и чужой работе; что включено и какие прямые затраты/время у каждого сценария.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Фактическая capacity мастера: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доступные слоты, желаемая загрузка, ограничения по дням/географии и максимальный объём консультаций.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Текущий поток по источникам: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обращения, квалифицированные, записи, явки, оплаты, выручка, возвраты/переделки и причины потерь за доступный сопоставимый период.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Avito-данные по каждому объявлению: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расход/показы/просмотры/контакты, диалоги, записи, явки, оплаты, услуга и география.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Состав базы: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число уникальных клиентов, контакты и основания коммуникации, Омск/Русская Поляна, дата/зона последней процедуры, correction/healed/refresh status.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Портфолио-инвентаризация: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сколько пригодных fresh, healed, long-term и correction cases по зонам; есть ли согласие на каждое использование.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Подтверждаемые квалификации/опыт мастера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 какие заявления разрешено публиковать.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Адрес и карточки: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точка приёма в Омске, право и доступ к Яндекс/2ГИС-профилям, текущие отзывы, фото и расхождения данных.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Границы corrective-компетенции: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критерии «можно сейчас / сначала удалить / подождать / отказать», кто принимает решение и сколько времени занимает triage.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Removal-маршрут: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есть ли проверенный партнёр, согласованные ожидания, обратная связь и возврат Milkim.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Политики сервиса: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коррекция, депозит, перенос/отмена, противопоказания, aftercare, обработка осложнений/жалоб и emergency contact.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Экономические рамки владельца: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доступный тестовый бюджет, минимальный приемлемый вклад/окупаемость, терпимость к сроку обучения и приоритет роста против загрузки.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Ресурс контента и обработки: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кто и сколько реально может снимать, оформлять кейсы, отвечать и вести учёт без ухудшения работы мастера.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 w:cs="Calibri"/>
          <w:b/>
          <w:color w:val="1F2933"/>
          <w:sz w:val="22"/>
        </w:rPr>
        <w:t>Локальный поисковый файл: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авторизованная выгрузка Wordstat по Омску для category, zone, price, review, correction/removal и refresh-кластеров.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15. Три концептуальные архитектуры будущей воронки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Это варианты системы верхнего уровня, а не финальная карта этапов, сценарии сообщений или готовое разрешение на производство активов.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155"/>
        <w:gridCol w:w="2689"/>
        <w:gridCol w:w="2758"/>
        <w:gridCol w:w="2758"/>
      </w:tblGrid>
      <w:tr>
        <w:trPr>
          <w:tblHeader w:val="true"/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Критерий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1. Нативный минимальный контур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2. Сегментированная доказательная система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8"/>
              </w:rPr>
              <w:t>3. Система масштабирования после доказательств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Концепция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База/рекомендации + упакованные карты + текущий Avito → мессенджер/запись → ручной учёт и aftercare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Контур 1 + раздельные входы standard/first, old PM и refresh + Search + компактная доказательная страница только там, где нужна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Контур 2 + масштабируемый content/SEO/VK/ретаргетинг/партнёрства + автоматизация проверенных событий и когортный dashboard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Стоимость запуска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Сложность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Средняя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Скорость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Самая высокая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 при поэтапном запуске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Низкая до полноценной сборки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Управляемость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 при малом объёме; ручной предел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Высокая: intent и экономика разделены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Высокая только при дисциплине данных; иначе сложность маскирует ошибки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Основной риск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Недостаточный охват и слабое объяснение сложных случаев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Нужно подготовить proof, маршрутизацию и обработку до paid Search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Преждевременное масштабирование и постоянные расходы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Потенциальная эффективность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Хорошая для быстрого baseline и тёплого/локального спроса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Наиболее сбалансированная для обучения и роста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Наибольший потолок только после подтверждения unit economics</w:t>
            </w:r>
          </w:p>
        </w:tc>
      </w:tr>
      <w:tr>
        <w:trPr>
          <w:cantSplit w:val="true"/>
        </w:trPr>
        <w:tc>
          <w:tcPr>
            <w:tcW w:type="dxa" w:w="11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Когда выбирать</w:t>
            </w:r>
          </w:p>
        </w:tc>
        <w:tc>
          <w:tcPr>
            <w:tcW w:type="dxa" w:w="268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Если assets/data почти отсутствуют или capacity мала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Если Milkim готов собрать минимум proof/учёта и тестировать 2–3 demand pools</w:t>
            </w:r>
          </w:p>
        </w:tc>
        <w:tc>
          <w:tcPr>
            <w:tcW w:type="dxa" w:w="275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 w:cs="Calibri"/>
                <w:b w:val="0"/>
                <w:color w:val="1F2933"/>
                <w:sz w:val="18"/>
              </w:rPr>
              <w:t>После стабильного потока, повторяемых конверсий и выявленных узких мест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Рекомендация V2</w:t>
      </w:r>
    </w:p>
    <w:p>
      <w:pPr>
        <w:pStyle w:val="ReportLead"/>
      </w:pPr>
      <w:r>
        <w:rPr>
          <w:rFonts w:ascii="Calibri" w:hAnsi="Calibri" w:eastAsia="Calibri" w:cs="Calibri"/>
          <w:b/>
          <w:color w:val="2E74B5"/>
          <w:sz w:val="22"/>
        </w:rPr>
        <w:t>[ВЫВОД · средняя–высокая уверенность]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Проектировать архитектуру 2, но запускать её ступенчато: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 w:cs="Calibri"/>
          <w:b/>
          <w:color w:val="1F2933"/>
          <w:sz w:val="22"/>
        </w:rPr>
        <w:t>ступень 1: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базовый контур архитектуры 1 — identity, proof, карты, база, измеримый Avito, консультация, простой учёт, aftercare;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 w:cs="Calibri"/>
          <w:b/>
          <w:color w:val="1F2933"/>
          <w:sz w:val="22"/>
        </w:rPr>
        <w:t>ступень 2: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отдельная correction-ветка и один раздельно измеряемый Search-тест; компактный лендинг добавляется только если выбранный intent требует более сильного объяснения, чем карточка/профиль;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 w:cs="Calibri"/>
          <w:b/>
          <w:color w:val="1F2933"/>
          <w:sz w:val="22"/>
        </w:rPr>
        <w:t>ступень 3: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элементы архитектуры 3 подключаются по конкретному доказанному ограничению, а не по календарю.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Почему: вариант 1 быстро создаёт baseline, но может недораскрыть сложный JTBD; вариант 3 требует данных, которых Milkim пока не предоставил. Вариант 2 позволяет одновременно сохранить широкий стандартный спрос, проверить сильную corrective-компетенцию и не связать весь бренд с недоказанной нишей.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Это </w:t>
      </w:r>
      <w:r>
        <w:rPr>
          <w:rFonts w:ascii="Calibri" w:hAnsi="Calibri" w:eastAsia="Calibri" w:cs="Calibri"/>
          <w:b/>
          <w:color w:val="2F6B4F"/>
          <w:sz w:val="22"/>
        </w:rPr>
        <w:t>не [РЕШЕНИЕ]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и не финальная воронка. Следующий этап начинается после выбора Антоном архитектуры и ответов на данные, меняющие её.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16. Источники и границы доказательств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16.1. Наиболее влияющие источники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Внутренние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PROJECTS/Milkim/CORE.md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устойчивые факты проекта: Омск, база/сарафан Русской Поляны, услуги и corrective-компетенция.</w:t>
      </w:r>
    </w:p>
    <w:p>
      <w:pPr>
        <w:spacing w:after="80" w:line="300" w:lineRule="auto"/>
        <w:numPr>
          <w:ilvl w:val="0"/>
          <w:numId w:val="43"/>
        </w:numPr>
        <w:shd w:fill="F7F9FB"/>
      </w:pPr>
      <w:r>
        <w:rPr>
          <w:rFonts w:ascii="Liberation Mono" w:hAnsi="Liberation Mono" w:eastAsia="Liberation Mono" w:cs="Liberation Mono"/>
          <w:color w:val="1F4D78"/>
          <w:sz w:val="21"/>
        </w:rPr>
        <w:t>PROJECTS/Milkim/CURRENT.md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— открытые решения; не использовался как доказательство уже принятой стратегии.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Research V1 — набор утверждений для проверки, а не независимый источник.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Научные и клинические</w:t>
      </w:r>
    </w:p>
    <w:p>
      <w:pPr>
        <w:spacing w:after="80" w:line="300" w:lineRule="auto"/>
        <w:numPr>
          <w:ilvl w:val="0"/>
          <w:numId w:val="44"/>
        </w:numPr>
      </w:pPr>
      <w:hyperlink r:id="rId49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Pióro &amp; Kasielska‑Trojan, 2025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причины неудовлетворённости и качество жизни после удаления; селективная выборка одной клиники.</w:t>
      </w:r>
    </w:p>
    <w:p>
      <w:pPr>
        <w:spacing w:after="80" w:line="300" w:lineRule="auto"/>
        <w:numPr>
          <w:ilvl w:val="0"/>
          <w:numId w:val="44"/>
        </w:numPr>
      </w:pPr>
      <w:hyperlink r:id="rId50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Tomita et al., 2021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удовлетворённость и ранние осложнения у 1 352 клиентов; короткое наблюдение.</w:t>
      </w:r>
    </w:p>
    <w:p>
      <w:pPr>
        <w:spacing w:after="80" w:line="300" w:lineRule="auto"/>
        <w:numPr>
          <w:ilvl w:val="0"/>
          <w:numId w:val="44"/>
        </w:numPr>
      </w:pPr>
      <w:hyperlink r:id="rId52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Geisler et al., 2023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структурированный обзор удаления татуажа бровей; небольшая доказательная база.</w:t>
      </w:r>
    </w:p>
    <w:p>
      <w:pPr>
        <w:spacing w:after="80" w:line="300" w:lineRule="auto"/>
        <w:numPr>
          <w:ilvl w:val="0"/>
          <w:numId w:val="44"/>
        </w:numPr>
      </w:pPr>
      <w:hyperlink r:id="rId53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Kream et al., 2023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особенности удаления подводки/бровей и вариативность пигмента.</w:t>
      </w:r>
    </w:p>
    <w:p>
      <w:pPr>
        <w:spacing w:after="80" w:line="300" w:lineRule="auto"/>
        <w:numPr>
          <w:ilvl w:val="0"/>
          <w:numId w:val="44"/>
        </w:numPr>
      </w:pPr>
      <w:hyperlink r:id="rId51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Pióro et al., 2026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ограниченная предсказуемость числа сеансов удаления.</w:t>
      </w:r>
    </w:p>
    <w:p>
      <w:pPr>
        <w:spacing w:after="80" w:line="300" w:lineRule="auto"/>
        <w:numPr>
          <w:ilvl w:val="0"/>
          <w:numId w:val="44"/>
        </w:numPr>
      </w:pPr>
      <w:hyperlink r:id="rId54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Lee et al., 2009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риск парадоксального потемнения отдельных пигментов при удалении.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Рынок и клиентский голос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Прямые карточки, прайсы, сайты и отзывы 25 омских игроков приведены в разделе 4.</w:t>
      </w:r>
    </w:p>
    <w:p>
      <w:pPr>
        <w:spacing w:after="80" w:line="300" w:lineRule="auto"/>
        <w:numPr>
          <w:ilvl w:val="0"/>
          <w:numId w:val="45"/>
        </w:numPr>
      </w:pPr>
      <w:hyperlink r:id="rId13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2ГИС: категория ПМ в Омске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— показатель публичной плотности, не аудит специализированных конкурентов.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 w:cs="Calibri"/>
          <w:b w:val="0"/>
          <w:color w:val="1F2933"/>
          <w:sz w:val="22"/>
        </w:rPr>
        <w:t>Омские отзывы 2ГИС/Яндекс/Flamp и отобранные студийные отзывы использовались для языка и путей, но не для оценки рыночных долей.</w:t>
      </w:r>
    </w:p>
    <w:p>
      <w:pPr>
        <w:pStyle w:val="Heading3"/>
      </w:pPr>
      <w:r>
        <w:rPr>
          <w:rFonts w:ascii="Calibri" w:hAnsi="Calibri" w:eastAsia="Calibri" w:cs="Calibri"/>
          <w:b/>
          <w:color w:val="1F4D78"/>
          <w:sz w:val="24"/>
        </w:rPr>
        <w:t>Платформы и право</w:t>
      </w:r>
    </w:p>
    <w:p>
      <w:pPr>
        <w:spacing w:after="80" w:line="300" w:lineRule="auto"/>
        <w:numPr>
          <w:ilvl w:val="0"/>
          <w:numId w:val="46"/>
        </w:numPr>
      </w:pPr>
      <w:hyperlink r:id="rId16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Яндекс Директ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hyperlink r:id="rId57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статистика Яндекс Бизнеса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46"/>
        </w:numPr>
      </w:pPr>
      <w:hyperlink r:id="rId60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2ГИС для бизнеса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61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реклама 2ГИС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59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требования к отзывам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hyperlink r:id="rId17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правила мотивации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46"/>
        </w:numPr>
      </w:pPr>
      <w:hyperlink r:id="rId14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Закон №72‑ФЗ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, </w:t>
      </w:r>
      <w:hyperlink r:id="rId15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разъяснения ФАС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hyperlink r:id="rId58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сводка позиции ФАС по Telegram/YouTube в 2026 году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46"/>
        </w:numPr>
      </w:pPr>
      <w:hyperlink r:id="rId55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Статья 152.1 ГК РФ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 xml:space="preserve"> и </w:t>
      </w:r>
      <w:hyperlink r:id="rId56">
        <w:r>
          <w:rPr>
            <w:rFonts w:ascii="Calibri" w:hAnsi="Calibri" w:eastAsia="Calibri" w:cs="Calibri"/>
            <w:color w:val="2E74B5"/>
            <w:u w:val="single"/>
            <w:sz w:val="22"/>
            <w:szCs w:val="22"/>
          </w:rPr>
          <w:t>152‑ФЗ</w:t>
        </w:r>
      </w:hyperlink>
      <w:r>
        <w:rPr>
          <w:rFonts w:ascii="Calibri" w:hAnsi="Calibri" w:eastAsia="Calibri" w:cs="Calibri"/>
          <w:b w:val="0"/>
          <w:color w:val="1F2933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color w:val="2E74B5"/>
          <w:sz w:val="26"/>
        </w:rPr>
        <w:t>16.2. Как не переинтерпретировать отчёт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Публичная цена — наблюдаемое предложение, не средний чек и не транзакция.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Отзыв — self-selected история, не причинная модель и не частота JTBD.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Наличие услуги у конкурента — supply signal, не объём спроса.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Поисковый кластер — наличие намерения, не абсолютная частотность без Wordstat.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1F4D78"/>
          <w:sz w:val="22"/>
        </w:rPr>
        <w:t>[ФАКТ]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Научная выборка удаления — клинический сигнал риска, не доля омского рынка.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 w:cs="Calibri"/>
          <w:b/>
          <w:color w:val="2E74B5"/>
          <w:sz w:val="22"/>
        </w:rPr>
        <w:t>[ВЫВОД]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Отчёт снижает неопределённость выбора архитектуры; он не заменяет внутренние данные и контролируемые тесты Milkim.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2E74B5"/>
          <w:sz w:val="32"/>
        </w:rPr>
        <w:t>Заключение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 xml:space="preserve">Research V2 не подтверждает ставку «Milkim = исправление старого перманента» как готовую стратегию. Он подтверждает более точную конструкцию: </w:t>
      </w:r>
      <w:r>
        <w:rPr>
          <w:rFonts w:ascii="Calibri" w:hAnsi="Calibri" w:eastAsia="Calibri" w:cs="Calibri"/>
          <w:b/>
          <w:color w:val="1F2933"/>
          <w:sz w:val="22"/>
        </w:rPr>
        <w:t>Milkim может строить широкий бренд естественного, подходящего лицу результата и спокойного прозрачного процесса, а работу со старым ПМ вынести в самостоятельную диагностическую ветку с honest triage, healed proof и removal handoff.</w:t>
      </w:r>
    </w:p>
    <w:p>
      <w:pPr/>
      <w:r>
        <w:rPr>
          <w:rFonts w:ascii="Calibri" w:hAnsi="Calibri" w:eastAsia="Calibri" w:cs="Calibri"/>
          <w:b w:val="0"/>
          <w:color w:val="1F2933"/>
          <w:sz w:val="22"/>
        </w:rPr>
        <w:t>Наиболее рациональная концепция — сегментированная доказательная система, запущенная от простого ядра. Её конкретные этапы, офферы, цены, сообщения, CTA, сценарии консультации и метрики нельзя финализировать до решений Антона и внутренних данных из разделов J–K.</w:t>
      </w:r>
    </w:p>
    <w:p>
      <w:pPr/>
      <w:r>
        <w:rPr>
          <w:rFonts w:ascii="Calibri" w:hAnsi="Calibri" w:eastAsia="Calibri" w:cs="Calibri"/>
          <w:b/>
          <w:color w:val="1F2933"/>
          <w:sz w:val="22"/>
        </w:rPr>
        <w:t>Статус:</w:t>
      </w:r>
      <w:r>
        <w:rPr>
          <w:rFonts w:ascii="Calibri" w:hAnsi="Calibri" w:eastAsia="Calibri" w:cs="Calibri"/>
          <w:b w:val="0"/>
          <w:color w:val="1F2933"/>
          <w:sz w:val="22"/>
        </w:rPr>
        <w:t xml:space="preserve"> стратегическая основа подготовлена; финальная архитектура и воронка не утверждены.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Calibri" w:cs="Calibri"/>
        <w:color w:val="5F6B76"/>
        <w:sz w:val="17"/>
      </w:rPr>
      <w:t xml:space="preserve">MILKIM  ·  </w:t>
    </w:r>
    <w:r>
      <w:rPr>
        <w:rFonts w:ascii="Calibri" w:hAnsi="Calibri" w:eastAsia="Calibri" w:cs="Calibri"/>
        <w:color w:val="5F6B7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 w:cs="Calibri"/>
        <w:b/>
        <w:color w:val="5F6B76"/>
        <w:sz w:val="17"/>
      </w:rPr>
      <w:t>MILKIM  /  RESEARCH V2  ·  СТРАТЕГИЧЕСКАЯ ОСНОВА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7">
    <w:abstractNumId w:val="16"/>
  </w:num>
  <w:abstractNum w:abstractNumId="17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8">
    <w:abstractNumId w:val="17"/>
  </w:num>
  <w:abstractNum w:abstractNumId="18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19">
    <w:abstractNumId w:val="18"/>
  </w:num>
  <w:abstractNum w:abstractNumId="19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0">
    <w:abstractNumId w:val="19"/>
  </w:num>
  <w:abstractNum w:abstractNumId="20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1">
    <w:abstractNumId w:val="20"/>
  </w:num>
  <w:abstractNum w:abstractNumId="21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2">
    <w:abstractNumId w:val="21"/>
  </w:num>
  <w:abstractNum w:abstractNumId="22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4">
    <w:abstractNumId w:val="23"/>
  </w:num>
  <w:abstractNum w:abstractNumId="24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5">
    <w:abstractNumId w:val="24"/>
  </w:num>
  <w:abstractNum w:abstractNumId="25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6">
    <w:abstractNumId w:val="25"/>
  </w:num>
  <w:abstractNum w:abstractNumId="26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7">
    <w:abstractNumId w:val="26"/>
  </w:num>
  <w:abstractNum w:abstractNumId="27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8">
    <w:abstractNumId w:val="27"/>
  </w:num>
  <w:abstractNum w:abstractNumId="28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29">
    <w:abstractNumId w:val="28"/>
  </w:num>
  <w:abstractNum w:abstractNumId="29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0">
    <w:abstractNumId w:val="29"/>
  </w:num>
  <w:abstractNum w:abstractNumId="30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1">
    <w:abstractNumId w:val="30"/>
  </w:num>
  <w:abstractNum w:abstractNumId="31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2">
    <w:abstractNumId w:val="31"/>
  </w:num>
  <w:abstractNum w:abstractNumId="32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3">
    <w:abstractNumId w:val="32"/>
  </w:num>
  <w:abstractNum w:abstractNumId="33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5">
    <w:abstractNumId w:val="34"/>
  </w:num>
  <w:abstractNum w:abstractNumId="35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6">
    <w:abstractNumId w:val="35"/>
  </w:num>
  <w:abstractNum w:abstractNumId="36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7">
    <w:abstractNumId w:val="36"/>
  </w:num>
  <w:abstractNum w:abstractNumId="37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8">
    <w:abstractNumId w:val="37"/>
  </w:num>
  <w:abstractNum w:abstractNumId="38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39">
    <w:abstractNumId w:val="38"/>
  </w:num>
  <w:abstractNum w:abstractNumId="39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0">
    <w:abstractNumId w:val="39"/>
  </w:num>
  <w:abstractNum w:abstractNumId="40">
    <w:multiLevelType w:val="multi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decimal"/>
      <w:lvlText w:val="%3.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1">
    <w:abstractNumId w:val="40"/>
  </w:num>
  <w:abstractNum w:abstractNumId="41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3">
    <w:abstractNumId w:val="42"/>
  </w:num>
  <w:abstractNum w:abstractNumId="43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bullet"/>
      <w:lvlText w:val="◦"/>
      <w:suff w:val="tab"/>
      <w:lvlJc w:val="left"/>
      <w:pPr>
        <w:tabs>
          <w:tab w:val="num" w:pos="1080"/>
        </w:tabs>
        <w:ind w:left="1080" w:hanging="271"/>
        <w:spacing w:after="80" w:line="300" w:lineRule="auto"/>
      </w:pPr>
    </w:lvl>
    <w:lvl w:ilvl="2">
      <w:start w:val="1"/>
      <w:numFmt w:val="bullet"/>
      <w:lvlText w:val="▪"/>
      <w:suff w:val="tab"/>
      <w:lvlJc w:val="left"/>
      <w:pPr>
        <w:tabs>
          <w:tab w:val="num" w:pos="1620"/>
        </w:tabs>
        <w:ind w:left="1620" w:hanging="271"/>
        <w:spacing w:after="80" w:line="300" w:lineRule="auto"/>
      </w:pPr>
    </w:lvl>
  </w:abstract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ead">
    <w:name w:val="Report Lead"/>
    <w:pPr>
      <w:spacing w:before="120" w:after="180" w:line="300" w:lineRule="auto"/>
    </w:pPr>
    <w:rPr>
      <w:rFonts w:ascii="Calibri" w:hAnsi="Calibri" w:eastAsia="Calibri"/>
      <w:color w:val="0B2545"/>
      <w:sz w:val="22"/>
    </w:rPr>
  </w:style>
  <w:style w:type="paragraph" w:customStyle="1" w:styleId="Callout">
    <w:name w:val="Callout"/>
    <w:pPr>
      <w:spacing w:before="120" w:after="180" w:line="300" w:lineRule="auto"/>
      <w:ind w:left="259" w:right="144"/>
    </w:pPr>
    <w:rPr>
      <w:rFonts w:ascii="Calibri" w:hAnsi="Calibri" w:eastAsia="Calibri"/>
      <w:i/>
      <w:color w:val="0B2545"/>
      <w:sz w:val="22"/>
    </w:rPr>
  </w:style>
  <w:style w:type="paragraph" w:customStyle="1" w:styleId="SourceNote">
    <w:name w:val="Source Note"/>
    <w:pPr>
      <w:spacing w:before="80" w:after="80" w:line="276" w:lineRule="auto"/>
    </w:pPr>
    <w:rPr>
      <w:rFonts w:ascii="Calibri" w:hAnsi="Calibri" w:eastAsia="Calibri"/>
      <w:i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2gis.ru/omsk/search/%D0%9F%D0%B5%D1%80%D0%BC%D0%B0%D0%BD%D0%B5%D0%BD%D1%82%D0%BD%D1%8B%D0%B9%20%D0%BC%D0%B0%D0%BA%D0%B8%D1%8F%D0%B6/rubricId/112828" TargetMode="External"/><Relationship Id="rId14" Type="http://schemas.openxmlformats.org/officeDocument/2006/relationships/hyperlink" Target="https://publication.pravo.gov.ru/document/0001202504070018" TargetMode="External"/><Relationship Id="rId15" Type="http://schemas.openxmlformats.org/officeDocument/2006/relationships/hyperlink" Target="https://fas.gov.ru/documents/690033" TargetMode="External"/><Relationship Id="rId16" Type="http://schemas.openxmlformats.org/officeDocument/2006/relationships/hyperlink" Target="https://direct.yandex.ru/" TargetMode="External"/><Relationship Id="rId17" Type="http://schemas.openxmlformats.org/officeDocument/2006/relationships/hyperlink" Target="https://help.2gis.ru/question/kak-motivirovat-klientov-ostavlyat-otzyvy-v-2gis" TargetMode="External"/><Relationship Id="rId18" Type="http://schemas.openxmlformats.org/officeDocument/2006/relationships/hyperlink" Target="https://2gis.ru/omsk/firm/282003258641983/tab/prices" TargetMode="External"/><Relationship Id="rId19" Type="http://schemas.openxmlformats.org/officeDocument/2006/relationships/hyperlink" Target="https://2gis.ru/omsk/firm/70000001060356760/tab/prices" TargetMode="External"/><Relationship Id="rId20" Type="http://schemas.openxmlformats.org/officeDocument/2006/relationships/hyperlink" Target="https://2gis.ru/omsk/firm/70000001029840175/tab/prices" TargetMode="External"/><Relationship Id="rId21" Type="http://schemas.openxmlformats.org/officeDocument/2006/relationships/hyperlink" Target="https://2gis.ru/omsk/firm/70000001046999313/tab/prices" TargetMode="External"/><Relationship Id="rId22" Type="http://schemas.openxmlformats.org/officeDocument/2006/relationships/hyperlink" Target="https://2gis.ru/omsk/firm/70000001045303546/tab/reviews" TargetMode="External"/><Relationship Id="rId23" Type="http://schemas.openxmlformats.org/officeDocument/2006/relationships/hyperlink" Target="https://2gis.ru/omsk/firm/70000001051606392" TargetMode="External"/><Relationship Id="rId24" Type="http://schemas.openxmlformats.org/officeDocument/2006/relationships/hyperlink" Target="https://2gis.ru/omsk/firm/70000001054369212/tab/reviews" TargetMode="External"/><Relationship Id="rId25" Type="http://schemas.openxmlformats.org/officeDocument/2006/relationships/hyperlink" Target="https://2gis.ru/omsk/firm/70000001082882025/tab/prices" TargetMode="External"/><Relationship Id="rId26" Type="http://schemas.openxmlformats.org/officeDocument/2006/relationships/hyperlink" Target="https://permanentomsk.ru/" TargetMode="External"/><Relationship Id="rId27" Type="http://schemas.openxmlformats.org/officeDocument/2006/relationships/hyperlink" Target="https://2gis.ru/omsk/firm/70000001094359061/tab/prices" TargetMode="External"/><Relationship Id="rId28" Type="http://schemas.openxmlformats.org/officeDocument/2006/relationships/hyperlink" Target="https://2gis.ru/omsk/firm/70000001082462082/tab/prices" TargetMode="External"/><Relationship Id="rId29" Type="http://schemas.openxmlformats.org/officeDocument/2006/relationships/hyperlink" Target="https://2gis.ru/omsk/firm/70000001067082332/tab/prices" TargetMode="External"/><Relationship Id="rId30" Type="http://schemas.openxmlformats.org/officeDocument/2006/relationships/hyperlink" Target="https://2gis.ru/omsk/firm/70000001103491665/tab/prices" TargetMode="External"/><Relationship Id="rId31" Type="http://schemas.openxmlformats.org/officeDocument/2006/relationships/hyperlink" Target="https://2gis.ru/omsk/firm/70000001089305789/tab/prices" TargetMode="External"/><Relationship Id="rId32" Type="http://schemas.openxmlformats.org/officeDocument/2006/relationships/hyperlink" Target="https://2gis.ru/omsk/firm/70000001114594164/tab/prices" TargetMode="External"/><Relationship Id="rId33" Type="http://schemas.openxmlformats.org/officeDocument/2006/relationships/hyperlink" Target="https://2gis.ru/omsk/firm/70000001063183396" TargetMode="External"/><Relationship Id="rId34" Type="http://schemas.openxmlformats.org/officeDocument/2006/relationships/hyperlink" Target="https://2gis.ru/omsk/firm/70000001047559464/tab/prices" TargetMode="External"/><Relationship Id="rId35" Type="http://schemas.openxmlformats.org/officeDocument/2006/relationships/hyperlink" Target="https://2gis.ru/omsk/firm/70000001078569652" TargetMode="External"/><Relationship Id="rId36" Type="http://schemas.openxmlformats.org/officeDocument/2006/relationships/hyperlink" Target="https://2gis.ru/omsk/firm/70000001038227073" TargetMode="External"/><Relationship Id="rId37" Type="http://schemas.openxmlformats.org/officeDocument/2006/relationships/hyperlink" Target="https://2gis.ru/omsk/firm/70000001060408933/tab/reviews" TargetMode="External"/><Relationship Id="rId38" Type="http://schemas.openxmlformats.org/officeDocument/2006/relationships/hyperlink" Target="https://doctorsichkar.ru/pm" TargetMode="External"/><Relationship Id="rId39" Type="http://schemas.openxmlformats.org/officeDocument/2006/relationships/hyperlink" Target="https://krasota.euromed-omsk.ru/permanentnyj-makiyazh" TargetMode="External"/><Relationship Id="rId40" Type="http://schemas.openxmlformats.org/officeDocument/2006/relationships/hyperlink" Target="https://2gis.ru/omsk/firm/70000001062734193" TargetMode="External"/><Relationship Id="rId41" Type="http://schemas.openxmlformats.org/officeDocument/2006/relationships/hyperlink" Target="https://2gis.ru/omsk/firm/70000001053672091/tab/reviews" TargetMode="External"/><Relationship Id="rId42" Type="http://schemas.openxmlformats.org/officeDocument/2006/relationships/hyperlink" Target="https://2gis.ru/omsk/firm/70000001080954223" TargetMode="External"/><Relationship Id="rId43" Type="http://schemas.openxmlformats.org/officeDocument/2006/relationships/hyperlink" Target="https://2gis.ru/omsk/firm/70000001063957574" TargetMode="External"/><Relationship Id="rId44" Type="http://schemas.openxmlformats.org/officeDocument/2006/relationships/hyperlink" Target="https://2gis.ru/omsk/firm/70000001090774479/tab/reviews" TargetMode="External"/><Relationship Id="rId45" Type="http://schemas.openxmlformats.org/officeDocument/2006/relationships/hyperlink" Target="https://2gis.ru/omsk/firm/282003258641983/tab/reviews" TargetMode="External"/><Relationship Id="rId46" Type="http://schemas.openxmlformats.org/officeDocument/2006/relationships/hyperlink" Target="https://2gis.ru/omsk/firm/70000001029840175/tab/reviews" TargetMode="External"/><Relationship Id="rId47" Type="http://schemas.openxmlformats.org/officeDocument/2006/relationships/hyperlink" Target="https://2gis.ru/omsk/firm/70000001049272187/tab/reviews" TargetMode="External"/><Relationship Id="rId48" Type="http://schemas.openxmlformats.org/officeDocument/2006/relationships/hyperlink" Target="https://permanentomsk.ru/reviews" TargetMode="External"/><Relationship Id="rId49" Type="http://schemas.openxmlformats.org/officeDocument/2006/relationships/hyperlink" Target="https://pmc.ncbi.nlm.nih.gov/articles/PMC12097516/" TargetMode="External"/><Relationship Id="rId50" Type="http://schemas.openxmlformats.org/officeDocument/2006/relationships/hyperlink" Target="https://pubmed.ncbi.nlm.nih.gov/33950961/" TargetMode="External"/><Relationship Id="rId51" Type="http://schemas.openxmlformats.org/officeDocument/2006/relationships/hyperlink" Target="https://www.nature.com/articles/s41598-026-38366-1/" TargetMode="External"/><Relationship Id="rId52" Type="http://schemas.openxmlformats.org/officeDocument/2006/relationships/hyperlink" Target="https://link.springer.com/article/10.1007/s10103-023-03921-z" TargetMode="External"/><Relationship Id="rId53" Type="http://schemas.openxmlformats.org/officeDocument/2006/relationships/hyperlink" Target="https://pmc.ncbi.nlm.nih.gov/articles/PMC10703503/" TargetMode="External"/><Relationship Id="rId54" Type="http://schemas.openxmlformats.org/officeDocument/2006/relationships/hyperlink" Target="https://pubmed.ncbi.nlm.nih.gov/19583737/" TargetMode="External"/><Relationship Id="rId55" Type="http://schemas.openxmlformats.org/officeDocument/2006/relationships/hyperlink" Target="https://www.consultant.ru/document/cons_doc_LAW_5142/14c6c3902cffa17ab26d330b2fd4fae28e5cd059/" TargetMode="External"/><Relationship Id="rId56" Type="http://schemas.openxmlformats.org/officeDocument/2006/relationships/hyperlink" Target="https://www.consultant.ru/document/cons_doc_LAW_61801/" TargetMode="External"/><Relationship Id="rId57" Type="http://schemas.openxmlformats.org/officeDocument/2006/relationships/hyperlink" Target="https://yandex.ru/support/business-priority/ru/manage/statistics" TargetMode="External"/><Relationship Id="rId58" Type="http://schemas.openxmlformats.org/officeDocument/2006/relationships/hyperlink" Target="https://www.consultant.ru/law/hotdocs/93379.html" TargetMode="External"/><Relationship Id="rId59" Type="http://schemas.openxmlformats.org/officeDocument/2006/relationships/hyperlink" Target="https://law.2gis.ru/informational-requirements" TargetMode="External"/><Relationship Id="rId60" Type="http://schemas.openxmlformats.org/officeDocument/2006/relationships/hyperlink" Target="https://business.2gis.ru/" TargetMode="External"/><Relationship Id="rId61" Type="http://schemas.openxmlformats.org/officeDocument/2006/relationships/hyperlink" Target="https://reklama.2gi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Milkim Research V2</dc:title>
  <dc:subject>Доказательная основа для проектирования маркетинговой и клиентской воронки</dc:subject>
  <dc:creator>Milkim Research</dc:creator>
  <cp:keywords>Milkim, Омск, перманентный макияж, исследование, воронка, JTBD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