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NORAD Expert AI Benchmark</w:t>
      </w:r>
    </w:p>
    <w:p>
      <w:pPr>
        <w:jc w:val="center"/>
      </w:pPr>
      <w:r>
        <w:rPr>
          <w:i/>
          <w:color w:val="555555"/>
        </w:rPr>
        <w:t>DEW-Line Anchor Crosstab: Detection-Rate Sensitivity (two 250-game runs)</w:t>
      </w:r>
    </w:p>
    <w:p>
      <w:pPr>
        <w:pBdr>
          <w:bottom w:val="single" w:sz="6" w:space="1" w:color="999999"/>
        </w:pBdr>
      </w:pPr>
    </w:p>
    <w:p>
      <w:pPr>
        <w:pStyle w:val="Heading1"/>
      </w:pPr>
      <w:r>
        <w:t>Methodology</w:t>
      </w:r>
    </w:p>
    <w:p>
      <w:r>
        <w:t>Two 250-game Expert-AI-vs-Expert-AI benchmarks were run under the standard test configuration: all optional rules ON (DEW line, Cuban missile crisis, Siberian entry, SLBM, Canadian air defense, Play Balance) except Assigned Targets, which was OFF. Both experiments used the same 250 seeds (50000-50249), so the difference between them isolates the effect of a single rule change: the DEW-line decoy-detection rate.</w:t>
      </w:r>
    </w:p>
    <w:p>
      <w:r>
        <w:t>Each game was cross-tabbed on two independently-rolled setup decisions:</w:t>
      </w:r>
    </w:p>
    <w:p>
      <w:pPr>
        <w:pStyle w:val="ListBullet"/>
      </w:pPr>
      <w:r>
        <w:t>American missile placement on the DEW anchors (Anchorage / H121 and Godthab / G212): both anchors defended, Anchorage only, Godthab only, or neither - drawn 30% / 20% / 20% / 30% respectively. Each anchor's defender is drawn at random from the missile pool, so it may be a real missile or a Play-Balance decoy.</w:t>
      </w:r>
    </w:p>
    <w:p>
      <w:pPr>
        <w:pStyle w:val="ListBullet"/>
      </w:pPr>
      <w:r>
        <w:t>Soviet DEW-kill priority: at game start the Soviet independently marks each anchor for destruction with 50% probability, giving both / Anchorage-only / Godthab-only / neither at roughly 25% each.</w:t>
      </w:r>
    </w:p>
    <w:p>
      <w:r>
        <w:t>The only change between Experiment A and Experiment B is the probability that the DEW line exposes and removes a North/Siberian decoy bomber the first time it crosses row H.</w:t>
      </w:r>
    </w:p>
    <w:p>
      <w:r>
        <w:t>Headline comparison:</w:t>
      </w:r>
    </w:p>
    <w:tbl>
      <w:tblPr>
        <w:tblStyle w:val="TableGrid"/>
        <w:tblW w:type="auto" w:w="0"/>
        <w:tblLayout w:type="fixed"/>
        <w:tblLook w:firstColumn="1" w:firstRow="1" w:lastColumn="0" w:lastRow="0" w:noHBand="0" w:noVBand="1" w:val="04A0"/>
      </w:tblPr>
      <w:tblGrid>
        <w:gridCol w:w="3120"/>
        <w:gridCol w:w="3120"/>
        <w:gridCol w:w="3120"/>
      </w:tblGrid>
      <w:tr>
        <w:tc>
          <w:tcPr>
            <w:tcW w:type="dxa" w:w="3888"/>
            <w:shd w:val="clear" w:color="auto" w:fill="1F3864"/>
            <w:vAlign w:val="center"/>
          </w:tcPr>
          <w:p>
            <w:pPr>
              <w:jc w:val="center"/>
            </w:pPr>
            <w:r/>
            <w:r>
              <w:rPr>
                <w:b/>
                <w:color w:val="FFFFFF"/>
                <w:sz w:val="20"/>
              </w:rPr>
              <w:t>Metric</w:t>
            </w:r>
          </w:p>
        </w:tc>
        <w:tc>
          <w:tcPr>
            <w:tcW w:type="dxa" w:w="2736"/>
            <w:shd w:val="clear" w:color="auto" w:fill="1F3864"/>
            <w:vAlign w:val="center"/>
          </w:tcPr>
          <w:p>
            <w:pPr>
              <w:jc w:val="center"/>
            </w:pPr>
            <w:r/>
            <w:r>
              <w:rPr>
                <w:b/>
                <w:color w:val="FFFFFF"/>
                <w:sz w:val="20"/>
              </w:rPr>
              <w:t>Exp. A (original)</w:t>
            </w:r>
          </w:p>
        </w:tc>
        <w:tc>
          <w:tcPr>
            <w:tcW w:type="dxa" w:w="2736"/>
            <w:shd w:val="clear" w:color="auto" w:fill="1F3864"/>
            <w:vAlign w:val="center"/>
          </w:tcPr>
          <w:p>
            <w:pPr>
              <w:jc w:val="center"/>
            </w:pPr>
            <w:r/>
            <w:r>
              <w:rPr>
                <w:b/>
                <w:color w:val="FFFFFF"/>
                <w:sz w:val="20"/>
              </w:rPr>
              <w:t>Exp. B (reduced)</w:t>
            </w:r>
          </w:p>
        </w:tc>
      </w:tr>
      <w:tr>
        <w:tc>
          <w:tcPr>
            <w:tcW w:type="dxa" w:w="3888"/>
            <w:vAlign w:val="center"/>
          </w:tcPr>
          <w:p>
            <w:pPr>
              <w:jc w:val="left"/>
            </w:pPr>
            <w:r/>
            <w:r>
              <w:rPr>
                <w:b/>
                <w:sz w:val="20"/>
              </w:rPr>
              <w:t>DEW-line detection rate</w:t>
              <w:br/>
              <w:t>(full active / partial)</w:t>
            </w:r>
          </w:p>
        </w:tc>
        <w:tc>
          <w:tcPr>
            <w:tcW w:type="dxa" w:w="2736"/>
            <w:vAlign w:val="center"/>
          </w:tcPr>
          <w:p>
            <w:pPr>
              <w:jc w:val="center"/>
            </w:pPr>
            <w:r/>
            <w:r>
              <w:rPr>
                <w:b w:val="0"/>
                <w:sz w:val="20"/>
              </w:rPr>
              <w:t>50% / 25%</w:t>
            </w:r>
          </w:p>
        </w:tc>
        <w:tc>
          <w:tcPr>
            <w:tcW w:type="dxa" w:w="2736"/>
            <w:vAlign w:val="center"/>
          </w:tcPr>
          <w:p>
            <w:pPr>
              <w:jc w:val="center"/>
            </w:pPr>
            <w:r/>
            <w:r>
              <w:rPr>
                <w:b w:val="0"/>
                <w:sz w:val="20"/>
              </w:rPr>
              <w:t>33% / 16.7%</w:t>
            </w:r>
          </w:p>
        </w:tc>
      </w:tr>
      <w:tr>
        <w:tc>
          <w:tcPr>
            <w:tcW w:type="dxa" w:w="3888"/>
            <w:shd w:val="clear" w:color="auto" w:fill="DCE6F1"/>
            <w:vAlign w:val="center"/>
          </w:tcPr>
          <w:p>
            <w:pPr>
              <w:jc w:val="left"/>
            </w:pPr>
            <w:r/>
            <w:r>
              <w:rPr>
                <w:b/>
                <w:sz w:val="20"/>
              </w:rPr>
              <w:t>American win rate</w:t>
              <w:br/>
              <w:t>(all 250 games)</w:t>
            </w:r>
          </w:p>
        </w:tc>
        <w:tc>
          <w:tcPr>
            <w:tcW w:type="dxa" w:w="2736"/>
            <w:shd w:val="clear" w:color="auto" w:fill="DCE6F1"/>
            <w:vAlign w:val="center"/>
          </w:tcPr>
          <w:p>
            <w:pPr>
              <w:jc w:val="center"/>
            </w:pPr>
            <w:r/>
            <w:r>
              <w:rPr>
                <w:b w:val="0"/>
                <w:sz w:val="20"/>
              </w:rPr>
              <w:t>144/250 = 57.6%</w:t>
            </w:r>
          </w:p>
        </w:tc>
        <w:tc>
          <w:tcPr>
            <w:tcW w:type="dxa" w:w="2736"/>
            <w:shd w:val="clear" w:color="auto" w:fill="DCE6F1"/>
            <w:vAlign w:val="center"/>
          </w:tcPr>
          <w:p>
            <w:pPr>
              <w:jc w:val="center"/>
            </w:pPr>
            <w:r/>
            <w:r>
              <w:rPr>
                <w:b w:val="0"/>
                <w:sz w:val="20"/>
              </w:rPr>
              <w:t>109/250 = 43.6%</w:t>
            </w:r>
          </w:p>
        </w:tc>
      </w:tr>
      <w:tr>
        <w:tc>
          <w:tcPr>
            <w:tcW w:type="dxa" w:w="3888"/>
            <w:vAlign w:val="center"/>
          </w:tcPr>
          <w:p>
            <w:pPr>
              <w:jc w:val="left"/>
            </w:pPr>
            <w:r/>
            <w:r>
              <w:rPr>
                <w:b/>
                <w:sz w:val="20"/>
              </w:rPr>
              <w:t>Average Soviet points</w:t>
              <w:br/>
              <w:t>(all 250 games)</w:t>
            </w:r>
          </w:p>
        </w:tc>
        <w:tc>
          <w:tcPr>
            <w:tcW w:type="dxa" w:w="2736"/>
            <w:vAlign w:val="center"/>
          </w:tcPr>
          <w:p>
            <w:pPr>
              <w:jc w:val="center"/>
            </w:pPr>
            <w:r/>
            <w:r>
              <w:rPr>
                <w:b w:val="0"/>
                <w:sz w:val="20"/>
              </w:rPr>
              <w:t>~98.1</w:t>
            </w:r>
          </w:p>
        </w:tc>
        <w:tc>
          <w:tcPr>
            <w:tcW w:type="dxa" w:w="2736"/>
            <w:vAlign w:val="center"/>
          </w:tcPr>
          <w:p>
            <w:pPr>
              <w:jc w:val="center"/>
            </w:pPr>
            <w:r/>
            <w:r>
              <w:rPr>
                <w:b w:val="0"/>
                <w:sz w:val="20"/>
              </w:rPr>
              <w:t>~101.0</w:t>
            </w:r>
          </w:p>
        </w:tc>
      </w:tr>
    </w:tbl>
    <w:p/>
    <w:p>
      <w:r>
        <w:rPr>
          <w:i/>
          <w:color w:val="555555"/>
          <w:sz w:val="18"/>
        </w:rPr>
        <w:t>Lowering DEW-line detection from 50%/25% to 33%/16.7% shifts the game meaningfully toward the Soviet: American win rate drops about 14 points, and the Soviet's average score rises by roughly 3 points, closer to its 100-point win threshold.</w:t>
      </w:r>
    </w:p>
    <w:p>
      <w:r>
        <w:br w:type="page"/>
      </w:r>
    </w:p>
    <w:p>
      <w:pPr>
        <w:pStyle w:val="Heading1"/>
      </w:pPr>
      <w:r>
        <w:t>Experiment A - DEW Detection at 50% / 25% (original)</w:t>
      </w:r>
    </w:p>
    <w:p>
      <w:r>
        <w:t>N = 250 games, seeds 50000-50249.</w:t>
      </w:r>
    </w:p>
    <w:p>
      <w:pPr>
        <w:pStyle w:val="Heading3"/>
      </w:pPr>
      <w:r>
        <w:t>American missile placement marginal</w:t>
      </w:r>
    </w:p>
    <w:tbl>
      <w:tblPr>
        <w:tblStyle w:val="TableGrid"/>
        <w:tblW w:type="auto" w:w="0"/>
        <w:tblLayout w:type="fixed"/>
        <w:tblLook w:firstColumn="1" w:firstRow="1" w:lastColumn="0" w:lastRow="0" w:noHBand="0" w:noVBand="1" w:val="04A0"/>
      </w:tblPr>
      <w:tblGrid>
        <w:gridCol w:w="3120"/>
        <w:gridCol w:w="3120"/>
        <w:gridCol w:w="3120"/>
      </w:tblGrid>
      <w:tr>
        <w:tc>
          <w:tcPr>
            <w:tcW w:type="dxa" w:w="3600"/>
            <w:shd w:val="clear" w:color="auto" w:fill="1F3864"/>
            <w:vAlign w:val="center"/>
          </w:tcPr>
          <w:p>
            <w:pPr>
              <w:jc w:val="center"/>
            </w:pPr>
            <w:r/>
            <w:r>
              <w:rPr>
                <w:b/>
                <w:color w:val="FFFFFF"/>
                <w:sz w:val="20"/>
              </w:rPr>
              <w:t>Category</w:t>
            </w:r>
          </w:p>
        </w:tc>
        <w:tc>
          <w:tcPr>
            <w:tcW w:type="dxa" w:w="2160"/>
            <w:shd w:val="clear" w:color="auto" w:fill="1F3864"/>
            <w:vAlign w:val="center"/>
          </w:tcPr>
          <w:p>
            <w:pPr>
              <w:jc w:val="center"/>
            </w:pPr>
            <w:r/>
            <w:r>
              <w:rPr>
                <w:b/>
                <w:color w:val="FFFFFF"/>
                <w:sz w:val="20"/>
              </w:rPr>
              <w:t>Games</w:t>
            </w:r>
          </w:p>
        </w:tc>
        <w:tc>
          <w:tcPr>
            <w:tcW w:type="dxa" w:w="2160"/>
            <w:shd w:val="clear" w:color="auto" w:fill="1F3864"/>
            <w:vAlign w:val="center"/>
          </w:tcPr>
          <w:p>
            <w:pPr>
              <w:jc w:val="center"/>
            </w:pPr>
            <w:r/>
            <w:r>
              <w:rPr>
                <w:b/>
                <w:color w:val="FFFFFF"/>
                <w:sz w:val="20"/>
              </w:rPr>
              <w:t>% of N=250</w:t>
            </w:r>
          </w:p>
        </w:tc>
      </w:tr>
      <w:tr>
        <w:tc>
          <w:tcPr>
            <w:tcW w:type="dxa" w:w="3600"/>
            <w:vAlign w:val="center"/>
          </w:tcPr>
          <w:p>
            <w:pPr>
              <w:jc w:val="left"/>
            </w:pPr>
            <w:r/>
            <w:r>
              <w:rPr>
                <w:b w:val="0"/>
                <w:sz w:val="20"/>
              </w:rPr>
              <w:t>Anchorage only</w:t>
            </w:r>
          </w:p>
        </w:tc>
        <w:tc>
          <w:tcPr>
            <w:tcW w:type="dxa" w:w="2160"/>
            <w:vAlign w:val="center"/>
          </w:tcPr>
          <w:p>
            <w:pPr>
              <w:jc w:val="center"/>
            </w:pPr>
            <w:r/>
            <w:r>
              <w:rPr>
                <w:b w:val="0"/>
                <w:sz w:val="20"/>
              </w:rPr>
              <w:t>44</w:t>
            </w:r>
          </w:p>
        </w:tc>
        <w:tc>
          <w:tcPr>
            <w:tcW w:type="dxa" w:w="2160"/>
            <w:vAlign w:val="center"/>
          </w:tcPr>
          <w:p>
            <w:pPr>
              <w:jc w:val="center"/>
            </w:pPr>
            <w:r/>
            <w:r>
              <w:rPr>
                <w:b w:val="0"/>
                <w:sz w:val="20"/>
              </w:rPr>
              <w:t>17.6%</w:t>
            </w:r>
          </w:p>
        </w:tc>
      </w:tr>
      <w:tr>
        <w:tc>
          <w:tcPr>
            <w:tcW w:type="dxa" w:w="3600"/>
            <w:shd w:val="clear" w:color="auto" w:fill="DCE6F1"/>
            <w:vAlign w:val="center"/>
          </w:tcPr>
          <w:p>
            <w:pPr>
              <w:jc w:val="left"/>
            </w:pPr>
            <w:r/>
            <w:r>
              <w:rPr>
                <w:b w:val="0"/>
                <w:sz w:val="20"/>
              </w:rPr>
              <w:t>Godthab only</w:t>
            </w:r>
          </w:p>
        </w:tc>
        <w:tc>
          <w:tcPr>
            <w:tcW w:type="dxa" w:w="2160"/>
            <w:shd w:val="clear" w:color="auto" w:fill="DCE6F1"/>
            <w:vAlign w:val="center"/>
          </w:tcPr>
          <w:p>
            <w:pPr>
              <w:jc w:val="center"/>
            </w:pPr>
            <w:r/>
            <w:r>
              <w:rPr>
                <w:b w:val="0"/>
                <w:sz w:val="20"/>
              </w:rPr>
              <w:t>43</w:t>
            </w:r>
          </w:p>
        </w:tc>
        <w:tc>
          <w:tcPr>
            <w:tcW w:type="dxa" w:w="2160"/>
            <w:shd w:val="clear" w:color="auto" w:fill="DCE6F1"/>
            <w:vAlign w:val="center"/>
          </w:tcPr>
          <w:p>
            <w:pPr>
              <w:jc w:val="center"/>
            </w:pPr>
            <w:r/>
            <w:r>
              <w:rPr>
                <w:b w:val="0"/>
                <w:sz w:val="20"/>
              </w:rPr>
              <w:t>17.2%</w:t>
            </w:r>
          </w:p>
        </w:tc>
      </w:tr>
      <w:tr>
        <w:tc>
          <w:tcPr>
            <w:tcW w:type="dxa" w:w="3600"/>
            <w:vAlign w:val="center"/>
          </w:tcPr>
          <w:p>
            <w:pPr>
              <w:jc w:val="left"/>
            </w:pPr>
            <w:r/>
            <w:r>
              <w:rPr>
                <w:b w:val="0"/>
                <w:sz w:val="20"/>
              </w:rPr>
              <w:t>Both</w:t>
            </w:r>
          </w:p>
        </w:tc>
        <w:tc>
          <w:tcPr>
            <w:tcW w:type="dxa" w:w="2160"/>
            <w:vAlign w:val="center"/>
          </w:tcPr>
          <w:p>
            <w:pPr>
              <w:jc w:val="center"/>
            </w:pPr>
            <w:r/>
            <w:r>
              <w:rPr>
                <w:b w:val="0"/>
                <w:sz w:val="20"/>
              </w:rPr>
              <w:t>81</w:t>
            </w:r>
          </w:p>
        </w:tc>
        <w:tc>
          <w:tcPr>
            <w:tcW w:type="dxa" w:w="2160"/>
            <w:vAlign w:val="center"/>
          </w:tcPr>
          <w:p>
            <w:pPr>
              <w:jc w:val="center"/>
            </w:pPr>
            <w:r/>
            <w:r>
              <w:rPr>
                <w:b w:val="0"/>
                <w:sz w:val="20"/>
              </w:rPr>
              <w:t>32.4%</w:t>
            </w:r>
          </w:p>
        </w:tc>
      </w:tr>
      <w:tr>
        <w:tc>
          <w:tcPr>
            <w:tcW w:type="dxa" w:w="3600"/>
            <w:shd w:val="clear" w:color="auto" w:fill="DCE6F1"/>
            <w:vAlign w:val="center"/>
          </w:tcPr>
          <w:p>
            <w:pPr>
              <w:jc w:val="left"/>
            </w:pPr>
            <w:r/>
            <w:r>
              <w:rPr>
                <w:b w:val="0"/>
                <w:sz w:val="20"/>
              </w:rPr>
              <w:t>Neither</w:t>
            </w:r>
          </w:p>
        </w:tc>
        <w:tc>
          <w:tcPr>
            <w:tcW w:type="dxa" w:w="2160"/>
            <w:shd w:val="clear" w:color="auto" w:fill="DCE6F1"/>
            <w:vAlign w:val="center"/>
          </w:tcPr>
          <w:p>
            <w:pPr>
              <w:jc w:val="center"/>
            </w:pPr>
            <w:r/>
            <w:r>
              <w:rPr>
                <w:b w:val="0"/>
                <w:sz w:val="20"/>
              </w:rPr>
              <w:t>82</w:t>
            </w:r>
          </w:p>
        </w:tc>
        <w:tc>
          <w:tcPr>
            <w:tcW w:type="dxa" w:w="2160"/>
            <w:shd w:val="clear" w:color="auto" w:fill="DCE6F1"/>
            <w:vAlign w:val="center"/>
          </w:tcPr>
          <w:p>
            <w:pPr>
              <w:jc w:val="center"/>
            </w:pPr>
            <w:r/>
            <w:r>
              <w:rPr>
                <w:b w:val="0"/>
                <w:sz w:val="20"/>
              </w:rPr>
              <w:t>32.8%</w:t>
            </w:r>
          </w:p>
        </w:tc>
      </w:tr>
    </w:tbl>
    <w:p/>
    <w:p>
      <w:pPr>
        <w:pStyle w:val="Heading3"/>
      </w:pPr>
      <w:r>
        <w:t>Soviet DEW-kill priority marginal</w:t>
      </w:r>
    </w:p>
    <w:tbl>
      <w:tblPr>
        <w:tblStyle w:val="TableGrid"/>
        <w:tblW w:type="auto" w:w="0"/>
        <w:tblLayout w:type="fixed"/>
        <w:tblLook w:firstColumn="1" w:firstRow="1" w:lastColumn="0" w:lastRow="0" w:noHBand="0" w:noVBand="1" w:val="04A0"/>
      </w:tblPr>
      <w:tblGrid>
        <w:gridCol w:w="3120"/>
        <w:gridCol w:w="3120"/>
        <w:gridCol w:w="3120"/>
      </w:tblGrid>
      <w:tr>
        <w:tc>
          <w:tcPr>
            <w:tcW w:type="dxa" w:w="3600"/>
            <w:shd w:val="clear" w:color="auto" w:fill="1F3864"/>
            <w:vAlign w:val="center"/>
          </w:tcPr>
          <w:p>
            <w:pPr>
              <w:jc w:val="center"/>
            </w:pPr>
            <w:r/>
            <w:r>
              <w:rPr>
                <w:b/>
                <w:color w:val="FFFFFF"/>
                <w:sz w:val="20"/>
              </w:rPr>
              <w:t>Category</w:t>
            </w:r>
          </w:p>
        </w:tc>
        <w:tc>
          <w:tcPr>
            <w:tcW w:type="dxa" w:w="2160"/>
            <w:shd w:val="clear" w:color="auto" w:fill="1F3864"/>
            <w:vAlign w:val="center"/>
          </w:tcPr>
          <w:p>
            <w:pPr>
              <w:jc w:val="center"/>
            </w:pPr>
            <w:r/>
            <w:r>
              <w:rPr>
                <w:b/>
                <w:color w:val="FFFFFF"/>
                <w:sz w:val="20"/>
              </w:rPr>
              <w:t>Games</w:t>
            </w:r>
          </w:p>
        </w:tc>
        <w:tc>
          <w:tcPr>
            <w:tcW w:type="dxa" w:w="2160"/>
            <w:shd w:val="clear" w:color="auto" w:fill="1F3864"/>
            <w:vAlign w:val="center"/>
          </w:tcPr>
          <w:p>
            <w:pPr>
              <w:jc w:val="center"/>
            </w:pPr>
            <w:r/>
            <w:r>
              <w:rPr>
                <w:b/>
                <w:color w:val="FFFFFF"/>
                <w:sz w:val="20"/>
              </w:rPr>
              <w:t>% of N=250</w:t>
            </w:r>
          </w:p>
        </w:tc>
      </w:tr>
      <w:tr>
        <w:tc>
          <w:tcPr>
            <w:tcW w:type="dxa" w:w="3600"/>
            <w:vAlign w:val="center"/>
          </w:tcPr>
          <w:p>
            <w:pPr>
              <w:jc w:val="left"/>
            </w:pPr>
            <w:r/>
            <w:r>
              <w:rPr>
                <w:b w:val="0"/>
                <w:sz w:val="20"/>
              </w:rPr>
              <w:t>Anchorage only</w:t>
            </w:r>
          </w:p>
        </w:tc>
        <w:tc>
          <w:tcPr>
            <w:tcW w:type="dxa" w:w="2160"/>
            <w:vAlign w:val="center"/>
          </w:tcPr>
          <w:p>
            <w:pPr>
              <w:jc w:val="center"/>
            </w:pPr>
            <w:r/>
            <w:r>
              <w:rPr>
                <w:b w:val="0"/>
                <w:sz w:val="20"/>
              </w:rPr>
              <w:t>52</w:t>
            </w:r>
          </w:p>
        </w:tc>
        <w:tc>
          <w:tcPr>
            <w:tcW w:type="dxa" w:w="2160"/>
            <w:vAlign w:val="center"/>
          </w:tcPr>
          <w:p>
            <w:pPr>
              <w:jc w:val="center"/>
            </w:pPr>
            <w:r/>
            <w:r>
              <w:rPr>
                <w:b w:val="0"/>
                <w:sz w:val="20"/>
              </w:rPr>
              <w:t>20.8%</w:t>
            </w:r>
          </w:p>
        </w:tc>
      </w:tr>
      <w:tr>
        <w:tc>
          <w:tcPr>
            <w:tcW w:type="dxa" w:w="3600"/>
            <w:shd w:val="clear" w:color="auto" w:fill="DCE6F1"/>
            <w:vAlign w:val="center"/>
          </w:tcPr>
          <w:p>
            <w:pPr>
              <w:jc w:val="left"/>
            </w:pPr>
            <w:r/>
            <w:r>
              <w:rPr>
                <w:b w:val="0"/>
                <w:sz w:val="20"/>
              </w:rPr>
              <w:t>Godthab only</w:t>
            </w:r>
          </w:p>
        </w:tc>
        <w:tc>
          <w:tcPr>
            <w:tcW w:type="dxa" w:w="2160"/>
            <w:shd w:val="clear" w:color="auto" w:fill="DCE6F1"/>
            <w:vAlign w:val="center"/>
          </w:tcPr>
          <w:p>
            <w:pPr>
              <w:jc w:val="center"/>
            </w:pPr>
            <w:r/>
            <w:r>
              <w:rPr>
                <w:b w:val="0"/>
                <w:sz w:val="20"/>
              </w:rPr>
              <w:t>81</w:t>
            </w:r>
          </w:p>
        </w:tc>
        <w:tc>
          <w:tcPr>
            <w:tcW w:type="dxa" w:w="2160"/>
            <w:shd w:val="clear" w:color="auto" w:fill="DCE6F1"/>
            <w:vAlign w:val="center"/>
          </w:tcPr>
          <w:p>
            <w:pPr>
              <w:jc w:val="center"/>
            </w:pPr>
            <w:r/>
            <w:r>
              <w:rPr>
                <w:b w:val="0"/>
                <w:sz w:val="20"/>
              </w:rPr>
              <w:t>32.4%</w:t>
            </w:r>
          </w:p>
        </w:tc>
      </w:tr>
      <w:tr>
        <w:tc>
          <w:tcPr>
            <w:tcW w:type="dxa" w:w="3600"/>
            <w:vAlign w:val="center"/>
          </w:tcPr>
          <w:p>
            <w:pPr>
              <w:jc w:val="left"/>
            </w:pPr>
            <w:r/>
            <w:r>
              <w:rPr>
                <w:b w:val="0"/>
                <w:sz w:val="20"/>
              </w:rPr>
              <w:t>Both</w:t>
            </w:r>
          </w:p>
        </w:tc>
        <w:tc>
          <w:tcPr>
            <w:tcW w:type="dxa" w:w="2160"/>
            <w:vAlign w:val="center"/>
          </w:tcPr>
          <w:p>
            <w:pPr>
              <w:jc w:val="center"/>
            </w:pPr>
            <w:r/>
            <w:r>
              <w:rPr>
                <w:b w:val="0"/>
                <w:sz w:val="20"/>
              </w:rPr>
              <w:t>76</w:t>
            </w:r>
          </w:p>
        </w:tc>
        <w:tc>
          <w:tcPr>
            <w:tcW w:type="dxa" w:w="2160"/>
            <w:vAlign w:val="center"/>
          </w:tcPr>
          <w:p>
            <w:pPr>
              <w:jc w:val="center"/>
            </w:pPr>
            <w:r/>
            <w:r>
              <w:rPr>
                <w:b w:val="0"/>
                <w:sz w:val="20"/>
              </w:rPr>
              <w:t>30.4%</w:t>
            </w:r>
          </w:p>
        </w:tc>
      </w:tr>
      <w:tr>
        <w:tc>
          <w:tcPr>
            <w:tcW w:type="dxa" w:w="3600"/>
            <w:shd w:val="clear" w:color="auto" w:fill="DCE6F1"/>
            <w:vAlign w:val="center"/>
          </w:tcPr>
          <w:p>
            <w:pPr>
              <w:jc w:val="left"/>
            </w:pPr>
            <w:r/>
            <w:r>
              <w:rPr>
                <w:b w:val="0"/>
                <w:sz w:val="20"/>
              </w:rPr>
              <w:t>Neither</w:t>
            </w:r>
          </w:p>
        </w:tc>
        <w:tc>
          <w:tcPr>
            <w:tcW w:type="dxa" w:w="2160"/>
            <w:shd w:val="clear" w:color="auto" w:fill="DCE6F1"/>
            <w:vAlign w:val="center"/>
          </w:tcPr>
          <w:p>
            <w:pPr>
              <w:jc w:val="center"/>
            </w:pPr>
            <w:r/>
            <w:r>
              <w:rPr>
                <w:b w:val="0"/>
                <w:sz w:val="20"/>
              </w:rPr>
              <w:t>41</w:t>
            </w:r>
          </w:p>
        </w:tc>
        <w:tc>
          <w:tcPr>
            <w:tcW w:type="dxa" w:w="2160"/>
            <w:shd w:val="clear" w:color="auto" w:fill="DCE6F1"/>
            <w:vAlign w:val="center"/>
          </w:tcPr>
          <w:p>
            <w:pPr>
              <w:jc w:val="center"/>
            </w:pPr>
            <w:r/>
            <w:r>
              <w:rPr>
                <w:b w:val="0"/>
                <w:sz w:val="20"/>
              </w:rPr>
              <w:t>16.4%</w:t>
            </w:r>
          </w:p>
        </w:tc>
      </w:tr>
    </w:tbl>
    <w:p/>
    <w:p>
      <w:pPr>
        <w:pStyle w:val="Heading3"/>
      </w:pPr>
      <w:r>
        <w:t>Crosstab: American win% (n games, avg Soviet points)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304"/>
            <w:shd w:val="clear" w:color="auto" w:fill="1F3864"/>
            <w:vAlign w:val="center"/>
          </w:tcPr>
          <w:p>
            <w:pPr>
              <w:jc w:val="center"/>
            </w:pPr>
            <w:r/>
            <w:r>
              <w:rPr>
                <w:b/>
                <w:color w:val="FFFFFF"/>
                <w:sz w:val="20"/>
              </w:rPr>
              <w:t>US missile \ Soviet priority</w:t>
            </w:r>
          </w:p>
        </w:tc>
        <w:tc>
          <w:tcPr>
            <w:tcW w:type="dxa" w:w="1764"/>
            <w:shd w:val="clear" w:color="auto" w:fill="1F3864"/>
            <w:vAlign w:val="center"/>
          </w:tcPr>
          <w:p>
            <w:pPr>
              <w:jc w:val="center"/>
            </w:pPr>
            <w:r/>
            <w:r>
              <w:rPr>
                <w:b/>
                <w:color w:val="FFFFFF"/>
                <w:sz w:val="20"/>
              </w:rPr>
              <w:t>Anchorage only</w:t>
            </w:r>
          </w:p>
        </w:tc>
        <w:tc>
          <w:tcPr>
            <w:tcW w:type="dxa" w:w="1764"/>
            <w:shd w:val="clear" w:color="auto" w:fill="1F3864"/>
            <w:vAlign w:val="center"/>
          </w:tcPr>
          <w:p>
            <w:pPr>
              <w:jc w:val="center"/>
            </w:pPr>
            <w:r/>
            <w:r>
              <w:rPr>
                <w:b/>
                <w:color w:val="FFFFFF"/>
                <w:sz w:val="20"/>
              </w:rPr>
              <w:t>Godthab only</w:t>
            </w:r>
          </w:p>
        </w:tc>
        <w:tc>
          <w:tcPr>
            <w:tcW w:type="dxa" w:w="1764"/>
            <w:shd w:val="clear" w:color="auto" w:fill="1F3864"/>
            <w:vAlign w:val="center"/>
          </w:tcPr>
          <w:p>
            <w:pPr>
              <w:jc w:val="center"/>
            </w:pPr>
            <w:r/>
            <w:r>
              <w:rPr>
                <w:b/>
                <w:color w:val="FFFFFF"/>
                <w:sz w:val="20"/>
              </w:rPr>
              <w:t>Both</w:t>
            </w:r>
          </w:p>
        </w:tc>
        <w:tc>
          <w:tcPr>
            <w:tcW w:type="dxa" w:w="1764"/>
            <w:shd w:val="clear" w:color="auto" w:fill="1F3864"/>
            <w:vAlign w:val="center"/>
          </w:tcPr>
          <w:p>
            <w:pPr>
              <w:jc w:val="center"/>
            </w:pPr>
            <w:r/>
            <w:r>
              <w:rPr>
                <w:b/>
                <w:color w:val="FFFFFF"/>
                <w:sz w:val="20"/>
              </w:rPr>
              <w:t>Neither</w:t>
            </w:r>
          </w:p>
        </w:tc>
      </w:tr>
      <w:tr>
        <w:tc>
          <w:tcPr>
            <w:tcW w:type="dxa" w:w="2304"/>
            <w:vAlign w:val="center"/>
          </w:tcPr>
          <w:p>
            <w:pPr>
              <w:jc w:val="left"/>
            </w:pPr>
            <w:r/>
            <w:r>
              <w:rPr>
                <w:b/>
                <w:sz w:val="20"/>
              </w:rPr>
              <w:t>Anchorage only</w:t>
            </w:r>
          </w:p>
        </w:tc>
        <w:tc>
          <w:tcPr>
            <w:tcW w:type="dxa" w:w="1764"/>
            <w:vAlign w:val="center"/>
          </w:tcPr>
          <w:p>
            <w:pPr>
              <w:jc w:val="center"/>
            </w:pPr>
            <w:r/>
            <w:r>
              <w:rPr>
                <w:b/>
                <w:sz w:val="22"/>
              </w:rPr>
              <w:t>63.6%</w:t>
            </w:r>
          </w:p>
          <w:p>
            <w:pPr>
              <w:jc w:val="center"/>
            </w:pPr>
            <w:r>
              <w:rPr>
                <w:color w:val="555555"/>
                <w:sz w:val="16"/>
              </w:rPr>
              <w:t>n=11, avg 98</w:t>
            </w:r>
          </w:p>
        </w:tc>
        <w:tc>
          <w:tcPr>
            <w:tcW w:type="dxa" w:w="1764"/>
            <w:vAlign w:val="center"/>
          </w:tcPr>
          <w:p>
            <w:pPr>
              <w:jc w:val="center"/>
            </w:pPr>
            <w:r/>
            <w:r>
              <w:rPr>
                <w:b/>
                <w:sz w:val="22"/>
              </w:rPr>
              <w:t>61.5%</w:t>
            </w:r>
          </w:p>
          <w:p>
            <w:pPr>
              <w:jc w:val="center"/>
            </w:pPr>
            <w:r>
              <w:rPr>
                <w:color w:val="555555"/>
                <w:sz w:val="16"/>
              </w:rPr>
              <w:t>n=13, avg 98</w:t>
            </w:r>
          </w:p>
        </w:tc>
        <w:tc>
          <w:tcPr>
            <w:tcW w:type="dxa" w:w="1764"/>
            <w:vAlign w:val="center"/>
          </w:tcPr>
          <w:p>
            <w:pPr>
              <w:jc w:val="center"/>
            </w:pPr>
            <w:r/>
            <w:r>
              <w:rPr>
                <w:b/>
                <w:sz w:val="22"/>
              </w:rPr>
              <w:t>53.8%</w:t>
            </w:r>
          </w:p>
          <w:p>
            <w:pPr>
              <w:jc w:val="center"/>
            </w:pPr>
            <w:r>
              <w:rPr>
                <w:color w:val="555555"/>
                <w:sz w:val="16"/>
              </w:rPr>
              <w:t>n=13, avg 100</w:t>
            </w:r>
          </w:p>
        </w:tc>
        <w:tc>
          <w:tcPr>
            <w:tcW w:type="dxa" w:w="1764"/>
            <w:vAlign w:val="center"/>
          </w:tcPr>
          <w:p>
            <w:pPr>
              <w:jc w:val="center"/>
            </w:pPr>
            <w:r/>
            <w:r>
              <w:rPr>
                <w:b/>
                <w:sz w:val="22"/>
              </w:rPr>
              <w:t>71.4%</w:t>
            </w:r>
          </w:p>
          <w:p>
            <w:pPr>
              <w:jc w:val="center"/>
            </w:pPr>
            <w:r>
              <w:rPr>
                <w:color w:val="555555"/>
                <w:sz w:val="16"/>
              </w:rPr>
              <w:t>n=7, avg 98</w:t>
            </w:r>
          </w:p>
        </w:tc>
      </w:tr>
      <w:tr>
        <w:tc>
          <w:tcPr>
            <w:tcW w:type="dxa" w:w="2304"/>
            <w:shd w:val="clear" w:color="auto" w:fill="DCE6F1"/>
            <w:vAlign w:val="center"/>
          </w:tcPr>
          <w:p>
            <w:pPr>
              <w:jc w:val="left"/>
            </w:pPr>
            <w:r/>
            <w:r>
              <w:rPr>
                <w:b/>
                <w:sz w:val="20"/>
              </w:rPr>
              <w:t>Godthab only</w:t>
            </w:r>
          </w:p>
        </w:tc>
        <w:tc>
          <w:tcPr>
            <w:tcW w:type="dxa" w:w="1764"/>
            <w:shd w:val="clear" w:color="auto" w:fill="DCE6F1"/>
            <w:vAlign w:val="center"/>
          </w:tcPr>
          <w:p>
            <w:pPr>
              <w:jc w:val="center"/>
            </w:pPr>
            <w:r/>
            <w:r>
              <w:rPr>
                <w:b/>
                <w:sz w:val="22"/>
              </w:rPr>
              <w:t>44.4%</w:t>
            </w:r>
          </w:p>
          <w:p>
            <w:pPr>
              <w:jc w:val="center"/>
            </w:pPr>
            <w:r>
              <w:rPr>
                <w:color w:val="555555"/>
                <w:sz w:val="16"/>
              </w:rPr>
              <w:t>n=9, avg 102</w:t>
            </w:r>
          </w:p>
        </w:tc>
        <w:tc>
          <w:tcPr>
            <w:tcW w:type="dxa" w:w="1764"/>
            <w:shd w:val="clear" w:color="auto" w:fill="DCE6F1"/>
            <w:vAlign w:val="center"/>
          </w:tcPr>
          <w:p>
            <w:pPr>
              <w:jc w:val="center"/>
            </w:pPr>
            <w:r/>
            <w:r>
              <w:rPr>
                <w:b/>
                <w:sz w:val="22"/>
              </w:rPr>
              <w:t>33.3%</w:t>
            </w:r>
          </w:p>
          <w:p>
            <w:pPr>
              <w:jc w:val="center"/>
            </w:pPr>
            <w:r>
              <w:rPr>
                <w:color w:val="555555"/>
                <w:sz w:val="16"/>
              </w:rPr>
              <w:t>n=15, avg 101</w:t>
            </w:r>
          </w:p>
        </w:tc>
        <w:tc>
          <w:tcPr>
            <w:tcW w:type="dxa" w:w="1764"/>
            <w:shd w:val="clear" w:color="auto" w:fill="DCE6F1"/>
            <w:vAlign w:val="center"/>
          </w:tcPr>
          <w:p>
            <w:pPr>
              <w:jc w:val="center"/>
            </w:pPr>
            <w:r/>
            <w:r>
              <w:rPr>
                <w:b/>
                <w:sz w:val="22"/>
              </w:rPr>
              <w:t>18.2%</w:t>
            </w:r>
          </w:p>
          <w:p>
            <w:pPr>
              <w:jc w:val="center"/>
            </w:pPr>
            <w:r>
              <w:rPr>
                <w:color w:val="555555"/>
                <w:sz w:val="16"/>
              </w:rPr>
              <w:t>n=11, avg 106</w:t>
            </w:r>
          </w:p>
        </w:tc>
        <w:tc>
          <w:tcPr>
            <w:tcW w:type="dxa" w:w="1764"/>
            <w:shd w:val="clear" w:color="auto" w:fill="DCE6F1"/>
            <w:vAlign w:val="center"/>
          </w:tcPr>
          <w:p>
            <w:pPr>
              <w:jc w:val="center"/>
            </w:pPr>
            <w:r/>
            <w:r>
              <w:rPr>
                <w:b/>
                <w:sz w:val="22"/>
              </w:rPr>
              <w:t>75.0%</w:t>
            </w:r>
          </w:p>
          <w:p>
            <w:pPr>
              <w:jc w:val="center"/>
            </w:pPr>
            <w:r>
              <w:rPr>
                <w:color w:val="555555"/>
                <w:sz w:val="16"/>
              </w:rPr>
              <w:t>n=8, avg 96</w:t>
            </w:r>
          </w:p>
        </w:tc>
      </w:tr>
      <w:tr>
        <w:tc>
          <w:tcPr>
            <w:tcW w:type="dxa" w:w="2304"/>
            <w:vAlign w:val="center"/>
          </w:tcPr>
          <w:p>
            <w:pPr>
              <w:jc w:val="left"/>
            </w:pPr>
            <w:r/>
            <w:r>
              <w:rPr>
                <w:b/>
                <w:sz w:val="20"/>
              </w:rPr>
              <w:t>Both</w:t>
            </w:r>
          </w:p>
        </w:tc>
        <w:tc>
          <w:tcPr>
            <w:tcW w:type="dxa" w:w="1764"/>
            <w:vAlign w:val="center"/>
          </w:tcPr>
          <w:p>
            <w:pPr>
              <w:jc w:val="center"/>
            </w:pPr>
            <w:r/>
            <w:r>
              <w:rPr>
                <w:b/>
                <w:sz w:val="22"/>
              </w:rPr>
              <w:t>69.2%</w:t>
            </w:r>
          </w:p>
          <w:p>
            <w:pPr>
              <w:jc w:val="center"/>
            </w:pPr>
            <w:r>
              <w:rPr>
                <w:color w:val="555555"/>
                <w:sz w:val="16"/>
              </w:rPr>
              <w:t>n=13, avg 98</w:t>
            </w:r>
          </w:p>
        </w:tc>
        <w:tc>
          <w:tcPr>
            <w:tcW w:type="dxa" w:w="1764"/>
            <w:vAlign w:val="center"/>
          </w:tcPr>
          <w:p>
            <w:pPr>
              <w:jc w:val="center"/>
            </w:pPr>
            <w:r/>
            <w:r>
              <w:rPr>
                <w:b/>
                <w:sz w:val="22"/>
              </w:rPr>
              <w:t>68.0%</w:t>
            </w:r>
          </w:p>
          <w:p>
            <w:pPr>
              <w:jc w:val="center"/>
            </w:pPr>
            <w:r>
              <w:rPr>
                <w:color w:val="555555"/>
                <w:sz w:val="16"/>
              </w:rPr>
              <w:t>n=25, avg 96</w:t>
            </w:r>
          </w:p>
        </w:tc>
        <w:tc>
          <w:tcPr>
            <w:tcW w:type="dxa" w:w="1764"/>
            <w:vAlign w:val="center"/>
          </w:tcPr>
          <w:p>
            <w:pPr>
              <w:jc w:val="center"/>
            </w:pPr>
            <w:r/>
            <w:r>
              <w:rPr>
                <w:b/>
                <w:sz w:val="22"/>
              </w:rPr>
              <w:t>71.9%</w:t>
            </w:r>
          </w:p>
          <w:p>
            <w:pPr>
              <w:jc w:val="center"/>
            </w:pPr>
            <w:r>
              <w:rPr>
                <w:color w:val="555555"/>
                <w:sz w:val="16"/>
              </w:rPr>
              <w:t>n=32, avg 94</w:t>
            </w:r>
          </w:p>
        </w:tc>
        <w:tc>
          <w:tcPr>
            <w:tcW w:type="dxa" w:w="1764"/>
            <w:vAlign w:val="center"/>
          </w:tcPr>
          <w:p>
            <w:pPr>
              <w:jc w:val="center"/>
            </w:pPr>
            <w:r/>
            <w:r>
              <w:rPr>
                <w:b/>
                <w:sz w:val="22"/>
              </w:rPr>
              <w:t>63.6%</w:t>
            </w:r>
          </w:p>
          <w:p>
            <w:pPr>
              <w:jc w:val="center"/>
            </w:pPr>
            <w:r>
              <w:rPr>
                <w:color w:val="555555"/>
                <w:sz w:val="16"/>
              </w:rPr>
              <w:t>n=11, avg 98</w:t>
            </w:r>
          </w:p>
        </w:tc>
      </w:tr>
      <w:tr>
        <w:tc>
          <w:tcPr>
            <w:tcW w:type="dxa" w:w="2304"/>
            <w:shd w:val="clear" w:color="auto" w:fill="DCE6F1"/>
            <w:vAlign w:val="center"/>
          </w:tcPr>
          <w:p>
            <w:pPr>
              <w:jc w:val="left"/>
            </w:pPr>
            <w:r/>
            <w:r>
              <w:rPr>
                <w:b/>
                <w:sz w:val="20"/>
              </w:rPr>
              <w:t>Neither</w:t>
            </w:r>
          </w:p>
        </w:tc>
        <w:tc>
          <w:tcPr>
            <w:tcW w:type="dxa" w:w="1764"/>
            <w:shd w:val="clear" w:color="auto" w:fill="DCE6F1"/>
            <w:vAlign w:val="center"/>
          </w:tcPr>
          <w:p>
            <w:pPr>
              <w:jc w:val="center"/>
            </w:pPr>
            <w:r/>
            <w:r>
              <w:rPr>
                <w:b/>
                <w:sz w:val="22"/>
              </w:rPr>
              <w:t>52.6%</w:t>
            </w:r>
          </w:p>
          <w:p>
            <w:pPr>
              <w:jc w:val="center"/>
            </w:pPr>
            <w:r>
              <w:rPr>
                <w:color w:val="555555"/>
                <w:sz w:val="16"/>
              </w:rPr>
              <w:t>n=19, avg 101</w:t>
            </w:r>
          </w:p>
        </w:tc>
        <w:tc>
          <w:tcPr>
            <w:tcW w:type="dxa" w:w="1764"/>
            <w:shd w:val="clear" w:color="auto" w:fill="DCE6F1"/>
            <w:vAlign w:val="center"/>
          </w:tcPr>
          <w:p>
            <w:pPr>
              <w:jc w:val="center"/>
            </w:pPr>
            <w:r/>
            <w:r>
              <w:rPr>
                <w:b/>
                <w:sz w:val="22"/>
              </w:rPr>
              <w:t>60.7%</w:t>
            </w:r>
          </w:p>
          <w:p>
            <w:pPr>
              <w:jc w:val="center"/>
            </w:pPr>
            <w:r>
              <w:rPr>
                <w:color w:val="555555"/>
                <w:sz w:val="16"/>
              </w:rPr>
              <w:t>n=28, avg 97</w:t>
            </w:r>
          </w:p>
        </w:tc>
        <w:tc>
          <w:tcPr>
            <w:tcW w:type="dxa" w:w="1764"/>
            <w:shd w:val="clear" w:color="auto" w:fill="DCE6F1"/>
            <w:vAlign w:val="center"/>
          </w:tcPr>
          <w:p>
            <w:pPr>
              <w:jc w:val="center"/>
            </w:pPr>
            <w:r/>
            <w:r>
              <w:rPr>
                <w:b/>
                <w:sz w:val="22"/>
              </w:rPr>
              <w:t>55.0%</w:t>
            </w:r>
          </w:p>
          <w:p>
            <w:pPr>
              <w:jc w:val="center"/>
            </w:pPr>
            <w:r>
              <w:rPr>
                <w:color w:val="555555"/>
                <w:sz w:val="16"/>
              </w:rPr>
              <w:t>n=20, avg 98</w:t>
            </w:r>
          </w:p>
        </w:tc>
        <w:tc>
          <w:tcPr>
            <w:tcW w:type="dxa" w:w="1764"/>
            <w:shd w:val="clear" w:color="auto" w:fill="DCE6F1"/>
            <w:vAlign w:val="center"/>
          </w:tcPr>
          <w:p>
            <w:pPr>
              <w:jc w:val="center"/>
            </w:pPr>
            <w:r/>
            <w:r>
              <w:rPr>
                <w:b/>
                <w:sz w:val="22"/>
              </w:rPr>
              <w:t>40.0%</w:t>
            </w:r>
          </w:p>
          <w:p>
            <w:pPr>
              <w:jc w:val="center"/>
            </w:pPr>
            <w:r>
              <w:rPr>
                <w:color w:val="555555"/>
                <w:sz w:val="16"/>
              </w:rPr>
              <w:t>n=15, avg 99</w:t>
            </w:r>
          </w:p>
        </w:tc>
      </w:tr>
    </w:tbl>
    <w:p/>
    <w:p>
      <w:pPr>
        <w:pStyle w:val="Heading3"/>
      </w:pPr>
      <w:r>
        <w:t>Key findings</w:t>
      </w:r>
    </w:p>
    <w:p>
      <w:pPr>
        <w:pStyle w:val="ListBullet"/>
      </w:pPr>
      <w:r>
        <w:t>Worst matchup for the American: defending Godthab only while the Soviet prioritizes Godthab (33% win) or both anchors (18% win) - the single weakest cell in the table.</w:t>
      </w:r>
    </w:p>
    <w:p>
      <w:pPr>
        <w:pStyle w:val="ListBullet"/>
      </w:pPr>
      <w:r>
        <w:t>The mirror case is much stronger: defending Anchorage only against a Soviet Anchorage/both priority holds up at 54-64% - a real asymmetry between the two anchors, not just “defending one anchor is risky.”</w:t>
      </w:r>
    </w:p>
    <w:p>
      <w:pPr>
        <w:pStyle w:val="ListBullet"/>
      </w:pPr>
      <w:r>
        <w:t>Defending both anchors is the American's strongest overall posture (63-72% across every Soviet priority profile, peaking at 72% when the Soviet also commits to both) - forcing the Soviet to spend two bombers per anchor to overload each missile silhouette is a costly diversion.</w:t>
      </w:r>
    </w:p>
    <w:p>
      <w:pPr>
        <w:pStyle w:val="ListBullet"/>
      </w:pPr>
      <w:r>
        <w:t>Weakest overall American posture: neither anchor defended and neither prioritized by the Soviet (40% win) - with no anchor missile to bait a diversion, Soviet resources flow straight to higher-value cities.</w:t>
      </w:r>
    </w:p>
    <w:p>
      <w:r>
        <w:br w:type="page"/>
      </w:r>
    </w:p>
    <w:p>
      <w:pPr>
        <w:pStyle w:val="Heading1"/>
      </w:pPr>
      <w:r>
        <w:t>Experiment B - DEW Detection at 33% / 16.7% (reduced)</w:t>
      </w:r>
    </w:p>
    <w:p>
      <w:r>
        <w:t>N = 250 games, same seeds 50000-50249. Placement/priority marginals are unchanged (that logic was not touched), reproduced here for reference.</w:t>
      </w:r>
    </w:p>
    <w:p>
      <w:pPr>
        <w:pStyle w:val="Heading3"/>
      </w:pPr>
      <w:r>
        <w:t>American missile placement marginal</w:t>
      </w:r>
    </w:p>
    <w:tbl>
      <w:tblPr>
        <w:tblStyle w:val="TableGrid"/>
        <w:tblW w:type="auto" w:w="0"/>
        <w:tblLayout w:type="fixed"/>
        <w:tblLook w:firstColumn="1" w:firstRow="1" w:lastColumn="0" w:lastRow="0" w:noHBand="0" w:noVBand="1" w:val="04A0"/>
      </w:tblPr>
      <w:tblGrid>
        <w:gridCol w:w="3120"/>
        <w:gridCol w:w="3120"/>
        <w:gridCol w:w="3120"/>
      </w:tblGrid>
      <w:tr>
        <w:tc>
          <w:tcPr>
            <w:tcW w:type="dxa" w:w="3600"/>
            <w:shd w:val="clear" w:color="auto" w:fill="1F3864"/>
            <w:vAlign w:val="center"/>
          </w:tcPr>
          <w:p>
            <w:pPr>
              <w:jc w:val="center"/>
            </w:pPr>
            <w:r/>
            <w:r>
              <w:rPr>
                <w:b/>
                <w:color w:val="FFFFFF"/>
                <w:sz w:val="20"/>
              </w:rPr>
              <w:t>Category</w:t>
            </w:r>
          </w:p>
        </w:tc>
        <w:tc>
          <w:tcPr>
            <w:tcW w:type="dxa" w:w="2160"/>
            <w:shd w:val="clear" w:color="auto" w:fill="1F3864"/>
            <w:vAlign w:val="center"/>
          </w:tcPr>
          <w:p>
            <w:pPr>
              <w:jc w:val="center"/>
            </w:pPr>
            <w:r/>
            <w:r>
              <w:rPr>
                <w:b/>
                <w:color w:val="FFFFFF"/>
                <w:sz w:val="20"/>
              </w:rPr>
              <w:t>Games</w:t>
            </w:r>
          </w:p>
        </w:tc>
        <w:tc>
          <w:tcPr>
            <w:tcW w:type="dxa" w:w="2160"/>
            <w:shd w:val="clear" w:color="auto" w:fill="1F3864"/>
            <w:vAlign w:val="center"/>
          </w:tcPr>
          <w:p>
            <w:pPr>
              <w:jc w:val="center"/>
            </w:pPr>
            <w:r/>
            <w:r>
              <w:rPr>
                <w:b/>
                <w:color w:val="FFFFFF"/>
                <w:sz w:val="20"/>
              </w:rPr>
              <w:t>% of N=250</w:t>
            </w:r>
          </w:p>
        </w:tc>
      </w:tr>
      <w:tr>
        <w:tc>
          <w:tcPr>
            <w:tcW w:type="dxa" w:w="3600"/>
            <w:vAlign w:val="center"/>
          </w:tcPr>
          <w:p>
            <w:pPr>
              <w:jc w:val="left"/>
            </w:pPr>
            <w:r/>
            <w:r>
              <w:rPr>
                <w:b w:val="0"/>
                <w:sz w:val="20"/>
              </w:rPr>
              <w:t>Anchorage only</w:t>
            </w:r>
          </w:p>
        </w:tc>
        <w:tc>
          <w:tcPr>
            <w:tcW w:type="dxa" w:w="2160"/>
            <w:vAlign w:val="center"/>
          </w:tcPr>
          <w:p>
            <w:pPr>
              <w:jc w:val="center"/>
            </w:pPr>
            <w:r/>
            <w:r>
              <w:rPr>
                <w:b w:val="0"/>
                <w:sz w:val="20"/>
              </w:rPr>
              <w:t>44</w:t>
            </w:r>
          </w:p>
        </w:tc>
        <w:tc>
          <w:tcPr>
            <w:tcW w:type="dxa" w:w="2160"/>
            <w:vAlign w:val="center"/>
          </w:tcPr>
          <w:p>
            <w:pPr>
              <w:jc w:val="center"/>
            </w:pPr>
            <w:r/>
            <w:r>
              <w:rPr>
                <w:b w:val="0"/>
                <w:sz w:val="20"/>
              </w:rPr>
              <w:t>17.6%</w:t>
            </w:r>
          </w:p>
        </w:tc>
      </w:tr>
      <w:tr>
        <w:tc>
          <w:tcPr>
            <w:tcW w:type="dxa" w:w="3600"/>
            <w:shd w:val="clear" w:color="auto" w:fill="DCE6F1"/>
            <w:vAlign w:val="center"/>
          </w:tcPr>
          <w:p>
            <w:pPr>
              <w:jc w:val="left"/>
            </w:pPr>
            <w:r/>
            <w:r>
              <w:rPr>
                <w:b w:val="0"/>
                <w:sz w:val="20"/>
              </w:rPr>
              <w:t>Godthab only</w:t>
            </w:r>
          </w:p>
        </w:tc>
        <w:tc>
          <w:tcPr>
            <w:tcW w:type="dxa" w:w="2160"/>
            <w:shd w:val="clear" w:color="auto" w:fill="DCE6F1"/>
            <w:vAlign w:val="center"/>
          </w:tcPr>
          <w:p>
            <w:pPr>
              <w:jc w:val="center"/>
            </w:pPr>
            <w:r/>
            <w:r>
              <w:rPr>
                <w:b w:val="0"/>
                <w:sz w:val="20"/>
              </w:rPr>
              <w:t>43</w:t>
            </w:r>
          </w:p>
        </w:tc>
        <w:tc>
          <w:tcPr>
            <w:tcW w:type="dxa" w:w="2160"/>
            <w:shd w:val="clear" w:color="auto" w:fill="DCE6F1"/>
            <w:vAlign w:val="center"/>
          </w:tcPr>
          <w:p>
            <w:pPr>
              <w:jc w:val="center"/>
            </w:pPr>
            <w:r/>
            <w:r>
              <w:rPr>
                <w:b w:val="0"/>
                <w:sz w:val="20"/>
              </w:rPr>
              <w:t>17.2%</w:t>
            </w:r>
          </w:p>
        </w:tc>
      </w:tr>
      <w:tr>
        <w:tc>
          <w:tcPr>
            <w:tcW w:type="dxa" w:w="3600"/>
            <w:vAlign w:val="center"/>
          </w:tcPr>
          <w:p>
            <w:pPr>
              <w:jc w:val="left"/>
            </w:pPr>
            <w:r/>
            <w:r>
              <w:rPr>
                <w:b w:val="0"/>
                <w:sz w:val="20"/>
              </w:rPr>
              <w:t>Both</w:t>
            </w:r>
          </w:p>
        </w:tc>
        <w:tc>
          <w:tcPr>
            <w:tcW w:type="dxa" w:w="2160"/>
            <w:vAlign w:val="center"/>
          </w:tcPr>
          <w:p>
            <w:pPr>
              <w:jc w:val="center"/>
            </w:pPr>
            <w:r/>
            <w:r>
              <w:rPr>
                <w:b w:val="0"/>
                <w:sz w:val="20"/>
              </w:rPr>
              <w:t>81</w:t>
            </w:r>
          </w:p>
        </w:tc>
        <w:tc>
          <w:tcPr>
            <w:tcW w:type="dxa" w:w="2160"/>
            <w:vAlign w:val="center"/>
          </w:tcPr>
          <w:p>
            <w:pPr>
              <w:jc w:val="center"/>
            </w:pPr>
            <w:r/>
            <w:r>
              <w:rPr>
                <w:b w:val="0"/>
                <w:sz w:val="20"/>
              </w:rPr>
              <w:t>32.4%</w:t>
            </w:r>
          </w:p>
        </w:tc>
      </w:tr>
      <w:tr>
        <w:tc>
          <w:tcPr>
            <w:tcW w:type="dxa" w:w="3600"/>
            <w:shd w:val="clear" w:color="auto" w:fill="DCE6F1"/>
            <w:vAlign w:val="center"/>
          </w:tcPr>
          <w:p>
            <w:pPr>
              <w:jc w:val="left"/>
            </w:pPr>
            <w:r/>
            <w:r>
              <w:rPr>
                <w:b w:val="0"/>
                <w:sz w:val="20"/>
              </w:rPr>
              <w:t>Neither</w:t>
            </w:r>
          </w:p>
        </w:tc>
        <w:tc>
          <w:tcPr>
            <w:tcW w:type="dxa" w:w="2160"/>
            <w:shd w:val="clear" w:color="auto" w:fill="DCE6F1"/>
            <w:vAlign w:val="center"/>
          </w:tcPr>
          <w:p>
            <w:pPr>
              <w:jc w:val="center"/>
            </w:pPr>
            <w:r/>
            <w:r>
              <w:rPr>
                <w:b w:val="0"/>
                <w:sz w:val="20"/>
              </w:rPr>
              <w:t>82</w:t>
            </w:r>
          </w:p>
        </w:tc>
        <w:tc>
          <w:tcPr>
            <w:tcW w:type="dxa" w:w="2160"/>
            <w:shd w:val="clear" w:color="auto" w:fill="DCE6F1"/>
            <w:vAlign w:val="center"/>
          </w:tcPr>
          <w:p>
            <w:pPr>
              <w:jc w:val="center"/>
            </w:pPr>
            <w:r/>
            <w:r>
              <w:rPr>
                <w:b w:val="0"/>
                <w:sz w:val="20"/>
              </w:rPr>
              <w:t>32.8%</w:t>
            </w:r>
          </w:p>
        </w:tc>
      </w:tr>
    </w:tbl>
    <w:p/>
    <w:p>
      <w:pPr>
        <w:pStyle w:val="Heading3"/>
      </w:pPr>
      <w:r>
        <w:t>Soviet DEW-kill priority marginal</w:t>
      </w:r>
    </w:p>
    <w:tbl>
      <w:tblPr>
        <w:tblStyle w:val="TableGrid"/>
        <w:tblW w:type="auto" w:w="0"/>
        <w:tblLayout w:type="fixed"/>
        <w:tblLook w:firstColumn="1" w:firstRow="1" w:lastColumn="0" w:lastRow="0" w:noHBand="0" w:noVBand="1" w:val="04A0"/>
      </w:tblPr>
      <w:tblGrid>
        <w:gridCol w:w="3120"/>
        <w:gridCol w:w="3120"/>
        <w:gridCol w:w="3120"/>
      </w:tblGrid>
      <w:tr>
        <w:tc>
          <w:tcPr>
            <w:tcW w:type="dxa" w:w="3600"/>
            <w:shd w:val="clear" w:color="auto" w:fill="1F3864"/>
            <w:vAlign w:val="center"/>
          </w:tcPr>
          <w:p>
            <w:pPr>
              <w:jc w:val="center"/>
            </w:pPr>
            <w:r/>
            <w:r>
              <w:rPr>
                <w:b/>
                <w:color w:val="FFFFFF"/>
                <w:sz w:val="20"/>
              </w:rPr>
              <w:t>Category</w:t>
            </w:r>
          </w:p>
        </w:tc>
        <w:tc>
          <w:tcPr>
            <w:tcW w:type="dxa" w:w="2160"/>
            <w:shd w:val="clear" w:color="auto" w:fill="1F3864"/>
            <w:vAlign w:val="center"/>
          </w:tcPr>
          <w:p>
            <w:pPr>
              <w:jc w:val="center"/>
            </w:pPr>
            <w:r/>
            <w:r>
              <w:rPr>
                <w:b/>
                <w:color w:val="FFFFFF"/>
                <w:sz w:val="20"/>
              </w:rPr>
              <w:t>Games</w:t>
            </w:r>
          </w:p>
        </w:tc>
        <w:tc>
          <w:tcPr>
            <w:tcW w:type="dxa" w:w="2160"/>
            <w:shd w:val="clear" w:color="auto" w:fill="1F3864"/>
            <w:vAlign w:val="center"/>
          </w:tcPr>
          <w:p>
            <w:pPr>
              <w:jc w:val="center"/>
            </w:pPr>
            <w:r/>
            <w:r>
              <w:rPr>
                <w:b/>
                <w:color w:val="FFFFFF"/>
                <w:sz w:val="20"/>
              </w:rPr>
              <w:t>% of N=250</w:t>
            </w:r>
          </w:p>
        </w:tc>
      </w:tr>
      <w:tr>
        <w:tc>
          <w:tcPr>
            <w:tcW w:type="dxa" w:w="3600"/>
            <w:vAlign w:val="center"/>
          </w:tcPr>
          <w:p>
            <w:pPr>
              <w:jc w:val="left"/>
            </w:pPr>
            <w:r/>
            <w:r>
              <w:rPr>
                <w:b w:val="0"/>
                <w:sz w:val="20"/>
              </w:rPr>
              <w:t>Anchorage only</w:t>
            </w:r>
          </w:p>
        </w:tc>
        <w:tc>
          <w:tcPr>
            <w:tcW w:type="dxa" w:w="2160"/>
            <w:vAlign w:val="center"/>
          </w:tcPr>
          <w:p>
            <w:pPr>
              <w:jc w:val="center"/>
            </w:pPr>
            <w:r/>
            <w:r>
              <w:rPr>
                <w:b w:val="0"/>
                <w:sz w:val="20"/>
              </w:rPr>
              <w:t>52</w:t>
            </w:r>
          </w:p>
        </w:tc>
        <w:tc>
          <w:tcPr>
            <w:tcW w:type="dxa" w:w="2160"/>
            <w:vAlign w:val="center"/>
          </w:tcPr>
          <w:p>
            <w:pPr>
              <w:jc w:val="center"/>
            </w:pPr>
            <w:r/>
            <w:r>
              <w:rPr>
                <w:b w:val="0"/>
                <w:sz w:val="20"/>
              </w:rPr>
              <w:t>20.8%</w:t>
            </w:r>
          </w:p>
        </w:tc>
      </w:tr>
      <w:tr>
        <w:tc>
          <w:tcPr>
            <w:tcW w:type="dxa" w:w="3600"/>
            <w:shd w:val="clear" w:color="auto" w:fill="DCE6F1"/>
            <w:vAlign w:val="center"/>
          </w:tcPr>
          <w:p>
            <w:pPr>
              <w:jc w:val="left"/>
            </w:pPr>
            <w:r/>
            <w:r>
              <w:rPr>
                <w:b w:val="0"/>
                <w:sz w:val="20"/>
              </w:rPr>
              <w:t>Godthab only</w:t>
            </w:r>
          </w:p>
        </w:tc>
        <w:tc>
          <w:tcPr>
            <w:tcW w:type="dxa" w:w="2160"/>
            <w:shd w:val="clear" w:color="auto" w:fill="DCE6F1"/>
            <w:vAlign w:val="center"/>
          </w:tcPr>
          <w:p>
            <w:pPr>
              <w:jc w:val="center"/>
            </w:pPr>
            <w:r/>
            <w:r>
              <w:rPr>
                <w:b w:val="0"/>
                <w:sz w:val="20"/>
              </w:rPr>
              <w:t>81</w:t>
            </w:r>
          </w:p>
        </w:tc>
        <w:tc>
          <w:tcPr>
            <w:tcW w:type="dxa" w:w="2160"/>
            <w:shd w:val="clear" w:color="auto" w:fill="DCE6F1"/>
            <w:vAlign w:val="center"/>
          </w:tcPr>
          <w:p>
            <w:pPr>
              <w:jc w:val="center"/>
            </w:pPr>
            <w:r/>
            <w:r>
              <w:rPr>
                <w:b w:val="0"/>
                <w:sz w:val="20"/>
              </w:rPr>
              <w:t>32.4%</w:t>
            </w:r>
          </w:p>
        </w:tc>
      </w:tr>
      <w:tr>
        <w:tc>
          <w:tcPr>
            <w:tcW w:type="dxa" w:w="3600"/>
            <w:vAlign w:val="center"/>
          </w:tcPr>
          <w:p>
            <w:pPr>
              <w:jc w:val="left"/>
            </w:pPr>
            <w:r/>
            <w:r>
              <w:rPr>
                <w:b w:val="0"/>
                <w:sz w:val="20"/>
              </w:rPr>
              <w:t>Both</w:t>
            </w:r>
          </w:p>
        </w:tc>
        <w:tc>
          <w:tcPr>
            <w:tcW w:type="dxa" w:w="2160"/>
            <w:vAlign w:val="center"/>
          </w:tcPr>
          <w:p>
            <w:pPr>
              <w:jc w:val="center"/>
            </w:pPr>
            <w:r/>
            <w:r>
              <w:rPr>
                <w:b w:val="0"/>
                <w:sz w:val="20"/>
              </w:rPr>
              <w:t>76</w:t>
            </w:r>
          </w:p>
        </w:tc>
        <w:tc>
          <w:tcPr>
            <w:tcW w:type="dxa" w:w="2160"/>
            <w:vAlign w:val="center"/>
          </w:tcPr>
          <w:p>
            <w:pPr>
              <w:jc w:val="center"/>
            </w:pPr>
            <w:r/>
            <w:r>
              <w:rPr>
                <w:b w:val="0"/>
                <w:sz w:val="20"/>
              </w:rPr>
              <w:t>30.4%</w:t>
            </w:r>
          </w:p>
        </w:tc>
      </w:tr>
      <w:tr>
        <w:tc>
          <w:tcPr>
            <w:tcW w:type="dxa" w:w="3600"/>
            <w:shd w:val="clear" w:color="auto" w:fill="DCE6F1"/>
            <w:vAlign w:val="center"/>
          </w:tcPr>
          <w:p>
            <w:pPr>
              <w:jc w:val="left"/>
            </w:pPr>
            <w:r/>
            <w:r>
              <w:rPr>
                <w:b w:val="0"/>
                <w:sz w:val="20"/>
              </w:rPr>
              <w:t>Neither</w:t>
            </w:r>
          </w:p>
        </w:tc>
        <w:tc>
          <w:tcPr>
            <w:tcW w:type="dxa" w:w="2160"/>
            <w:shd w:val="clear" w:color="auto" w:fill="DCE6F1"/>
            <w:vAlign w:val="center"/>
          </w:tcPr>
          <w:p>
            <w:pPr>
              <w:jc w:val="center"/>
            </w:pPr>
            <w:r/>
            <w:r>
              <w:rPr>
                <w:b w:val="0"/>
                <w:sz w:val="20"/>
              </w:rPr>
              <w:t>41</w:t>
            </w:r>
          </w:p>
        </w:tc>
        <w:tc>
          <w:tcPr>
            <w:tcW w:type="dxa" w:w="2160"/>
            <w:shd w:val="clear" w:color="auto" w:fill="DCE6F1"/>
            <w:vAlign w:val="center"/>
          </w:tcPr>
          <w:p>
            <w:pPr>
              <w:jc w:val="center"/>
            </w:pPr>
            <w:r/>
            <w:r>
              <w:rPr>
                <w:b w:val="0"/>
                <w:sz w:val="20"/>
              </w:rPr>
              <w:t>16.4%</w:t>
            </w:r>
          </w:p>
        </w:tc>
      </w:tr>
    </w:tbl>
    <w:p/>
    <w:p>
      <w:pPr>
        <w:pStyle w:val="Heading3"/>
      </w:pPr>
      <w:r>
        <w:t>Crosstab: American win% (n games, avg Soviet points)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304"/>
            <w:shd w:val="clear" w:color="auto" w:fill="1F3864"/>
            <w:vAlign w:val="center"/>
          </w:tcPr>
          <w:p>
            <w:pPr>
              <w:jc w:val="center"/>
            </w:pPr>
            <w:r/>
            <w:r>
              <w:rPr>
                <w:b/>
                <w:color w:val="FFFFFF"/>
                <w:sz w:val="20"/>
              </w:rPr>
              <w:t>US missile \ Soviet priority</w:t>
            </w:r>
          </w:p>
        </w:tc>
        <w:tc>
          <w:tcPr>
            <w:tcW w:type="dxa" w:w="1764"/>
            <w:shd w:val="clear" w:color="auto" w:fill="1F3864"/>
            <w:vAlign w:val="center"/>
          </w:tcPr>
          <w:p>
            <w:pPr>
              <w:jc w:val="center"/>
            </w:pPr>
            <w:r/>
            <w:r>
              <w:rPr>
                <w:b/>
                <w:color w:val="FFFFFF"/>
                <w:sz w:val="20"/>
              </w:rPr>
              <w:t>Anchorage only</w:t>
            </w:r>
          </w:p>
        </w:tc>
        <w:tc>
          <w:tcPr>
            <w:tcW w:type="dxa" w:w="1764"/>
            <w:shd w:val="clear" w:color="auto" w:fill="1F3864"/>
            <w:vAlign w:val="center"/>
          </w:tcPr>
          <w:p>
            <w:pPr>
              <w:jc w:val="center"/>
            </w:pPr>
            <w:r/>
            <w:r>
              <w:rPr>
                <w:b/>
                <w:color w:val="FFFFFF"/>
                <w:sz w:val="20"/>
              </w:rPr>
              <w:t>Godthab only</w:t>
            </w:r>
          </w:p>
        </w:tc>
        <w:tc>
          <w:tcPr>
            <w:tcW w:type="dxa" w:w="1764"/>
            <w:shd w:val="clear" w:color="auto" w:fill="1F3864"/>
            <w:vAlign w:val="center"/>
          </w:tcPr>
          <w:p>
            <w:pPr>
              <w:jc w:val="center"/>
            </w:pPr>
            <w:r/>
            <w:r>
              <w:rPr>
                <w:b/>
                <w:color w:val="FFFFFF"/>
                <w:sz w:val="20"/>
              </w:rPr>
              <w:t>Both</w:t>
            </w:r>
          </w:p>
        </w:tc>
        <w:tc>
          <w:tcPr>
            <w:tcW w:type="dxa" w:w="1764"/>
            <w:shd w:val="clear" w:color="auto" w:fill="1F3864"/>
            <w:vAlign w:val="center"/>
          </w:tcPr>
          <w:p>
            <w:pPr>
              <w:jc w:val="center"/>
            </w:pPr>
            <w:r/>
            <w:r>
              <w:rPr>
                <w:b/>
                <w:color w:val="FFFFFF"/>
                <w:sz w:val="20"/>
              </w:rPr>
              <w:t>Neither</w:t>
            </w:r>
          </w:p>
        </w:tc>
      </w:tr>
      <w:tr>
        <w:tc>
          <w:tcPr>
            <w:tcW w:type="dxa" w:w="2304"/>
            <w:vAlign w:val="center"/>
          </w:tcPr>
          <w:p>
            <w:pPr>
              <w:jc w:val="left"/>
            </w:pPr>
            <w:r/>
            <w:r>
              <w:rPr>
                <w:b/>
                <w:sz w:val="20"/>
              </w:rPr>
              <w:t>Anchorage only</w:t>
            </w:r>
          </w:p>
        </w:tc>
        <w:tc>
          <w:tcPr>
            <w:tcW w:type="dxa" w:w="1764"/>
            <w:vAlign w:val="center"/>
          </w:tcPr>
          <w:p>
            <w:pPr>
              <w:jc w:val="center"/>
            </w:pPr>
            <w:r/>
            <w:r>
              <w:rPr>
                <w:b/>
                <w:sz w:val="22"/>
              </w:rPr>
              <w:t>54.5%</w:t>
            </w:r>
          </w:p>
          <w:p>
            <w:pPr>
              <w:jc w:val="center"/>
            </w:pPr>
            <w:r>
              <w:rPr>
                <w:color w:val="555555"/>
                <w:sz w:val="16"/>
              </w:rPr>
              <w:t>n=11, avg 100</w:t>
            </w:r>
          </w:p>
        </w:tc>
        <w:tc>
          <w:tcPr>
            <w:tcW w:type="dxa" w:w="1764"/>
            <w:vAlign w:val="center"/>
          </w:tcPr>
          <w:p>
            <w:pPr>
              <w:jc w:val="center"/>
            </w:pPr>
            <w:r/>
            <w:r>
              <w:rPr>
                <w:b/>
                <w:sz w:val="22"/>
              </w:rPr>
              <w:t>23.1%</w:t>
            </w:r>
          </w:p>
          <w:p>
            <w:pPr>
              <w:jc w:val="center"/>
            </w:pPr>
            <w:r>
              <w:rPr>
                <w:color w:val="555555"/>
                <w:sz w:val="16"/>
              </w:rPr>
              <w:t>n=13, avg 104</w:t>
            </w:r>
          </w:p>
        </w:tc>
        <w:tc>
          <w:tcPr>
            <w:tcW w:type="dxa" w:w="1764"/>
            <w:vAlign w:val="center"/>
          </w:tcPr>
          <w:p>
            <w:pPr>
              <w:jc w:val="center"/>
            </w:pPr>
            <w:r/>
            <w:r>
              <w:rPr>
                <w:b/>
                <w:sz w:val="22"/>
              </w:rPr>
              <w:t>46.2%</w:t>
            </w:r>
          </w:p>
          <w:p>
            <w:pPr>
              <w:jc w:val="center"/>
            </w:pPr>
            <w:r>
              <w:rPr>
                <w:color w:val="555555"/>
                <w:sz w:val="16"/>
              </w:rPr>
              <w:t>n=13, avg 103</w:t>
            </w:r>
          </w:p>
        </w:tc>
        <w:tc>
          <w:tcPr>
            <w:tcW w:type="dxa" w:w="1764"/>
            <w:vAlign w:val="center"/>
          </w:tcPr>
          <w:p>
            <w:pPr>
              <w:jc w:val="center"/>
            </w:pPr>
            <w:r/>
            <w:r>
              <w:rPr>
                <w:b/>
                <w:sz w:val="22"/>
              </w:rPr>
              <w:t>85.7%</w:t>
            </w:r>
          </w:p>
          <w:p>
            <w:pPr>
              <w:jc w:val="center"/>
            </w:pPr>
            <w:r>
              <w:rPr>
                <w:color w:val="555555"/>
                <w:sz w:val="16"/>
              </w:rPr>
              <w:t>n=7, avg 98</w:t>
            </w:r>
          </w:p>
        </w:tc>
      </w:tr>
      <w:tr>
        <w:tc>
          <w:tcPr>
            <w:tcW w:type="dxa" w:w="2304"/>
            <w:shd w:val="clear" w:color="auto" w:fill="DCE6F1"/>
            <w:vAlign w:val="center"/>
          </w:tcPr>
          <w:p>
            <w:pPr>
              <w:jc w:val="left"/>
            </w:pPr>
            <w:r/>
            <w:r>
              <w:rPr>
                <w:b/>
                <w:sz w:val="20"/>
              </w:rPr>
              <w:t>Godthab only</w:t>
            </w:r>
          </w:p>
        </w:tc>
        <w:tc>
          <w:tcPr>
            <w:tcW w:type="dxa" w:w="1764"/>
            <w:shd w:val="clear" w:color="auto" w:fill="DCE6F1"/>
            <w:vAlign w:val="center"/>
          </w:tcPr>
          <w:p>
            <w:pPr>
              <w:jc w:val="center"/>
            </w:pPr>
            <w:r/>
            <w:r>
              <w:rPr>
                <w:b/>
                <w:sz w:val="22"/>
              </w:rPr>
              <w:t>44.4%</w:t>
            </w:r>
          </w:p>
          <w:p>
            <w:pPr>
              <w:jc w:val="center"/>
            </w:pPr>
            <w:r>
              <w:rPr>
                <w:color w:val="555555"/>
                <w:sz w:val="16"/>
              </w:rPr>
              <w:t>n=9, avg 100</w:t>
            </w:r>
          </w:p>
        </w:tc>
        <w:tc>
          <w:tcPr>
            <w:tcW w:type="dxa" w:w="1764"/>
            <w:shd w:val="clear" w:color="auto" w:fill="DCE6F1"/>
            <w:vAlign w:val="center"/>
          </w:tcPr>
          <w:p>
            <w:pPr>
              <w:jc w:val="center"/>
            </w:pPr>
            <w:r/>
            <w:r>
              <w:rPr>
                <w:b/>
                <w:sz w:val="22"/>
              </w:rPr>
              <w:t>33.3%</w:t>
            </w:r>
          </w:p>
          <w:p>
            <w:pPr>
              <w:jc w:val="center"/>
            </w:pPr>
            <w:r>
              <w:rPr>
                <w:color w:val="555555"/>
                <w:sz w:val="16"/>
              </w:rPr>
              <w:t>n=15, avg 100</w:t>
            </w:r>
          </w:p>
        </w:tc>
        <w:tc>
          <w:tcPr>
            <w:tcW w:type="dxa" w:w="1764"/>
            <w:shd w:val="clear" w:color="auto" w:fill="DCE6F1"/>
            <w:vAlign w:val="center"/>
          </w:tcPr>
          <w:p>
            <w:pPr>
              <w:jc w:val="center"/>
            </w:pPr>
            <w:r/>
            <w:r>
              <w:rPr>
                <w:b/>
                <w:sz w:val="22"/>
              </w:rPr>
              <w:t>18.2%</w:t>
            </w:r>
          </w:p>
          <w:p>
            <w:pPr>
              <w:jc w:val="center"/>
            </w:pPr>
            <w:r>
              <w:rPr>
                <w:color w:val="555555"/>
                <w:sz w:val="16"/>
              </w:rPr>
              <w:t>n=11, avg 104</w:t>
            </w:r>
          </w:p>
        </w:tc>
        <w:tc>
          <w:tcPr>
            <w:tcW w:type="dxa" w:w="1764"/>
            <w:shd w:val="clear" w:color="auto" w:fill="DCE6F1"/>
            <w:vAlign w:val="center"/>
          </w:tcPr>
          <w:p>
            <w:pPr>
              <w:jc w:val="center"/>
            </w:pPr>
            <w:r/>
            <w:r>
              <w:rPr>
                <w:b/>
                <w:sz w:val="22"/>
              </w:rPr>
              <w:t>37.5%</w:t>
            </w:r>
          </w:p>
          <w:p>
            <w:pPr>
              <w:jc w:val="center"/>
            </w:pPr>
            <w:r>
              <w:rPr>
                <w:color w:val="555555"/>
                <w:sz w:val="16"/>
              </w:rPr>
              <w:t>n=8, avg 102</w:t>
            </w:r>
          </w:p>
        </w:tc>
      </w:tr>
      <w:tr>
        <w:tc>
          <w:tcPr>
            <w:tcW w:type="dxa" w:w="2304"/>
            <w:vAlign w:val="center"/>
          </w:tcPr>
          <w:p>
            <w:pPr>
              <w:jc w:val="left"/>
            </w:pPr>
            <w:r/>
            <w:r>
              <w:rPr>
                <w:b/>
                <w:sz w:val="20"/>
              </w:rPr>
              <w:t>Both</w:t>
            </w:r>
          </w:p>
        </w:tc>
        <w:tc>
          <w:tcPr>
            <w:tcW w:type="dxa" w:w="1764"/>
            <w:vAlign w:val="center"/>
          </w:tcPr>
          <w:p>
            <w:pPr>
              <w:jc w:val="center"/>
            </w:pPr>
            <w:r/>
            <w:r>
              <w:rPr>
                <w:b/>
                <w:sz w:val="22"/>
              </w:rPr>
              <w:t>30.8%</w:t>
            </w:r>
          </w:p>
          <w:p>
            <w:pPr>
              <w:jc w:val="center"/>
            </w:pPr>
            <w:r>
              <w:rPr>
                <w:color w:val="555555"/>
                <w:sz w:val="16"/>
              </w:rPr>
              <w:t>n=13, avg 104</w:t>
            </w:r>
          </w:p>
        </w:tc>
        <w:tc>
          <w:tcPr>
            <w:tcW w:type="dxa" w:w="1764"/>
            <w:vAlign w:val="center"/>
          </w:tcPr>
          <w:p>
            <w:pPr>
              <w:jc w:val="center"/>
            </w:pPr>
            <w:r/>
            <w:r>
              <w:rPr>
                <w:b/>
                <w:sz w:val="22"/>
              </w:rPr>
              <w:t>40.0%</w:t>
            </w:r>
          </w:p>
          <w:p>
            <w:pPr>
              <w:jc w:val="center"/>
            </w:pPr>
            <w:r>
              <w:rPr>
                <w:color w:val="555555"/>
                <w:sz w:val="16"/>
              </w:rPr>
              <w:t>n=25, avg 101</w:t>
            </w:r>
          </w:p>
        </w:tc>
        <w:tc>
          <w:tcPr>
            <w:tcW w:type="dxa" w:w="1764"/>
            <w:vAlign w:val="center"/>
          </w:tcPr>
          <w:p>
            <w:pPr>
              <w:jc w:val="center"/>
            </w:pPr>
            <w:r/>
            <w:r>
              <w:rPr>
                <w:b/>
                <w:sz w:val="22"/>
              </w:rPr>
              <w:t>59.4%</w:t>
            </w:r>
          </w:p>
          <w:p>
            <w:pPr>
              <w:jc w:val="center"/>
            </w:pPr>
            <w:r>
              <w:rPr>
                <w:color w:val="555555"/>
                <w:sz w:val="16"/>
              </w:rPr>
              <w:t>n=32, avg 98</w:t>
            </w:r>
          </w:p>
        </w:tc>
        <w:tc>
          <w:tcPr>
            <w:tcW w:type="dxa" w:w="1764"/>
            <w:vAlign w:val="center"/>
          </w:tcPr>
          <w:p>
            <w:pPr>
              <w:jc w:val="center"/>
            </w:pPr>
            <w:r/>
            <w:r>
              <w:rPr>
                <w:b/>
                <w:sz w:val="22"/>
              </w:rPr>
              <w:t>63.6%</w:t>
            </w:r>
          </w:p>
          <w:p>
            <w:pPr>
              <w:jc w:val="center"/>
            </w:pPr>
            <w:r>
              <w:rPr>
                <w:color w:val="555555"/>
                <w:sz w:val="16"/>
              </w:rPr>
              <w:t>n=11, avg 98</w:t>
            </w:r>
          </w:p>
        </w:tc>
      </w:tr>
      <w:tr>
        <w:tc>
          <w:tcPr>
            <w:tcW w:type="dxa" w:w="2304"/>
            <w:shd w:val="clear" w:color="auto" w:fill="DCE6F1"/>
            <w:vAlign w:val="center"/>
          </w:tcPr>
          <w:p>
            <w:pPr>
              <w:jc w:val="left"/>
            </w:pPr>
            <w:r/>
            <w:r>
              <w:rPr>
                <w:b/>
                <w:sz w:val="20"/>
              </w:rPr>
              <w:t>Neither</w:t>
            </w:r>
          </w:p>
        </w:tc>
        <w:tc>
          <w:tcPr>
            <w:tcW w:type="dxa" w:w="1764"/>
            <w:shd w:val="clear" w:color="auto" w:fill="DCE6F1"/>
            <w:vAlign w:val="center"/>
          </w:tcPr>
          <w:p>
            <w:pPr>
              <w:jc w:val="center"/>
            </w:pPr>
            <w:r/>
            <w:r>
              <w:rPr>
                <w:b/>
                <w:sz w:val="22"/>
              </w:rPr>
              <w:t>31.6%</w:t>
            </w:r>
          </w:p>
          <w:p>
            <w:pPr>
              <w:jc w:val="center"/>
            </w:pPr>
            <w:r>
              <w:rPr>
                <w:color w:val="555555"/>
                <w:sz w:val="16"/>
              </w:rPr>
              <w:t>n=19, avg 103</w:t>
            </w:r>
          </w:p>
        </w:tc>
        <w:tc>
          <w:tcPr>
            <w:tcW w:type="dxa" w:w="1764"/>
            <w:shd w:val="clear" w:color="auto" w:fill="DCE6F1"/>
            <w:vAlign w:val="center"/>
          </w:tcPr>
          <w:p>
            <w:pPr>
              <w:jc w:val="center"/>
            </w:pPr>
            <w:r/>
            <w:r>
              <w:rPr>
                <w:b/>
                <w:sz w:val="22"/>
              </w:rPr>
              <w:t>53.6%</w:t>
            </w:r>
          </w:p>
          <w:p>
            <w:pPr>
              <w:jc w:val="center"/>
            </w:pPr>
            <w:r>
              <w:rPr>
                <w:color w:val="555555"/>
                <w:sz w:val="16"/>
              </w:rPr>
              <w:t>n=28, avg 100</w:t>
            </w:r>
          </w:p>
        </w:tc>
        <w:tc>
          <w:tcPr>
            <w:tcW w:type="dxa" w:w="1764"/>
            <w:shd w:val="clear" w:color="auto" w:fill="DCE6F1"/>
            <w:vAlign w:val="center"/>
          </w:tcPr>
          <w:p>
            <w:pPr>
              <w:jc w:val="center"/>
            </w:pPr>
            <w:r/>
            <w:r>
              <w:rPr>
                <w:b/>
                <w:sz w:val="22"/>
              </w:rPr>
              <w:t>30.0%</w:t>
            </w:r>
          </w:p>
          <w:p>
            <w:pPr>
              <w:jc w:val="center"/>
            </w:pPr>
            <w:r>
              <w:rPr>
                <w:color w:val="555555"/>
                <w:sz w:val="16"/>
              </w:rPr>
              <w:t>n=20, avg 103</w:t>
            </w:r>
          </w:p>
        </w:tc>
        <w:tc>
          <w:tcPr>
            <w:tcW w:type="dxa" w:w="1764"/>
            <w:shd w:val="clear" w:color="auto" w:fill="DCE6F1"/>
            <w:vAlign w:val="center"/>
          </w:tcPr>
          <w:p>
            <w:pPr>
              <w:jc w:val="center"/>
            </w:pPr>
            <w:r/>
            <w:r>
              <w:rPr>
                <w:b/>
                <w:sz w:val="22"/>
              </w:rPr>
              <w:t>46.7%</w:t>
            </w:r>
          </w:p>
          <w:p>
            <w:pPr>
              <w:jc w:val="center"/>
            </w:pPr>
            <w:r>
              <w:rPr>
                <w:color w:val="555555"/>
                <w:sz w:val="16"/>
              </w:rPr>
              <w:t>n=15, avg 100</w:t>
            </w:r>
          </w:p>
        </w:tc>
      </w:tr>
    </w:tbl>
    <w:p/>
    <w:p>
      <w:pPr>
        <w:pStyle w:val="Heading3"/>
      </w:pPr>
      <w:r>
        <w:t>Key findings</w:t>
      </w:r>
    </w:p>
    <w:p>
      <w:pPr>
        <w:pStyle w:val="ListBullet"/>
      </w:pPr>
      <w:r>
        <w:t>The Godthab-only-defended vs. Soviet-Godthab-priority weak spot is confirmed again and just as severe (33% alone, 18% combined with “both”) - a repeatable structural effect, not an artifact of the old detection rate.</w:t>
      </w:r>
    </w:p>
    <w:p>
      <w:pPr>
        <w:pStyle w:val="ListBullet"/>
      </w:pPr>
      <w:r>
        <w:t>Defending both anchors is still the American's best posture overall (59-64% against the Soviet's more committed priorities), though its edge shrank with weaker detection.</w:t>
      </w:r>
    </w:p>
    <w:p>
      <w:pPr>
        <w:pStyle w:val="ListBullet"/>
      </w:pPr>
      <w:r>
        <w:t>Several previously-strong American cells eroded under weaker detection: Anchorage-only vs. Soviet-Godthab-only fell from 62% to 23%, and Both vs. Soviet-Anchorage-only fell from 69% to 31%. Cell sizes are modest (n=9-13), so some of the swing is sampling noise, but the direction matches the overall 14-point drop in the headline win rate.</w:t>
      </w:r>
    </w:p>
    <w:p>
      <w:r>
        <w:br w:type="page"/>
      </w:r>
    </w:p>
    <w:p>
      <w:pPr>
        <w:pStyle w:val="Heading1"/>
      </w:pPr>
      <w:r>
        <w:t>Comparison &amp; Takeaways</w:t>
      </w:r>
    </w:p>
    <w:p>
      <w:r>
        <w:t>Reducing DEW-line detection to a third of decoys crossing row H (down from half) meaningfully favors the Soviet: more of the decoy screen survives to draw fire and mask the real bombers, so the American's overall win rate falls from 57.6% to 43.6% across the same 250 seeds.</w:t>
      </w:r>
    </w:p>
    <w:p>
      <w:r>
        <w:t>What is structural (survives the detection-rate change) versus what is sensitive to it:</w:t>
      </w:r>
    </w:p>
    <w:p>
      <w:pPr>
        <w:pStyle w:val="ListBullet"/>
      </w:pPr>
      <w:r>
        <w:t>Structural: the Godthab-defense weak spot. In both experiments, defending Godthab alone while the Soviet prioritizes Godthab (or both anchors) is the American's worst posture (18-33% win in both runs). Anchorage does not show the same fragility when defended alone.</w:t>
      </w:r>
    </w:p>
    <w:p>
      <w:pPr>
        <w:pStyle w:val="ListBullet"/>
      </w:pPr>
      <w:r>
        <w:t>Structural: defending both anchors is consistently the American's strongest posture in both experiments, though the margin narrows as detection weakens.</w:t>
      </w:r>
    </w:p>
    <w:p>
      <w:pPr>
        <w:pStyle w:val="ListBullet"/>
      </w:pPr>
      <w:r>
        <w:t>Sensitive to detection rate: most “single-anchor defended, opposite-anchor targeted” cells (e.g. Anchorage-only vs. Godthab-priority, or Both vs. Anchorage-priority) swing considerably between experiments - these matchups depend on how much of the Soviet decoy screen the American can identify and intercept, which is exactly what the DEW rate controls.</w:t>
      </w:r>
    </w:p>
    <w:p>
      <w:pPr>
        <w:pStyle w:val="ListBullet"/>
      </w:pPr>
      <w:r>
        <w:t>Marginals for both the American's anchor-missile placement (~18/17/32/33%) and the Soviet's DEW-kill priority (~21/32/30/16%) are unchanged between experiments, as expected, since only the detection probability changed.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