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보내는 곳 · 방법</w:t>
      </w:r>
    </w:p>
    <w:p>
      <w:pPr>
        <w:pStyle w:val="ListBullet"/>
        <w:spacing w:after="40"/>
      </w:pPr>
      <w:r>
        <w:t>받는 곳: 공모전 운영 사무국 — appdevchallenge@hyundai-partners.com</w:t>
      </w:r>
    </w:p>
    <w:p>
      <w:pPr>
        <w:pStyle w:val="ListBullet"/>
        <w:spacing w:after="40"/>
      </w:pPr>
      <w:r>
        <w:t>제목(제안): 「[차량용 앱 개발 공모전] 개발 규정 문의 — Vehicle SDK 기어 · 주행 제한 · 퍼미션」</w:t>
      </w:r>
    </w:p>
    <w:p>
      <w:pPr>
        <w:pStyle w:val="ListBullet"/>
        <w:spacing w:after="40"/>
      </w:pPr>
      <w:r>
        <w:t>보내는 시점: 10.30 (회신 희망 11.01 — 팀 SDK 검증 일정)</w:t>
      </w:r>
    </w:p>
    <w:p>
      <w:pPr>
        <w:pStyle w:val="ListBullet"/>
        <w:spacing w:after="40"/>
      </w:pPr>
      <w:r>
        <w:t>익명 규정: 메일 본문 · 첨부에 성명 · 소속을 넣지 않는다 (참가 신청서는 별도 제출). 앱 이름만 쓴다.</w:t>
      </w:r>
    </w:p>
    <w:p>
      <w:pPr>
        <w:pStyle w:val="ListBullet"/>
        <w:spacing w:after="40"/>
      </w:pPr>
      <w:r>
        <w:t xml:space="preserve">받은 회신은 PRD </w:t>
      </w:r>
      <w:r>
        <w:rPr>
          <w:rFonts w:ascii="Consolas" w:hAnsi="Consolas"/>
        </w:rPr>
        <w:t>--update</w:t>
      </w:r>
      <w:r>
        <w:t xml:space="preserve"> 의 입력 자료(협의 결과)로 올린다.</w:t>
      </w:r>
    </w:p>
    <w:p>
      <w:pPr>
        <w:pStyle w:val="Heading1"/>
      </w:pPr>
      <w:r>
        <w:t>2. 메일 본문 (붙여 넣기용)</w:t>
      </w:r>
    </w:p>
    <w:p>
      <w:r>
        <w:t>안녕하세요. 차량용 앱 개발 공모전에 출품을 준비 중인 팀입니다. Pleos Connect SDK 문서(document.pleos.ai, Vehicle 2.3.2 · NaviHelper 3.0.5 · TextToSpeech 3.3.1 · FusedLocation 1.1.3)와 Emulator 2.1.0 기준으로 개발하고 있으며, 문서에서 찾지 못한 아래 5가지를 여쭙니다.</w:t>
      </w:r>
    </w:p>
    <w:p>
      <w:pPr>
        <w:spacing w:after="40"/>
        <w:ind w:left="432" w:hanging="317"/>
      </w:pPr>
      <w:r>
        <w:t xml:space="preserve">1. </w:t>
      </w:r>
      <w:r>
        <w:rPr>
          <w:b/>
        </w:rPr>
        <w:t>기어(P/R/N/D) 상태를 받는 방법</w:t>
      </w:r>
      <w:r>
        <w:t xml:space="preserve"> — Vehicle SDK 2.3.2 의 도메인 목록에 Gear 가 없고, </w:t>
      </w:r>
      <w:r>
        <w:rPr>
          <w:rFonts w:ascii="Consolas" w:hAnsi="Consolas"/>
        </w:rPr>
        <w:t>Vehicle</w:t>
      </w:r>
      <w:r>
        <w:t xml:space="preserve"> 클래스 예제에만 </w:t>
      </w:r>
      <w:r>
        <w:rPr>
          <w:rFonts w:ascii="Consolas" w:hAnsi="Consolas"/>
        </w:rPr>
        <w:t>getGear().registerGearSelection</w:t>
      </w:r>
      <w:r>
        <w:t xml:space="preserve"> 이 남아 있습니다. Virtual Console 에는 「Gear Selection」 카드가 있습니다. 기어 상태는 (a) 앞으로 Vehicle SDK 에 추가될 예정인지, (b) AAOS 표준 </w:t>
      </w:r>
      <w:r>
        <w:rPr>
          <w:rFonts w:ascii="Consolas" w:hAnsi="Consolas"/>
        </w:rPr>
        <w:t>CarPropertyManager</w:t>
      </w:r>
      <w:r>
        <w:t xml:space="preserve"> 의 기어 속성으로 받아야 하는지, (c) </w:t>
      </w:r>
      <w:r>
        <w:rPr>
          <w:rFonts w:ascii="Consolas" w:hAnsi="Consolas"/>
        </w:rPr>
        <w:t>CarUxRestrictionsManager</w:t>
      </w:r>
      <w:r>
        <w:t xml:space="preserve"> 의 주행 제한 상태로 대신해야 하는지 알려 주시면 감사하겠습니다. 표준 API 를 쓴다면 필요한 퍼미션도 함께 부탁드립니다.</w:t>
      </w:r>
    </w:p>
    <w:p>
      <w:pPr>
        <w:spacing w:after="40"/>
        <w:ind w:left="432" w:hanging="317"/>
      </w:pPr>
      <w:r>
        <w:t xml:space="preserve">2. </w:t>
      </w:r>
      <w:r>
        <w:rPr>
          <w:b/>
        </w:rPr>
        <w:t>주행 제한(DO) 선언 방법 · 승인</w:t>
      </w:r>
      <w:r>
        <w:t xml:space="preserve"> — 「DO 미선언 시 Drive 사용 불가」와 </w:t>
      </w:r>
      <w:r>
        <w:rPr>
          <w:rFonts w:ascii="Consolas" w:hAnsi="Consolas"/>
        </w:rPr>
        <w:t>CarUxRestrictionsManager</w:t>
      </w:r>
      <w:r>
        <w:t xml:space="preserve"> 적용 방법은 확인했습니다. DO 를 선언하는 방법(Manifest 메타데이터 등), 공모전 출품작에 별도 승인이 필요한지, 주행 중 Foreground Service 가 유지되는지, 주행 중 TTS 음성 · 짧은 효과음이 허용되는지 궁금합니다.</w:t>
      </w:r>
    </w:p>
    <w:p>
      <w:pPr>
        <w:spacing w:after="40"/>
        <w:ind w:left="432" w:hanging="317"/>
      </w:pPr>
      <w:r>
        <w:t xml:space="preserve">3. </w:t>
      </w:r>
      <w:r>
        <w:rPr>
          <w:b/>
        </w:rPr>
        <w:t>앰비언트 조명 제어 퍼미션</w:t>
      </w:r>
      <w:r>
        <w:t xml:space="preserve"> — </w:t>
      </w:r>
      <w:r>
        <w:rPr>
          <w:rFonts w:ascii="Consolas" w:hAnsi="Consolas"/>
        </w:rPr>
        <w:t>setAmbientLightBrightnessColor</w:t>
      </w:r>
      <w:r>
        <w:t xml:space="preserve"> 의 API Reference 는 </w:t>
      </w:r>
      <w:r>
        <w:rPr>
          <w:rFonts w:ascii="Consolas" w:hAnsi="Consolas"/>
        </w:rPr>
        <w:t>CAR_LIGHTS</w:t>
      </w:r>
      <w:r>
        <w:t xml:space="preserve">, 퍼미션 가이드는 제어(set)에 </w:t>
      </w:r>
      <w:r>
        <w:rPr>
          <w:rFonts w:ascii="Consolas" w:hAnsi="Consolas"/>
        </w:rPr>
        <w:t>CONTROL_CAR_*</w:t>
      </w:r>
      <w:r>
        <w:t xml:space="preserve"> 를 안내합니다. 어느 퍼미션을 선언해야 하는지, 공모전 출품작에서 사용이 승인되는지 확인 부탁드립니다.</w:t>
      </w:r>
    </w:p>
    <w:p>
      <w:pPr>
        <w:spacing w:after="40"/>
        <w:ind w:left="432" w:hanging="317"/>
      </w:pPr>
      <w:r>
        <w:t xml:space="preserve">4. </w:t>
      </w:r>
      <w:r>
        <w:rPr>
          <w:b/>
        </w:rPr>
        <w:t>심사용 GitHub 계정</w:t>
      </w:r>
      <w:r>
        <w:t xml:space="preserve"> — 비공개 저장소 제출 시 초대할 심사용 계정이 언제 공지되는지 알려 주세요.</w:t>
      </w:r>
    </w:p>
    <w:p>
      <w:pPr>
        <w:spacing w:after="40"/>
        <w:ind w:left="432" w:hanging="317"/>
      </w:pPr>
      <w:r>
        <w:t xml:space="preserve">5. </w:t>
      </w:r>
      <w:r>
        <w:rPr>
          <w:b/>
        </w:rPr>
        <w:t>외부 서버 · 로그인 정책</w:t>
      </w:r>
      <w:r>
        <w:t xml:space="preserve"> — 출시 단계에서 랭킹용 외부 서버와 간단한 로그인을 쓰려 합니다. Pleos 앱 정책상 제한이 있는지 궁금합니다. (제출본은 서버 없이 동작합니다.)</w:t>
      </w:r>
    </w:p>
    <w:p>
      <w:r>
        <w:t>10.28 온라인 설명회 Q&amp;A 에서 이미 답하신 내용이면 다시보기 · 자료 위치만 알려 주셔도 됩니다. 감사합니다.</w:t>
      </w:r>
    </w:p>
    <w:p>
      <w:r>
        <w:t>세이프 카고 팀 드림</w:t>
      </w:r>
    </w:p>
    <w:p>
      <w:pPr>
        <w:pStyle w:val="Heading1"/>
      </w:pPr>
      <w:r>
        <w:t>3. 항목별 현재 잠정안 · 회신란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21"/>
        <w:gridCol w:w="945"/>
        <w:gridCol w:w="3535"/>
        <w:gridCol w:w="2476"/>
        <w:gridCol w:w="961"/>
        <w:gridCol w:w="721"/>
      </w:tblGrid>
      <w:tr>
        <w:trPr>
          <w:tblHeader w:val="true"/>
        </w:trPr>
        <w:tc>
          <w:tcPr>
            <w:tcW w:type="dxa" w:w="7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문의</w:t>
            </w:r>
          </w:p>
        </w:tc>
        <w:tc>
          <w:tcPr>
            <w:tcW w:type="dxa" w:w="94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PRD 항목</w:t>
            </w:r>
          </w:p>
        </w:tc>
        <w:tc>
          <w:tcPr>
            <w:tcW w:type="dxa" w:w="3535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현재 잠정안 (PRD 에 이렇게 쓰여 있다)</w:t>
            </w:r>
          </w:p>
        </w:tc>
        <w:tc>
          <w:tcPr>
            <w:tcW w:type="dxa" w:w="2476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확인해 줄 것</w:t>
            </w:r>
          </w:p>
        </w:tc>
        <w:tc>
          <w:tcPr>
            <w:tcW w:type="dxa" w:w="96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회신 기한</w:t>
            </w:r>
          </w:p>
        </w:tc>
        <w:tc>
          <w:tcPr>
            <w:tcW w:type="dxa" w:w="721"/>
            <w:shd w:val="clear" w:color="auto" w:fill="2E7D32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회신</w:t>
            </w:r>
          </w:p>
        </w:tc>
      </w:tr>
      <w:tr>
        <w:tc>
          <w:tcPr>
            <w:tcW w:type="dxa" w:w="721"/>
          </w:tcPr>
          <w:p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type="dxa" w:w="945"/>
          </w:tcPr>
          <w:p>
            <w:pPr>
              <w:spacing w:after="0"/>
            </w:pPr>
            <w:r>
              <w:rPr>
                <w:sz w:val="19"/>
              </w:rPr>
              <w:t>AG-03</w:t>
            </w:r>
          </w:p>
        </w:tc>
        <w:tc>
          <w:tcPr>
            <w:tcW w:type="dxa" w:w="353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CarUxRestrictionsManager</w:t>
            </w:r>
            <w:r>
              <w:rPr>
                <w:sz w:val="19"/>
              </w:rPr>
              <w:t xml:space="preserve"> 주행 제한 상태로 주행 · 정차 판정 + POC 에서 AAOS 기어 속성 시험</w:t>
            </w:r>
          </w:p>
        </w:tc>
        <w:tc>
          <w:tcPr>
            <w:tcW w:type="dxa" w:w="2476"/>
          </w:tcPr>
          <w:p>
            <w:pPr>
              <w:spacing w:after="0"/>
            </w:pPr>
            <w:r>
              <w:rPr>
                <w:sz w:val="19"/>
              </w:rPr>
              <w:t>기어 상태를 받는 공식 방법 · 퍼미션</w:t>
            </w:r>
          </w:p>
        </w:tc>
        <w:tc>
          <w:tcPr>
            <w:tcW w:type="dxa" w:w="961"/>
          </w:tcPr>
          <w:p>
            <w:pPr>
              <w:spacing w:after="0"/>
            </w:pPr>
            <w:r>
              <w:rPr>
                <w:sz w:val="19"/>
              </w:rPr>
              <w:t>11.01</w:t>
            </w:r>
          </w:p>
        </w:tc>
        <w:tc>
          <w:tcPr>
            <w:tcW w:type="dxa" w:w="721"/>
          </w:tcPr>
          <w:p>
            <w:pPr>
              <w:spacing w:after="0"/>
            </w:pPr>
          </w:p>
        </w:tc>
      </w:tr>
      <w:tr>
        <w:tc>
          <w:tcPr>
            <w:tcW w:type="dxa" w:w="7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type="dxa" w:w="94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U-01</w:t>
            </w:r>
          </w:p>
        </w:tc>
        <w:tc>
          <w:tcPr>
            <w:tcW w:type="dxa" w:w="353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DO 선언 + 주행 중 화면은 게이지만 · 음성 코칭</w:t>
            </w:r>
          </w:p>
        </w:tc>
        <w:tc>
          <w:tcPr>
            <w:tcW w:type="dxa" w:w="24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DO 선언 방법 · 승인 · Foreground Service · 주행 중 TTS · 효과음</w:t>
            </w:r>
          </w:p>
        </w:tc>
        <w:tc>
          <w:tcPr>
            <w:tcW w:type="dxa" w:w="96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11.01</w:t>
            </w:r>
          </w:p>
        </w:tc>
        <w:tc>
          <w:tcPr>
            <w:tcW w:type="dxa" w:w="721"/>
            <w:shd w:val="clear" w:color="auto" w:fill="F1F8E9"/>
          </w:tcPr>
          <w:p>
            <w:pPr>
              <w:spacing w:after="0"/>
            </w:pPr>
          </w:p>
        </w:tc>
      </w:tr>
      <w:tr>
        <w:tc>
          <w:tcPr>
            <w:tcW w:type="dxa" w:w="721"/>
          </w:tcPr>
          <w:p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type="dxa" w:w="945"/>
          </w:tcPr>
          <w:p>
            <w:pPr>
              <w:spacing w:after="0"/>
            </w:pPr>
            <w:r>
              <w:rPr>
                <w:sz w:val="19"/>
              </w:rPr>
              <w:t>AG-05</w:t>
            </w:r>
          </w:p>
        </w:tc>
        <w:tc>
          <w:tcPr>
            <w:tcW w:type="dxa" w:w="3535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CAR_LIGHTS</w:t>
            </w:r>
            <w:r>
              <w:rPr>
                <w:sz w:val="19"/>
              </w:rPr>
              <w:t xml:space="preserve"> · </w:t>
            </w:r>
            <w:r>
              <w:rPr>
                <w:rFonts w:ascii="Consolas" w:hAnsi="Consolas"/>
                <w:sz w:val="19"/>
              </w:rPr>
              <w:t>CONTROL_CAR_LIGHTS</w:t>
            </w:r>
            <w:r>
              <w:rPr>
                <w:sz w:val="19"/>
              </w:rPr>
              <w:t xml:space="preserve"> 둘 다 선언, 실패 시 화면 효과</w:t>
            </w:r>
          </w:p>
        </w:tc>
        <w:tc>
          <w:tcPr>
            <w:tcW w:type="dxa" w:w="2476"/>
          </w:tcPr>
          <w:p>
            <w:pPr>
              <w:spacing w:after="0"/>
            </w:pPr>
            <w:r>
              <w:rPr>
                <w:sz w:val="19"/>
              </w:rPr>
              <w:t>선언할 퍼미션 · 승인 여부</w:t>
            </w:r>
          </w:p>
        </w:tc>
        <w:tc>
          <w:tcPr>
            <w:tcW w:type="dxa" w:w="961"/>
          </w:tcPr>
          <w:p>
            <w:pPr>
              <w:spacing w:after="0"/>
            </w:pPr>
            <w:r>
              <w:rPr>
                <w:sz w:val="19"/>
              </w:rPr>
              <w:t>11.05</w:t>
            </w:r>
          </w:p>
        </w:tc>
        <w:tc>
          <w:tcPr>
            <w:tcW w:type="dxa" w:w="721"/>
          </w:tcPr>
          <w:p>
            <w:pPr>
              <w:spacing w:after="0"/>
            </w:pPr>
          </w:p>
        </w:tc>
      </w:tr>
      <w:tr>
        <w:tc>
          <w:tcPr>
            <w:tcW w:type="dxa" w:w="72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type="dxa" w:w="94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U-06</w:t>
            </w:r>
          </w:p>
        </w:tc>
        <w:tc>
          <w:tcPr>
            <w:tcW w:type="dxa" w:w="3535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공지 대기</w:t>
            </w:r>
          </w:p>
        </w:tc>
        <w:tc>
          <w:tcPr>
            <w:tcW w:type="dxa" w:w="2476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심사용 GitHub 계정 · 공지 시점</w:t>
            </w:r>
          </w:p>
        </w:tc>
        <w:tc>
          <w:tcPr>
            <w:tcW w:type="dxa" w:w="961"/>
            <w:shd w:val="clear" w:color="auto" w:fill="F1F8E9"/>
          </w:tcPr>
          <w:p>
            <w:pPr>
              <w:spacing w:after="0"/>
            </w:pPr>
            <w:r>
              <w:rPr>
                <w:sz w:val="19"/>
              </w:rPr>
              <w:t>11.13</w:t>
            </w:r>
          </w:p>
        </w:tc>
        <w:tc>
          <w:tcPr>
            <w:tcW w:type="dxa" w:w="721"/>
            <w:shd w:val="clear" w:color="auto" w:fill="F1F8E9"/>
          </w:tcPr>
          <w:p>
            <w:pPr>
              <w:spacing w:after="0"/>
            </w:pPr>
          </w:p>
        </w:tc>
      </w:tr>
      <w:tr>
        <w:tc>
          <w:tcPr>
            <w:tcW w:type="dxa" w:w="721"/>
          </w:tcPr>
          <w:p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type="dxa" w:w="945"/>
          </w:tcPr>
          <w:p>
            <w:pPr>
              <w:spacing w:after="0"/>
            </w:pPr>
            <w:r>
              <w:rPr>
                <w:sz w:val="19"/>
              </w:rPr>
              <w:t>U-07</w:t>
            </w:r>
          </w:p>
        </w:tc>
        <w:tc>
          <w:tcPr>
            <w:tcW w:type="dxa" w:w="3535"/>
          </w:tcPr>
          <w:p>
            <w:pPr>
              <w:spacing w:after="0"/>
            </w:pPr>
            <w:r>
              <w:rPr>
                <w:sz w:val="19"/>
              </w:rPr>
              <w:t>제출본은 서버 없음</w:t>
            </w:r>
          </w:p>
        </w:tc>
        <w:tc>
          <w:tcPr>
            <w:tcW w:type="dxa" w:w="2476"/>
          </w:tcPr>
          <w:p>
            <w:pPr>
              <w:spacing w:after="0"/>
            </w:pPr>
            <w:r>
              <w:rPr>
                <w:sz w:val="19"/>
              </w:rPr>
              <w:t>외부 서버 · 로그인 제한</w:t>
            </w:r>
          </w:p>
        </w:tc>
        <w:tc>
          <w:tcPr>
            <w:tcW w:type="dxa" w:w="961"/>
          </w:tcPr>
          <w:p>
            <w:pPr>
              <w:spacing w:after="0"/>
            </w:pPr>
            <w:r>
              <w:rPr>
                <w:sz w:val="19"/>
              </w:rPr>
              <w:t>11.23</w:t>
            </w:r>
          </w:p>
        </w:tc>
        <w:tc>
          <w:tcPr>
            <w:tcW w:type="dxa" w:w="721"/>
          </w:tcPr>
          <w:p>
            <w:pPr>
              <w:spacing w:after="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16161"/>
        <w:sz w:val="17"/>
      </w:rPr>
      <w:t>세이프카고 미결 확인 요청 v1.0 (초안)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/>
      <w:bCs/>
      <w:color w:val="2E7D3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/>
      <w:bCs/>
      <w:color w:val="2E7D3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/>
      <w:bCs/>
      <w:color w:val="1565C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맑은 고딕" w:hAnsi="맑은 고딕" w:eastAsia="맑은 고딕" w:cs="맑은 고딕"/>
      <w:b/>
      <w:bCs/>
      <w:i/>
      <w:iCs/>
      <w:color w:val="21212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맑은 고딕" w:hAnsi="맑은 고딕" w:eastAsia="맑은 고딕" w:cs="맑은 고딕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맑은 고딕" w:hAnsi="맑은 고딕" w:eastAsia="맑은 고딕" w:cs="맑은 고딕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