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200" w:hRule="exact"/>
        </w:trPr>
        <w:tc>
          <w:tcPr>
            <w:tcBorders>
              <w:top w:val="none" w:color="FFFFFF" w:sz="0"/>
              <w:left w:val="none" w:color="FFFFFF" w:sz="0"/>
              <w:bottom w:val="none" w:color="FFFFFF" w:sz="0"/>
              <w:right w:val="none" w:color="FFFFFF" w:sz="0"/>
            </w:tcBorders>
            <w:shd w:fill="1A2330" w:val="clear"/>
            <w:vAlign w:val="top"/>
          </w:tcPr>
          <w:p>
            <w:pPr>
              <w:spacing w:before="3957"/>
              <w:ind w:left="1200"/>
              <w:jc w:val="left"/>
            </w:pPr>
            <w:r>
              <w:rPr>
                <w:rFonts w:ascii="Times New Roman" w:eastAsia="SimHei"/>
                <w:b/>
                <w:bCs/>
                <w:color w:val="FFFFFF"/>
                <w:sz w:val="72"/>
                <w:szCs w:val="72"/>
              </w:rPr>
              <w:t xml:space="preserve">Kenyan</w:t>
            </w:r>
            <w:r>
              <w:br/>
              <w:t xml:space="preserve"/>
            </w:r>
            <w:r>
              <w:rPr>
                <w:rFonts w:ascii="Times New Roman" w:eastAsia="SimHei"/>
                <w:b/>
                <w:bCs/>
                <w:color w:val="FFFFFF"/>
                <w:sz w:val="72"/>
                <w:szCs w:val="72"/>
              </w:rPr>
              <w:t xml:space="preserve">Hardware</w:t>
            </w:r>
            <w:r>
              <w:br/>
              <w:t xml:space="preserve"/>
            </w:r>
            <w:r>
              <w:rPr>
                <w:rFonts w:ascii="Times New Roman" w:eastAsia="SimHei"/>
                <w:b/>
                <w:bCs/>
                <w:color w:val="FFFFFF"/>
                <w:sz w:val="72"/>
                <w:szCs w:val="72"/>
              </w:rPr>
              <w:t xml:space="preserve">POS System</w:t>
            </w:r>
          </w:p>
        </w:tc>
      </w:tr>
    </w:tbl>
    <w:p>
      <w:pPr>
        <w:spacing w:after="200" w:before="400"/>
        <w:ind w:left="1200"/>
      </w:pPr>
      <w:r>
        <w:rPr>
          <w:rFonts w:ascii="Times New Roman" w:eastAsia="Microsoft YaHei"/>
          <w:color w:val="2C3E50"/>
          <w:sz w:val="24"/>
          <w:szCs w:val="24"/>
        </w:rPr>
        <w:t xml:space="preserve">Product Requirements Document - Complete Module Specifications</w:t>
      </w:r>
    </w:p>
    <w:p>
      <w:pPr>
        <w:spacing w:before="120"/>
        <w:ind w:left="1200"/>
      </w:pPr>
      <w:r>
        <w:rPr>
          <w:rFonts w:ascii="Times New Roman" w:eastAsia="Microsoft YaHei"/>
          <w:color w:val="607080"/>
          <w:sz w:val="20"/>
          <w:szCs w:val="20"/>
        </w:rPr>
        <w:t xml:space="preserve">Version: 1.0</w:t>
      </w:r>
    </w:p>
    <w:p>
      <w:pPr>
        <w:spacing w:before="120"/>
        <w:ind w:left="1200"/>
      </w:pPr>
      <w:r>
        <w:rPr>
          <w:rFonts w:ascii="Times New Roman" w:eastAsia="Microsoft YaHei"/>
          <w:color w:val="607080"/>
          <w:sz w:val="20"/>
          <w:szCs w:val="20"/>
        </w:rPr>
        <w:t xml:space="preserve">Date: June 2026</w:t>
      </w:r>
    </w:p>
    <w:p>
      <w:pPr>
        <w:spacing w:before="120"/>
        <w:ind w:left="1200"/>
      </w:pPr>
      <w:r>
        <w:rPr>
          <w:rFonts w:ascii="Times New Roman" w:eastAsia="Microsoft YaHei"/>
          <w:color w:val="607080"/>
          <w:sz w:val="20"/>
          <w:szCs w:val="20"/>
        </w:rPr>
        <w:t xml:space="preserve">Classification: Confidential</w:t>
      </w:r>
    </w:p>
    <w:p>
      <w:pPr>
        <w:spacing w:before="120"/>
        <w:ind w:left="1200"/>
      </w:pPr>
      <w:r>
        <w:rPr>
          <w:rFonts w:ascii="Times New Roman" w:eastAsia="Microsoft YaHei"/>
          <w:color w:val="607080"/>
          <w:sz w:val="20"/>
          <w:szCs w:val="20"/>
        </w:rPr>
        <w:t xml:space="preserve">Prepared for: Hardware Retail Operations - Kenya</w:t>
      </w:r>
    </w:p>
    <w:p>
      <w:pPr>
        <w:pBdr>
          <w:top w:val="single" w:color="D4875A" w:sz="18" w:space="20"/>
        </w:pBdr>
        <w:spacing w:before="600"/>
        <w:ind w:left="1200" w:right="1200"/>
      </w:pPr>
    </w:p>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System Overview</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Purpose and Scope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Design Principles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Target Users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Module 1: Product and Inventory Management</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Overview</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Product Catalog</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Product Data Model</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Product Categories</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Multi-Unit Conversion</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Inventory Tracking</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Stock Levels</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Stock Adjustments</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Stock Transfers</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Physical Stock Counts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Low Stock Alerts and Reorder Management</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Business Rules</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Module 2: Sales and Point of Sale</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Overview</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Transaction Processing</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Sale Data Model</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Line Item Model</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Payment Processing</w:t>
            </w:r>
            <w:r>
              <w:tab/>
            </w:r>
            <w:r>
              <w:fldChar w:fldCharType="begin"/>
            </w:r>
            <w:r>
              <w:instrText xml:space="preserve"> PAGEREF _Toc100023 \h </w:instrText>
            </w:r>
            <w:r>
              <w:fldChar w:fldCharType="separate"/>
            </w:r>
            <w:r>
              <w:t>9</w:t>
            </w:r>
            <w:r>
              <w:fldChar w:fldCharType="end"/>
            </w:r>
          </w:hyperlink>
        </w:p>
        <w:p>
          <w:pPr>
            <w:pStyle w:val="12"/>
            <w:ind w:left="720"/>
            <w:tabs>
              <w:tab w:val="right" w:leader="dot" w:pos="9026"/>
            </w:tabs>
            <w:spacing w:before="120" w:after="60"/>
          </w:pPr>
          <w:hyperlink w:anchor="_Toc100024" w:history="1">
            <w:r>
              <w:rPr>
                <w:rStyle w:val="Hyperlink"/>
              </w:rPr>
              <w:t>M-Pesa Integration</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Split Payments</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On-Account Credit Sales</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Receipt and Invoice Generation</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Returns, Refunds, and Voiding</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Business Rules</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Module 3: Purchase Management</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Overview</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Purchase Order Workflow</w:t>
            </w:r>
            <w:r>
              <w:tab/>
            </w:r>
            <w:r>
              <w:fldChar w:fldCharType="begin"/>
            </w:r>
            <w:r>
              <w:instrText xml:space="preserve"> PAGEREF _Toc100032 \h </w:instrText>
            </w:r>
            <w:r>
              <w:fldChar w:fldCharType="separate"/>
            </w:r>
            <w:r>
              <w:t>12</w:t>
            </w:r>
            <w:r>
              <w:fldChar w:fldCharType="end"/>
            </w:r>
          </w:hyperlink>
        </w:p>
        <w:p>
          <w:pPr>
            <w:pStyle w:val="12"/>
            <w:ind w:left="720"/>
            <w:tabs>
              <w:tab w:val="right" w:leader="dot" w:pos="9026"/>
            </w:tabs>
            <w:spacing w:before="120" w:after="60"/>
          </w:pPr>
          <w:hyperlink w:anchor="_Toc100033" w:history="1">
            <w:r>
              <w:rPr>
                <w:rStyle w:val="Hyperlink"/>
              </w:rPr>
              <w:t>Purchase Requisition</w:t>
            </w:r>
            <w:r>
              <w:tab/>
            </w:r>
            <w:r>
              <w:fldChar w:fldCharType="begin"/>
            </w:r>
            <w:r>
              <w:instrText xml:space="preserve"> PAGEREF _Toc100033 \h </w:instrText>
            </w:r>
            <w:r>
              <w:fldChar w:fldCharType="separate"/>
            </w:r>
            <w:r>
              <w:t>12</w:t>
            </w:r>
            <w:r>
              <w:fldChar w:fldCharType="end"/>
            </w:r>
          </w:hyperlink>
        </w:p>
        <w:p>
          <w:pPr>
            <w:pStyle w:val="12"/>
            <w:ind w:left="720"/>
            <w:tabs>
              <w:tab w:val="right" w:leader="dot" w:pos="9026"/>
            </w:tabs>
            <w:spacing w:before="120" w:after="60"/>
          </w:pPr>
          <w:hyperlink w:anchor="_Toc100034" w:history="1">
            <w:r>
              <w:rPr>
                <w:rStyle w:val="Hyperlink"/>
              </w:rPr>
              <w:t>Purchase Order Creation</w:t>
            </w:r>
            <w:r>
              <w:tab/>
            </w:r>
            <w:r>
              <w:fldChar w:fldCharType="begin"/>
            </w:r>
            <w:r>
              <w:instrText xml:space="preserve"> PAGEREF _Toc100034 \h </w:instrText>
            </w:r>
            <w:r>
              <w:fldChar w:fldCharType="separate"/>
            </w:r>
            <w:r>
              <w:t>12</w:t>
            </w:r>
            <w:r>
              <w:fldChar w:fldCharType="end"/>
            </w:r>
          </w:hyperlink>
        </w:p>
        <w:p>
          <w:pPr>
            <w:pStyle w:val="12"/>
            <w:ind w:left="720"/>
            <w:tabs>
              <w:tab w:val="right" w:leader="dot" w:pos="9026"/>
            </w:tabs>
            <w:spacing w:before="120" w:after="60"/>
          </w:pPr>
          <w:hyperlink w:anchor="_Toc100035" w:history="1">
            <w:r>
              <w:rPr>
                <w:rStyle w:val="Hyperlink"/>
              </w:rPr>
              <w:t>Goods Receipt and Quality Check</w:t>
            </w:r>
            <w:r>
              <w:tab/>
            </w:r>
            <w:r>
              <w:fldChar w:fldCharType="begin"/>
            </w:r>
            <w:r>
              <w:instrText xml:space="preserve"> PAGEREF _Toc100035 \h </w:instrText>
            </w:r>
            <w:r>
              <w:fldChar w:fldCharType="separate"/>
            </w:r>
            <w:r>
              <w:t>12</w:t>
            </w:r>
            <w:r>
              <w:fldChar w:fldCharType="end"/>
            </w:r>
          </w:hyperlink>
        </w:p>
        <w:p>
          <w:pPr>
            <w:pStyle w:val="12"/>
            <w:ind w:left="720"/>
            <w:tabs>
              <w:tab w:val="right" w:leader="dot" w:pos="9026"/>
            </w:tabs>
            <w:spacing w:before="120" w:after="60"/>
          </w:pPr>
          <w:hyperlink w:anchor="_Toc100036" w:history="1">
            <w:r>
              <w:rPr>
                <w:rStyle w:val="Hyperlink"/>
              </w:rPr>
              <w:t>Invoice Matching (Three-Way Match)</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Business Rules</w:t>
            </w:r>
            <w:r>
              <w:tab/>
            </w:r>
            <w:r>
              <w:fldChar w:fldCharType="begin"/>
            </w:r>
            <w:r>
              <w:instrText xml:space="preserve"> PAGEREF _Toc100037 \h </w:instrText>
            </w:r>
            <w:r>
              <w:fldChar w:fldCharType="separate"/>
            </w:r>
            <w:r>
              <w:t>13</w:t>
            </w:r>
            <w:r>
              <w:fldChar w:fldCharType="end"/>
            </w:r>
          </w:hyperlink>
        </w:p>
        <w:p>
          <w:pPr>
            <w:pStyle w:val="9"/>
            <w:tabs>
              <w:tab w:val="right" w:leader="dot" w:pos="9026"/>
            </w:tabs>
            <w:spacing w:before="120" w:after="60"/>
          </w:pPr>
          <w:hyperlink w:anchor="_Toc100038" w:history="1">
            <w:r>
              <w:rPr>
                <w:rStyle w:val="Hyperlink"/>
              </w:rPr>
              <w:t>Module 4: Supplier Management</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Overview</w:t>
            </w:r>
            <w:r>
              <w:tab/>
            </w:r>
            <w:r>
              <w:fldChar w:fldCharType="begin"/>
            </w:r>
            <w:r>
              <w:instrText xml:space="preserve"> PAGEREF _Toc100039 \h </w:instrText>
            </w:r>
            <w:r>
              <w:fldChar w:fldCharType="separate"/>
            </w:r>
            <w:r>
              <w:t>14</w:t>
            </w:r>
            <w:r>
              <w:fldChar w:fldCharType="end"/>
            </w:r>
          </w:hyperlink>
        </w:p>
        <w:p>
          <w:pPr>
            <w:pStyle w:val="11"/>
            <w:ind w:left="360"/>
            <w:tabs>
              <w:tab w:val="right" w:leader="dot" w:pos="9026"/>
            </w:tabs>
            <w:spacing w:before="120" w:after="60"/>
          </w:pPr>
          <w:hyperlink w:anchor="_Toc100040" w:history="1">
            <w:r>
              <w:rPr>
                <w:rStyle w:val="Hyperlink"/>
              </w:rPr>
              <w:t>Supplier Data Model</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Supplier Performance Tracking</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Supplier Price Lists</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Business Rules</w:t>
            </w:r>
            <w:r>
              <w:tab/>
            </w:r>
            <w:r>
              <w:fldChar w:fldCharType="begin"/>
            </w:r>
            <w:r>
              <w:instrText xml:space="preserve"> PAGEREF _Toc100043 \h </w:instrText>
            </w:r>
            <w:r>
              <w:fldChar w:fldCharType="separate"/>
            </w:r>
            <w:r>
              <w:t>15</w:t>
            </w:r>
            <w:r>
              <w:fldChar w:fldCharType="end"/>
            </w:r>
          </w:hyperlink>
        </w:p>
        <w:p>
          <w:pPr>
            <w:pStyle w:val="9"/>
            <w:tabs>
              <w:tab w:val="right" w:leader="dot" w:pos="9026"/>
            </w:tabs>
            <w:spacing w:before="120" w:after="60"/>
          </w:pPr>
          <w:hyperlink w:anchor="_Toc100044" w:history="1">
            <w:r>
              <w:rPr>
                <w:rStyle w:val="Hyperlink"/>
              </w:rPr>
              <w:t>Module 5: Customer Loyalty Program</w:t>
            </w:r>
            <w:r>
              <w:tab/>
            </w:r>
            <w:r>
              <w:fldChar w:fldCharType="begin"/>
            </w:r>
            <w:r>
              <w:instrText xml:space="preserve"> PAGEREF _Toc100044 \h </w:instrText>
            </w:r>
            <w:r>
              <w:fldChar w:fldCharType="separate"/>
            </w:r>
            <w:r>
              <w:t>15</w:t>
            </w:r>
            <w:r>
              <w:fldChar w:fldCharType="end"/>
            </w:r>
          </w:hyperlink>
        </w:p>
        <w:p>
          <w:pPr>
            <w:pStyle w:val="11"/>
            <w:ind w:left="360"/>
            <w:tabs>
              <w:tab w:val="right" w:leader="dot" w:pos="9026"/>
            </w:tabs>
            <w:spacing w:before="120" w:after="60"/>
          </w:pPr>
          <w:hyperlink w:anchor="_Toc100045" w:history="1">
            <w:r>
              <w:rPr>
                <w:rStyle w:val="Hyperlink"/>
              </w:rPr>
              <w:t>Overview</w:t>
            </w:r>
            <w:r>
              <w:tab/>
            </w:r>
            <w:r>
              <w:fldChar w:fldCharType="begin"/>
            </w:r>
            <w:r>
              <w:instrText xml:space="preserve"> PAGEREF _Toc100045 \h </w:instrText>
            </w:r>
            <w:r>
              <w:fldChar w:fldCharType="separate"/>
            </w:r>
            <w:r>
              <w:t>16</w:t>
            </w:r>
            <w:r>
              <w:fldChar w:fldCharType="end"/>
            </w:r>
          </w:hyperlink>
        </w:p>
        <w:p>
          <w:pPr>
            <w:pStyle w:val="11"/>
            <w:ind w:left="360"/>
            <w:tabs>
              <w:tab w:val="right" w:leader="dot" w:pos="9026"/>
            </w:tabs>
            <w:spacing w:before="120" w:after="60"/>
          </w:pPr>
          <w:hyperlink w:anchor="_Toc100046" w:history="1">
            <w:r>
              <w:rPr>
                <w:rStyle w:val="Hyperlink"/>
              </w:rPr>
              <w:t>Customer Data Model</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Points Accrual and Redemption</w:t>
            </w:r>
            <w:r>
              <w:tab/>
            </w:r>
            <w:r>
              <w:fldChar w:fldCharType="begin"/>
            </w:r>
            <w:r>
              <w:instrText xml:space="preserve"> PAGEREF _Toc100047 \h </w:instrText>
            </w:r>
            <w:r>
              <w:fldChar w:fldCharType="separate"/>
            </w:r>
            <w:r>
              <w:t>16</w:t>
            </w:r>
            <w:r>
              <w:fldChar w:fldCharType="end"/>
            </w:r>
          </w:hyperlink>
        </w:p>
        <w:p>
          <w:pPr>
            <w:pStyle w:val="12"/>
            <w:ind w:left="720"/>
            <w:tabs>
              <w:tab w:val="right" w:leader="dot" w:pos="9026"/>
            </w:tabs>
            <w:spacing w:before="120" w:after="60"/>
          </w:pPr>
          <w:hyperlink w:anchor="_Toc100048" w:history="1">
            <w:r>
              <w:rPr>
                <w:rStyle w:val="Hyperlink"/>
              </w:rPr>
              <w:t>Accrual Rules</w:t>
            </w:r>
            <w:r>
              <w:tab/>
            </w:r>
            <w:r>
              <w:fldChar w:fldCharType="begin"/>
            </w:r>
            <w:r>
              <w:instrText xml:space="preserve"> PAGEREF _Toc100048 \h </w:instrText>
            </w:r>
            <w:r>
              <w:fldChar w:fldCharType="separate"/>
            </w:r>
            <w:r>
              <w:t>16</w:t>
            </w:r>
            <w:r>
              <w:fldChar w:fldCharType="end"/>
            </w:r>
          </w:hyperlink>
        </w:p>
        <w:p>
          <w:pPr>
            <w:pStyle w:val="12"/>
            <w:ind w:left="720"/>
            <w:tabs>
              <w:tab w:val="right" w:leader="dot" w:pos="9026"/>
            </w:tabs>
            <w:spacing w:before="120" w:after="60"/>
          </w:pPr>
          <w:hyperlink w:anchor="_Toc100049" w:history="1">
            <w:r>
              <w:rPr>
                <w:rStyle w:val="Hyperlink"/>
              </w:rPr>
              <w:t>Redemption Catalog</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Customer Tiers</w:t>
            </w:r>
            <w:r>
              <w:tab/>
            </w:r>
            <w:r>
              <w:fldChar w:fldCharType="begin"/>
            </w:r>
            <w:r>
              <w:instrText xml:space="preserve"> PAGEREF _Toc100050 \h </w:instrText>
            </w:r>
            <w:r>
              <w:fldChar w:fldCharType="separate"/>
            </w:r>
            <w:r>
              <w:t>17</w:t>
            </w:r>
            <w:r>
              <w:fldChar w:fldCharType="end"/>
            </w:r>
          </w:hyperlink>
        </w:p>
        <w:p>
          <w:pPr>
            <w:pStyle w:val="11"/>
            <w:ind w:left="360"/>
            <w:tabs>
              <w:tab w:val="right" w:leader="dot" w:pos="9026"/>
            </w:tabs>
            <w:spacing w:before="120" w:after="60"/>
          </w:pPr>
          <w:hyperlink w:anchor="_Toc100051" w:history="1">
            <w:r>
              <w:rPr>
                <w:rStyle w:val="Hyperlink"/>
              </w:rPr>
              <w:t>Business Rules</w:t>
            </w:r>
            <w:r>
              <w:tab/>
            </w:r>
            <w:r>
              <w:fldChar w:fldCharType="begin"/>
            </w:r>
            <w:r>
              <w:instrText xml:space="preserve"> PAGEREF _Toc100051 \h </w:instrText>
            </w:r>
            <w:r>
              <w:fldChar w:fldCharType="separate"/>
            </w:r>
            <w:r>
              <w:t>17</w:t>
            </w:r>
            <w:r>
              <w:fldChar w:fldCharType="end"/>
            </w:r>
          </w:hyperlink>
        </w:p>
        <w:p>
          <w:pPr>
            <w:pStyle w:val="9"/>
            <w:tabs>
              <w:tab w:val="right" w:leader="dot" w:pos="9026"/>
            </w:tabs>
            <w:spacing w:before="120" w:after="60"/>
          </w:pPr>
          <w:hyperlink w:anchor="_Toc100052" w:history="1">
            <w:r>
              <w:rPr>
                <w:rStyle w:val="Hyperlink"/>
              </w:rPr>
              <w:t>Module 6: Multi-Store Management</w:t>
            </w:r>
            <w:r>
              <w:tab/>
            </w:r>
            <w:r>
              <w:fldChar w:fldCharType="begin"/>
            </w:r>
            <w:r>
              <w:instrText xml:space="preserve"> PAGEREF _Toc100052 \h </w:instrText>
            </w:r>
            <w:r>
              <w:fldChar w:fldCharType="separate"/>
            </w:r>
            <w:r>
              <w:t>18</w:t>
            </w:r>
            <w:r>
              <w:fldChar w:fldCharType="end"/>
            </w:r>
          </w:hyperlink>
        </w:p>
        <w:p>
          <w:pPr>
            <w:pStyle w:val="11"/>
            <w:ind w:left="360"/>
            <w:tabs>
              <w:tab w:val="right" w:leader="dot" w:pos="9026"/>
            </w:tabs>
            <w:spacing w:before="120" w:after="60"/>
          </w:pPr>
          <w:hyperlink w:anchor="_Toc100053" w:history="1">
            <w:r>
              <w:rPr>
                <w:rStyle w:val="Hyperlink"/>
              </w:rPr>
              <w:t>Overview</w:t>
            </w:r>
            <w:r>
              <w:tab/>
            </w:r>
            <w:r>
              <w:fldChar w:fldCharType="begin"/>
            </w:r>
            <w:r>
              <w:instrText xml:space="preserve"> PAGEREF _Toc100053 \h </w:instrText>
            </w:r>
            <w:r>
              <w:fldChar w:fldCharType="separate"/>
            </w:r>
            <w:r>
              <w:t>18</w:t>
            </w:r>
            <w:r>
              <w:fldChar w:fldCharType="end"/>
            </w:r>
          </w:hyperlink>
        </w:p>
        <w:p>
          <w:pPr>
            <w:pStyle w:val="11"/>
            <w:ind w:left="360"/>
            <w:tabs>
              <w:tab w:val="right" w:leader="dot" w:pos="9026"/>
            </w:tabs>
            <w:spacing w:before="120" w:after="60"/>
          </w:pPr>
          <w:hyperlink w:anchor="_Toc100054" w:history="1">
            <w:r>
              <w:rPr>
                <w:rStyle w:val="Hyperlink"/>
              </w:rPr>
              <w:t>Store Configuration</w:t>
            </w:r>
            <w:r>
              <w:tab/>
            </w:r>
            <w:r>
              <w:fldChar w:fldCharType="begin"/>
            </w:r>
            <w:r>
              <w:instrText xml:space="preserve"> PAGEREF _Toc100054 \h </w:instrText>
            </w:r>
            <w:r>
              <w:fldChar w:fldCharType="separate"/>
            </w:r>
            <w:r>
              <w:t>18</w:t>
            </w:r>
            <w:r>
              <w:fldChar w:fldCharType="end"/>
            </w:r>
          </w:hyperlink>
        </w:p>
        <w:p>
          <w:pPr>
            <w:pStyle w:val="11"/>
            <w:ind w:left="360"/>
            <w:tabs>
              <w:tab w:val="right" w:leader="dot" w:pos="9026"/>
            </w:tabs>
            <w:spacing w:before="120" w:after="60"/>
          </w:pPr>
          <w:hyperlink w:anchor="_Toc100055" w:history="1">
            <w:r>
              <w:rPr>
                <w:rStyle w:val="Hyperlink"/>
              </w:rPr>
              <w:t>Inter-Store Transfers</w:t>
            </w:r>
            <w:r>
              <w:tab/>
            </w:r>
            <w:r>
              <w:fldChar w:fldCharType="begin"/>
            </w:r>
            <w:r>
              <w:instrText xml:space="preserve"> PAGEREF _Toc100055 \h </w:instrText>
            </w:r>
            <w:r>
              <w:fldChar w:fldCharType="separate"/>
            </w:r>
            <w:r>
              <w:t>18</w:t>
            </w:r>
            <w:r>
              <w:fldChar w:fldCharType="end"/>
            </w:r>
          </w:hyperlink>
        </w:p>
        <w:p>
          <w:pPr>
            <w:pStyle w:val="11"/>
            <w:ind w:left="360"/>
            <w:tabs>
              <w:tab w:val="right" w:leader="dot" w:pos="9026"/>
            </w:tabs>
            <w:spacing w:before="120" w:after="60"/>
          </w:pPr>
          <w:hyperlink w:anchor="_Toc100056" w:history="1">
            <w:r>
              <w:rPr>
                <w:rStyle w:val="Hyperlink"/>
              </w:rPr>
              <w:t>Data Synchronization</w:t>
            </w:r>
            <w:r>
              <w:tab/>
            </w:r>
            <w:r>
              <w:fldChar w:fldCharType="begin"/>
            </w:r>
            <w:r>
              <w:instrText xml:space="preserve"> PAGEREF _Toc100056 \h </w:instrText>
            </w:r>
            <w:r>
              <w:fldChar w:fldCharType="separate"/>
            </w:r>
            <w:r>
              <w:t>19</w:t>
            </w:r>
            <w:r>
              <w:fldChar w:fldCharType="end"/>
            </w:r>
          </w:hyperlink>
        </w:p>
        <w:p>
          <w:pPr>
            <w:pStyle w:val="12"/>
            <w:ind w:left="720"/>
            <w:tabs>
              <w:tab w:val="right" w:leader="dot" w:pos="9026"/>
            </w:tabs>
            <w:spacing w:before="120" w:after="60"/>
          </w:pPr>
          <w:hyperlink w:anchor="_Toc100057" w:history="1">
            <w:r>
              <w:rPr>
                <w:rStyle w:val="Hyperlink"/>
              </w:rPr>
              <w:t>Sync Architecture</w:t>
            </w:r>
            <w:r>
              <w:tab/>
            </w:r>
            <w:r>
              <w:fldChar w:fldCharType="begin"/>
            </w:r>
            <w:r>
              <w:instrText xml:space="preserve"> PAGEREF _Toc100057 \h </w:instrText>
            </w:r>
            <w:r>
              <w:fldChar w:fldCharType="separate"/>
            </w:r>
            <w:r>
              <w:t>19</w:t>
            </w:r>
            <w:r>
              <w:fldChar w:fldCharType="end"/>
            </w:r>
          </w:hyperlink>
        </w:p>
        <w:p>
          <w:pPr>
            <w:pStyle w:val="12"/>
            <w:ind w:left="720"/>
            <w:tabs>
              <w:tab w:val="right" w:leader="dot" w:pos="9026"/>
            </w:tabs>
            <w:spacing w:before="120" w:after="60"/>
          </w:pPr>
          <w:hyperlink w:anchor="_Toc100058" w:history="1">
            <w:r>
              <w:rPr>
                <w:rStyle w:val="Hyperlink"/>
              </w:rPr>
              <w:t>Conflict Resolution</w:t>
            </w:r>
            <w:r>
              <w:tab/>
            </w:r>
            <w:r>
              <w:fldChar w:fldCharType="begin"/>
            </w:r>
            <w:r>
              <w:instrText xml:space="preserve"> PAGEREF _Toc100058 \h </w:instrText>
            </w:r>
            <w:r>
              <w:fldChar w:fldCharType="separate"/>
            </w:r>
            <w:r>
              <w:t>19</w:t>
            </w:r>
            <w:r>
              <w:fldChar w:fldCharType="end"/>
            </w:r>
          </w:hyperlink>
        </w:p>
        <w:p>
          <w:pPr>
            <w:pStyle w:val="11"/>
            <w:ind w:left="360"/>
            <w:tabs>
              <w:tab w:val="right" w:leader="dot" w:pos="9026"/>
            </w:tabs>
            <w:spacing w:before="120" w:after="60"/>
          </w:pPr>
          <w:hyperlink w:anchor="_Toc100059" w:history="1">
            <w:r>
              <w:rPr>
                <w:rStyle w:val="Hyperlink"/>
              </w:rPr>
              <w:t>Business Rules</w:t>
            </w:r>
            <w:r>
              <w:tab/>
            </w:r>
            <w:r>
              <w:fldChar w:fldCharType="begin"/>
            </w:r>
            <w:r>
              <w:instrText xml:space="preserve"> PAGEREF _Toc100059 \h </w:instrText>
            </w:r>
            <w:r>
              <w:fldChar w:fldCharType="separate"/>
            </w:r>
            <w:r>
              <w:t>19</w:t>
            </w:r>
            <w:r>
              <w:fldChar w:fldCharType="end"/>
            </w:r>
          </w:hyperlink>
        </w:p>
        <w:p>
          <w:pPr>
            <w:pStyle w:val="9"/>
            <w:tabs>
              <w:tab w:val="right" w:leader="dot" w:pos="9026"/>
            </w:tabs>
            <w:spacing w:before="120" w:after="60"/>
          </w:pPr>
          <w:hyperlink w:anchor="_Toc100060" w:history="1">
            <w:r>
              <w:rPr>
                <w:rStyle w:val="Hyperlink"/>
              </w:rPr>
              <w:t>Module 7: Quotes and Invoices</w:t>
            </w:r>
            <w:r>
              <w:tab/>
            </w:r>
            <w:r>
              <w:fldChar w:fldCharType="begin"/>
            </w:r>
            <w:r>
              <w:instrText xml:space="preserve"> PAGEREF _Toc100060 \h </w:instrText>
            </w:r>
            <w:r>
              <w:fldChar w:fldCharType="separate"/>
            </w:r>
            <w:r>
              <w:t>20</w:t>
            </w:r>
            <w:r>
              <w:fldChar w:fldCharType="end"/>
            </w:r>
          </w:hyperlink>
        </w:p>
        <w:p>
          <w:pPr>
            <w:pStyle w:val="11"/>
            <w:ind w:left="360"/>
            <w:tabs>
              <w:tab w:val="right" w:leader="dot" w:pos="9026"/>
            </w:tabs>
            <w:spacing w:before="120" w:after="60"/>
          </w:pPr>
          <w:hyperlink w:anchor="_Toc100061" w:history="1">
            <w:r>
              <w:rPr>
                <w:rStyle w:val="Hyperlink"/>
              </w:rPr>
              <w:t>Overview</w:t>
            </w:r>
            <w:r>
              <w:tab/>
            </w:r>
            <w:r>
              <w:fldChar w:fldCharType="begin"/>
            </w:r>
            <w:r>
              <w:instrText xml:space="preserve"> PAGEREF _Toc100061 \h </w:instrText>
            </w:r>
            <w:r>
              <w:fldChar w:fldCharType="separate"/>
            </w:r>
            <w:r>
              <w:t>20</w:t>
            </w:r>
            <w:r>
              <w:fldChar w:fldCharType="end"/>
            </w:r>
          </w:hyperlink>
        </w:p>
        <w:p>
          <w:pPr>
            <w:pStyle w:val="11"/>
            <w:ind w:left="360"/>
            <w:tabs>
              <w:tab w:val="right" w:leader="dot" w:pos="9026"/>
            </w:tabs>
            <w:spacing w:before="120" w:after="60"/>
          </w:pPr>
          <w:hyperlink w:anchor="_Toc100062" w:history="1">
            <w:r>
              <w:rPr>
                <w:rStyle w:val="Hyperlink"/>
              </w:rPr>
              <w:t>Quotation Workflow</w:t>
            </w:r>
            <w:r>
              <w:tab/>
            </w:r>
            <w:r>
              <w:fldChar w:fldCharType="begin"/>
            </w:r>
            <w:r>
              <w:instrText xml:space="preserve"> PAGEREF _Toc100062 \h </w:instrText>
            </w:r>
            <w:r>
              <w:fldChar w:fldCharType="separate"/>
            </w:r>
            <w:r>
              <w:t>20</w:t>
            </w:r>
            <w:r>
              <w:fldChar w:fldCharType="end"/>
            </w:r>
          </w:hyperlink>
        </w:p>
        <w:p>
          <w:pPr>
            <w:pStyle w:val="12"/>
            <w:ind w:left="720"/>
            <w:tabs>
              <w:tab w:val="right" w:leader="dot" w:pos="9026"/>
            </w:tabs>
            <w:spacing w:before="120" w:after="60"/>
          </w:pPr>
          <w:hyperlink w:anchor="_Toc100063" w:history="1">
            <w:r>
              <w:rPr>
                <w:rStyle w:val="Hyperlink"/>
              </w:rPr>
              <w:t>Quote Creation</w:t>
            </w:r>
            <w:r>
              <w:tab/>
            </w:r>
            <w:r>
              <w:fldChar w:fldCharType="begin"/>
            </w:r>
            <w:r>
              <w:instrText xml:space="preserve"> PAGEREF _Toc100063 \h </w:instrText>
            </w:r>
            <w:r>
              <w:fldChar w:fldCharType="separate"/>
            </w:r>
            <w:r>
              <w:t>20</w:t>
            </w:r>
            <w:r>
              <w:fldChar w:fldCharType="end"/>
            </w:r>
          </w:hyperlink>
        </w:p>
        <w:p>
          <w:pPr>
            <w:pStyle w:val="12"/>
            <w:ind w:left="720"/>
            <w:tabs>
              <w:tab w:val="right" w:leader="dot" w:pos="9026"/>
            </w:tabs>
            <w:spacing w:before="120" w:after="60"/>
          </w:pPr>
          <w:hyperlink w:anchor="_Toc100064" w:history="1">
            <w:r>
              <w:rPr>
                <w:rStyle w:val="Hyperlink"/>
              </w:rPr>
              <w:t>Quote Revision and Approval</w:t>
            </w:r>
            <w:r>
              <w:tab/>
            </w:r>
            <w:r>
              <w:fldChar w:fldCharType="begin"/>
            </w:r>
            <w:r>
              <w:instrText xml:space="preserve"> PAGEREF _Toc100064 \h </w:instrText>
            </w:r>
            <w:r>
              <w:fldChar w:fldCharType="separate"/>
            </w:r>
            <w:r>
              <w:t>21</w:t>
            </w:r>
            <w:r>
              <w:fldChar w:fldCharType="end"/>
            </w:r>
          </w:hyperlink>
        </w:p>
        <w:p>
          <w:pPr>
            <w:pStyle w:val="12"/>
            <w:ind w:left="720"/>
            <w:tabs>
              <w:tab w:val="right" w:leader="dot" w:pos="9026"/>
            </w:tabs>
            <w:spacing w:before="120" w:after="60"/>
          </w:pPr>
          <w:hyperlink w:anchor="_Toc100065" w:history="1">
            <w:r>
              <w:rPr>
                <w:rStyle w:val="Hyperlink"/>
              </w:rPr>
              <w:t>Quote-to-Order Conversion</w:t>
            </w:r>
            <w:r>
              <w:tab/>
            </w:r>
            <w:r>
              <w:fldChar w:fldCharType="begin"/>
            </w:r>
            <w:r>
              <w:instrText xml:space="preserve"> PAGEREF _Toc100065 \h </w:instrText>
            </w:r>
            <w:r>
              <w:fldChar w:fldCharType="separate"/>
            </w:r>
            <w:r>
              <w:t>21</w:t>
            </w:r>
            <w:r>
              <w:fldChar w:fldCharType="end"/>
            </w:r>
          </w:hyperlink>
        </w:p>
        <w:p>
          <w:pPr>
            <w:pStyle w:val="11"/>
            <w:ind w:left="360"/>
            <w:tabs>
              <w:tab w:val="right" w:leader="dot" w:pos="9026"/>
            </w:tabs>
            <w:spacing w:before="120" w:after="60"/>
          </w:pPr>
          <w:hyperlink w:anchor="_Toc100066" w:history="1">
            <w:r>
              <w:rPr>
                <w:rStyle w:val="Hyperlink"/>
              </w:rPr>
              <w:t>Invoice Generation</w:t>
            </w:r>
            <w:r>
              <w:tab/>
            </w:r>
            <w:r>
              <w:fldChar w:fldCharType="begin"/>
            </w:r>
            <w:r>
              <w:instrText xml:space="preserve"> PAGEREF _Toc100066 \h </w:instrText>
            </w:r>
            <w:r>
              <w:fldChar w:fldCharType="separate"/>
            </w:r>
            <w:r>
              <w:t>21</w:t>
            </w:r>
            <w:r>
              <w:fldChar w:fldCharType="end"/>
            </w:r>
          </w:hyperlink>
        </w:p>
        <w:p>
          <w:pPr>
            <w:pStyle w:val="11"/>
            <w:ind w:left="360"/>
            <w:tabs>
              <w:tab w:val="right" w:leader="dot" w:pos="9026"/>
            </w:tabs>
            <w:spacing w:before="120" w:after="60"/>
          </w:pPr>
          <w:hyperlink w:anchor="_Toc100067" w:history="1">
            <w:r>
              <w:rPr>
                <w:rStyle w:val="Hyperlink"/>
              </w:rPr>
              <w:t>Business Rules</w:t>
            </w:r>
            <w:r>
              <w:tab/>
            </w:r>
            <w:r>
              <w:fldChar w:fldCharType="begin"/>
            </w:r>
            <w:r>
              <w:instrText xml:space="preserve"> PAGEREF _Toc100067 \h </w:instrText>
            </w:r>
            <w:r>
              <w:fldChar w:fldCharType="separate"/>
            </w:r>
            <w:r>
              <w:t>21</w:t>
            </w:r>
            <w:r>
              <w:fldChar w:fldCharType="end"/>
            </w:r>
          </w:hyperlink>
        </w:p>
        <w:p>
          <w:pPr>
            <w:pStyle w:val="9"/>
            <w:tabs>
              <w:tab w:val="right" w:leader="dot" w:pos="9026"/>
            </w:tabs>
            <w:spacing w:before="120" w:after="60"/>
          </w:pPr>
          <w:hyperlink w:anchor="_Toc100068" w:history="1">
            <w:r>
              <w:rPr>
                <w:rStyle w:val="Hyperlink"/>
              </w:rPr>
              <w:t>Module 8: Tax Management (eTIMS/TIMS)</w:t>
            </w:r>
            <w:r>
              <w:tab/>
            </w:r>
            <w:r>
              <w:fldChar w:fldCharType="begin"/>
            </w:r>
            <w:r>
              <w:instrText xml:space="preserve"> PAGEREF _Toc100068 \h </w:instrText>
            </w:r>
            <w:r>
              <w:fldChar w:fldCharType="separate"/>
            </w:r>
            <w:r>
              <w:t>22</w:t>
            </w:r>
            <w:r>
              <w:fldChar w:fldCharType="end"/>
            </w:r>
          </w:hyperlink>
        </w:p>
        <w:p>
          <w:pPr>
            <w:pStyle w:val="11"/>
            <w:ind w:left="360"/>
            <w:tabs>
              <w:tab w:val="right" w:leader="dot" w:pos="9026"/>
            </w:tabs>
            <w:spacing w:before="120" w:after="60"/>
          </w:pPr>
          <w:hyperlink w:anchor="_Toc100069" w:history="1">
            <w:r>
              <w:rPr>
                <w:rStyle w:val="Hyperlink"/>
              </w:rPr>
              <w:t>Overview</w:t>
            </w:r>
            <w:r>
              <w:tab/>
            </w:r>
            <w:r>
              <w:fldChar w:fldCharType="begin"/>
            </w:r>
            <w:r>
              <w:instrText xml:space="preserve"> PAGEREF _Toc100069 \h </w:instrText>
            </w:r>
            <w:r>
              <w:fldChar w:fldCharType="separate"/>
            </w:r>
            <w:r>
              <w:t>22</w:t>
            </w:r>
            <w:r>
              <w:fldChar w:fldCharType="end"/>
            </w:r>
          </w:hyperlink>
        </w:p>
        <w:p>
          <w:pPr>
            <w:pStyle w:val="11"/>
            <w:ind w:left="360"/>
            <w:tabs>
              <w:tab w:val="right" w:leader="dot" w:pos="9026"/>
            </w:tabs>
            <w:spacing w:before="120" w:after="60"/>
          </w:pPr>
          <w:hyperlink w:anchor="_Toc100070" w:history="1">
            <w:r>
              <w:rPr>
                <w:rStyle w:val="Hyperlink"/>
              </w:rPr>
              <w:t>Tax Configuration</w:t>
            </w:r>
            <w:r>
              <w:tab/>
            </w:r>
            <w:r>
              <w:fldChar w:fldCharType="begin"/>
            </w:r>
            <w:r>
              <w:instrText xml:space="preserve"> PAGEREF _Toc100070 \h </w:instrText>
            </w:r>
            <w:r>
              <w:fldChar w:fldCharType="separate"/>
            </w:r>
            <w:r>
              <w:t>23</w:t>
            </w:r>
            <w:r>
              <w:fldChar w:fldCharType="end"/>
            </w:r>
          </w:hyperlink>
        </w:p>
        <w:p>
          <w:pPr>
            <w:pStyle w:val="12"/>
            <w:ind w:left="720"/>
            <w:tabs>
              <w:tab w:val="right" w:leader="dot" w:pos="9026"/>
            </w:tabs>
            <w:spacing w:before="120" w:after="60"/>
          </w:pPr>
          <w:hyperlink w:anchor="_Toc100071" w:history="1">
            <w:r>
              <w:rPr>
                <w:rStyle w:val="Hyperlink"/>
              </w:rPr>
              <w:t>Tax Categories and Rates</w:t>
            </w:r>
            <w:r>
              <w:tab/>
            </w:r>
            <w:r>
              <w:fldChar w:fldCharType="begin"/>
            </w:r>
            <w:r>
              <w:instrText xml:space="preserve"> PAGEREF _Toc100071 \h </w:instrText>
            </w:r>
            <w:r>
              <w:fldChar w:fldCharType="separate"/>
            </w:r>
            <w:r>
              <w:t>23</w:t>
            </w:r>
            <w:r>
              <w:fldChar w:fldCharType="end"/>
            </w:r>
          </w:hyperlink>
        </w:p>
        <w:p>
          <w:pPr>
            <w:pStyle w:val="12"/>
            <w:ind w:left="720"/>
            <w:tabs>
              <w:tab w:val="right" w:leader="dot" w:pos="9026"/>
            </w:tabs>
            <w:spacing w:before="120" w:after="60"/>
          </w:pPr>
          <w:hyperlink w:anchor="_Toc100072" w:history="1">
            <w:r>
              <w:rPr>
                <w:rStyle w:val="Hyperlink"/>
              </w:rPr>
              <w:t>Tax Mapping</w:t>
            </w:r>
            <w:r>
              <w:tab/>
            </w:r>
            <w:r>
              <w:fldChar w:fldCharType="begin"/>
            </w:r>
            <w:r>
              <w:instrText xml:space="preserve"> PAGEREF _Toc100072 \h </w:instrText>
            </w:r>
            <w:r>
              <w:fldChar w:fldCharType="separate"/>
            </w:r>
            <w:r>
              <w:t>23</w:t>
            </w:r>
            <w:r>
              <w:fldChar w:fldCharType="end"/>
            </w:r>
          </w:hyperlink>
        </w:p>
        <w:p>
          <w:pPr>
            <w:pStyle w:val="11"/>
            <w:ind w:left="360"/>
            <w:tabs>
              <w:tab w:val="right" w:leader="dot" w:pos="9026"/>
            </w:tabs>
            <w:spacing w:before="120" w:after="60"/>
          </w:pPr>
          <w:hyperlink w:anchor="_Toc100073" w:history="1">
            <w:r>
              <w:rPr>
                <w:rStyle w:val="Hyperlink"/>
              </w:rPr>
              <w:t>eTIMS Integration</w:t>
            </w:r>
            <w:r>
              <w:tab/>
            </w:r>
            <w:r>
              <w:fldChar w:fldCharType="begin"/>
            </w:r>
            <w:r>
              <w:instrText xml:space="preserve"> PAGEREF _Toc100073 \h </w:instrText>
            </w:r>
            <w:r>
              <w:fldChar w:fldCharType="separate"/>
            </w:r>
            <w:r>
              <w:t>23</w:t>
            </w:r>
            <w:r>
              <w:fldChar w:fldCharType="end"/>
            </w:r>
          </w:hyperlink>
        </w:p>
        <w:p>
          <w:pPr>
            <w:pStyle w:val="12"/>
            <w:ind w:left="720"/>
            <w:tabs>
              <w:tab w:val="right" w:leader="dot" w:pos="9026"/>
            </w:tabs>
            <w:spacing w:before="120" w:after="60"/>
          </w:pPr>
          <w:hyperlink w:anchor="_Toc100074" w:history="1">
            <w:r>
              <w:rPr>
                <w:rStyle w:val="Hyperlink"/>
              </w:rPr>
              <w:t>Invoice Submission</w:t>
            </w:r>
            <w:r>
              <w:tab/>
            </w:r>
            <w:r>
              <w:fldChar w:fldCharType="begin"/>
            </w:r>
            <w:r>
              <w:instrText xml:space="preserve"> PAGEREF _Toc100074 \h </w:instrText>
            </w:r>
            <w:r>
              <w:fldChar w:fldCharType="separate"/>
            </w:r>
            <w:r>
              <w:t>23</w:t>
            </w:r>
            <w:r>
              <w:fldChar w:fldCharType="end"/>
            </w:r>
          </w:hyperlink>
        </w:p>
        <w:p>
          <w:pPr>
            <w:pStyle w:val="12"/>
            <w:ind w:left="720"/>
            <w:tabs>
              <w:tab w:val="right" w:leader="dot" w:pos="9026"/>
            </w:tabs>
            <w:spacing w:before="120" w:after="60"/>
          </w:pPr>
          <w:hyperlink w:anchor="_Toc100075" w:history="1">
            <w:r>
              <w:rPr>
                <w:rStyle w:val="Hyperlink"/>
              </w:rPr>
              <w:t>Credit Notes and Refunds</w:t>
            </w:r>
            <w:r>
              <w:tab/>
            </w:r>
            <w:r>
              <w:fldChar w:fldCharType="begin"/>
            </w:r>
            <w:r>
              <w:instrText xml:space="preserve"> PAGEREF _Toc100075 \h </w:instrText>
            </w:r>
            <w:r>
              <w:fldChar w:fldCharType="separate"/>
            </w:r>
            <w:r>
              <w:t>24</w:t>
            </w:r>
            <w:r>
              <w:fldChar w:fldCharType="end"/>
            </w:r>
          </w:hyperlink>
        </w:p>
        <w:p>
          <w:pPr>
            <w:pStyle w:val="12"/>
            <w:ind w:left="720"/>
            <w:tabs>
              <w:tab w:val="right" w:leader="dot" w:pos="9026"/>
            </w:tabs>
            <w:spacing w:before="120" w:after="60"/>
          </w:pPr>
          <w:hyperlink w:anchor="_Toc100076" w:history="1">
            <w:r>
              <w:rPr>
                <w:rStyle w:val="Hyperlink"/>
              </w:rPr>
              <w:t>Offline eTIMS Handling</w:t>
            </w:r>
            <w:r>
              <w:tab/>
            </w:r>
            <w:r>
              <w:fldChar w:fldCharType="begin"/>
            </w:r>
            <w:r>
              <w:instrText xml:space="preserve"> PAGEREF _Toc100076 \h </w:instrText>
            </w:r>
            <w:r>
              <w:fldChar w:fldCharType="separate"/>
            </w:r>
            <w:r>
              <w:t>24</w:t>
            </w:r>
            <w:r>
              <w:fldChar w:fldCharType="end"/>
            </w:r>
          </w:hyperlink>
        </w:p>
        <w:p>
          <w:pPr>
            <w:pStyle w:val="11"/>
            <w:ind w:left="360"/>
            <w:tabs>
              <w:tab w:val="right" w:leader="dot" w:pos="9026"/>
            </w:tabs>
            <w:spacing w:before="120" w:after="60"/>
          </w:pPr>
          <w:hyperlink w:anchor="_Toc100077" w:history="1">
            <w:r>
              <w:rPr>
                <w:rStyle w:val="Hyperlink"/>
              </w:rPr>
              <w:t>Tax Reporting</w:t>
            </w:r>
            <w:r>
              <w:tab/>
            </w:r>
            <w:r>
              <w:fldChar w:fldCharType="begin"/>
            </w:r>
            <w:r>
              <w:instrText xml:space="preserve"> PAGEREF _Toc100077 \h </w:instrText>
            </w:r>
            <w:r>
              <w:fldChar w:fldCharType="separate"/>
            </w:r>
            <w:r>
              <w:t>24</w:t>
            </w:r>
            <w:r>
              <w:fldChar w:fldCharType="end"/>
            </w:r>
          </w:hyperlink>
        </w:p>
        <w:p>
          <w:pPr>
            <w:pStyle w:val="11"/>
            <w:ind w:left="360"/>
            <w:tabs>
              <w:tab w:val="right" w:leader="dot" w:pos="9026"/>
            </w:tabs>
            <w:spacing w:before="120" w:after="60"/>
          </w:pPr>
          <w:hyperlink w:anchor="_Toc100078" w:history="1">
            <w:r>
              <w:rPr>
                <w:rStyle w:val="Hyperlink"/>
              </w:rPr>
              <w:t>Business Rules</w:t>
            </w:r>
            <w:r>
              <w:tab/>
            </w:r>
            <w:r>
              <w:fldChar w:fldCharType="begin"/>
            </w:r>
            <w:r>
              <w:instrText xml:space="preserve"> PAGEREF _Toc100078 \h </w:instrText>
            </w:r>
            <w:r>
              <w:fldChar w:fldCharType="separate"/>
            </w:r>
            <w:r>
              <w:t>24</w:t>
            </w:r>
            <w:r>
              <w:fldChar w:fldCharType="end"/>
            </w:r>
          </w:hyperlink>
        </w:p>
        <w:p>
          <w:pPr>
            <w:pStyle w:val="9"/>
            <w:tabs>
              <w:tab w:val="right" w:leader="dot" w:pos="9026"/>
            </w:tabs>
            <w:spacing w:before="120" w:after="60"/>
          </w:pPr>
          <w:hyperlink w:anchor="_Toc100079" w:history="1">
            <w:r>
              <w:rPr>
                <w:rStyle w:val="Hyperlink"/>
              </w:rPr>
              <w:t>Module 9: Expense Management</w:t>
            </w:r>
            <w:r>
              <w:tab/>
            </w:r>
            <w:r>
              <w:fldChar w:fldCharType="begin"/>
            </w:r>
            <w:r>
              <w:instrText xml:space="preserve"> PAGEREF _Toc100079 \h </w:instrText>
            </w:r>
            <w:r>
              <w:fldChar w:fldCharType="separate"/>
            </w:r>
            <w:r>
              <w:t>25</w:t>
            </w:r>
            <w:r>
              <w:fldChar w:fldCharType="end"/>
            </w:r>
          </w:hyperlink>
        </w:p>
        <w:p>
          <w:pPr>
            <w:pStyle w:val="11"/>
            <w:ind w:left="360"/>
            <w:tabs>
              <w:tab w:val="right" w:leader="dot" w:pos="9026"/>
            </w:tabs>
            <w:spacing w:before="120" w:after="60"/>
          </w:pPr>
          <w:hyperlink w:anchor="_Toc100080" w:history="1">
            <w:r>
              <w:rPr>
                <w:rStyle w:val="Hyperlink"/>
              </w:rPr>
              <w:t>Overview</w:t>
            </w:r>
            <w:r>
              <w:tab/>
            </w:r>
            <w:r>
              <w:fldChar w:fldCharType="begin"/>
            </w:r>
            <w:r>
              <w:instrText xml:space="preserve"> PAGEREF _Toc100080 \h </w:instrText>
            </w:r>
            <w:r>
              <w:fldChar w:fldCharType="separate"/>
            </w:r>
            <w:r>
              <w:t>25</w:t>
            </w:r>
            <w:r>
              <w:fldChar w:fldCharType="end"/>
            </w:r>
          </w:hyperlink>
        </w:p>
        <w:p>
          <w:pPr>
            <w:pStyle w:val="11"/>
            <w:ind w:left="360"/>
            <w:tabs>
              <w:tab w:val="right" w:leader="dot" w:pos="9026"/>
            </w:tabs>
            <w:spacing w:before="120" w:after="60"/>
          </w:pPr>
          <w:hyperlink w:anchor="_Toc100081" w:history="1">
            <w:r>
              <w:rPr>
                <w:rStyle w:val="Hyperlink"/>
              </w:rPr>
              <w:t>Expense Categories and Budgets</w:t>
            </w:r>
            <w:r>
              <w:tab/>
            </w:r>
            <w:r>
              <w:fldChar w:fldCharType="begin"/>
            </w:r>
            <w:r>
              <w:instrText xml:space="preserve"> PAGEREF _Toc100081 \h </w:instrText>
            </w:r>
            <w:r>
              <w:fldChar w:fldCharType="separate"/>
            </w:r>
            <w:r>
              <w:t>26</w:t>
            </w:r>
            <w:r>
              <w:fldChar w:fldCharType="end"/>
            </w:r>
          </w:hyperlink>
        </w:p>
        <w:p>
          <w:pPr>
            <w:pStyle w:val="11"/>
            <w:ind w:left="360"/>
            <w:tabs>
              <w:tab w:val="right" w:leader="dot" w:pos="9026"/>
            </w:tabs>
            <w:spacing w:before="120" w:after="60"/>
          </w:pPr>
          <w:hyperlink w:anchor="_Toc100082" w:history="1">
            <w:r>
              <w:rPr>
                <w:rStyle w:val="Hyperlink"/>
              </w:rPr>
              <w:t>Expense Workflow</w:t>
            </w:r>
            <w:r>
              <w:tab/>
            </w:r>
            <w:r>
              <w:fldChar w:fldCharType="begin"/>
            </w:r>
            <w:r>
              <w:instrText xml:space="preserve"> PAGEREF _Toc100082 \h </w:instrText>
            </w:r>
            <w:r>
              <w:fldChar w:fldCharType="separate"/>
            </w:r>
            <w:r>
              <w:t>26</w:t>
            </w:r>
            <w:r>
              <w:fldChar w:fldCharType="end"/>
            </w:r>
          </w:hyperlink>
        </w:p>
        <w:p>
          <w:pPr>
            <w:pStyle w:val="12"/>
            <w:ind w:left="720"/>
            <w:tabs>
              <w:tab w:val="right" w:leader="dot" w:pos="9026"/>
            </w:tabs>
            <w:spacing w:before="120" w:after="60"/>
          </w:pPr>
          <w:hyperlink w:anchor="_Toc100083" w:history="1">
            <w:r>
              <w:rPr>
                <w:rStyle w:val="Hyperlink"/>
              </w:rPr>
              <w:t>Expense Entry</w:t>
            </w:r>
            <w:r>
              <w:tab/>
            </w:r>
            <w:r>
              <w:fldChar w:fldCharType="begin"/>
            </w:r>
            <w:r>
              <w:instrText xml:space="preserve"> PAGEREF _Toc100083 \h </w:instrText>
            </w:r>
            <w:r>
              <w:fldChar w:fldCharType="separate"/>
            </w:r>
            <w:r>
              <w:t>26</w:t>
            </w:r>
            <w:r>
              <w:fldChar w:fldCharType="end"/>
            </w:r>
          </w:hyperlink>
        </w:p>
        <w:p>
          <w:pPr>
            <w:pStyle w:val="12"/>
            <w:ind w:left="720"/>
            <w:tabs>
              <w:tab w:val="right" w:leader="dot" w:pos="9026"/>
            </w:tabs>
            <w:spacing w:before="120" w:after="60"/>
          </w:pPr>
          <w:hyperlink w:anchor="_Toc100084" w:history="1">
            <w:r>
              <w:rPr>
                <w:rStyle w:val="Hyperlink"/>
              </w:rPr>
              <w:t>Approval Workflow</w:t>
            </w:r>
            <w:r>
              <w:tab/>
            </w:r>
            <w:r>
              <w:fldChar w:fldCharType="begin"/>
            </w:r>
            <w:r>
              <w:instrText xml:space="preserve"> PAGEREF _Toc100084 \h </w:instrText>
            </w:r>
            <w:r>
              <w:fldChar w:fldCharType="separate"/>
            </w:r>
            <w:r>
              <w:t>26</w:t>
            </w:r>
            <w:r>
              <w:fldChar w:fldCharType="end"/>
            </w:r>
          </w:hyperlink>
        </w:p>
        <w:p>
          <w:pPr>
            <w:pStyle w:val="11"/>
            <w:ind w:left="360"/>
            <w:tabs>
              <w:tab w:val="right" w:leader="dot" w:pos="9026"/>
            </w:tabs>
            <w:spacing w:before="120" w:after="60"/>
          </w:pPr>
          <w:hyperlink w:anchor="_Toc100085" w:history="1">
            <w:r>
              <w:rPr>
                <w:rStyle w:val="Hyperlink"/>
              </w:rPr>
              <w:t>Business Rules</w:t>
            </w:r>
            <w:r>
              <w:tab/>
            </w:r>
            <w:r>
              <w:fldChar w:fldCharType="begin"/>
            </w:r>
            <w:r>
              <w:instrText xml:space="preserve"> PAGEREF _Toc100085 \h </w:instrText>
            </w:r>
            <w:r>
              <w:fldChar w:fldCharType="separate"/>
            </w:r>
            <w:r>
              <w:t>26</w:t>
            </w:r>
            <w:r>
              <w:fldChar w:fldCharType="end"/>
            </w:r>
          </w:hyperlink>
        </w:p>
        <w:p>
          <w:pPr>
            <w:pStyle w:val="9"/>
            <w:tabs>
              <w:tab w:val="right" w:leader="dot" w:pos="9026"/>
            </w:tabs>
            <w:spacing w:before="120" w:after="60"/>
          </w:pPr>
          <w:hyperlink w:anchor="_Toc100086" w:history="1">
            <w:r>
              <w:rPr>
                <w:rStyle w:val="Hyperlink"/>
              </w:rPr>
              <w:t>Module 10: Voucher Management</w:t>
            </w:r>
            <w:r>
              <w:tab/>
            </w:r>
            <w:r>
              <w:fldChar w:fldCharType="begin"/>
            </w:r>
            <w:r>
              <w:instrText xml:space="preserve"> PAGEREF _Toc100086 \h </w:instrText>
            </w:r>
            <w:r>
              <w:fldChar w:fldCharType="separate"/>
            </w:r>
            <w:r>
              <w:t>27</w:t>
            </w:r>
            <w:r>
              <w:fldChar w:fldCharType="end"/>
            </w:r>
          </w:hyperlink>
        </w:p>
        <w:p>
          <w:pPr>
            <w:pStyle w:val="11"/>
            <w:ind w:left="360"/>
            <w:tabs>
              <w:tab w:val="right" w:leader="dot" w:pos="9026"/>
            </w:tabs>
            <w:spacing w:before="120" w:after="60"/>
          </w:pPr>
          <w:hyperlink w:anchor="_Toc100087" w:history="1">
            <w:r>
              <w:rPr>
                <w:rStyle w:val="Hyperlink"/>
              </w:rPr>
              <w:t>Overview</w:t>
            </w:r>
            <w:r>
              <w:tab/>
            </w:r>
            <w:r>
              <w:fldChar w:fldCharType="begin"/>
            </w:r>
            <w:r>
              <w:instrText xml:space="preserve"> PAGEREF _Toc100087 \h </w:instrText>
            </w:r>
            <w:r>
              <w:fldChar w:fldCharType="separate"/>
            </w:r>
            <w:r>
              <w:t>27</w:t>
            </w:r>
            <w:r>
              <w:fldChar w:fldCharType="end"/>
            </w:r>
          </w:hyperlink>
        </w:p>
        <w:p>
          <w:pPr>
            <w:pStyle w:val="11"/>
            <w:ind w:left="360"/>
            <w:tabs>
              <w:tab w:val="right" w:leader="dot" w:pos="9026"/>
            </w:tabs>
            <w:spacing w:before="120" w:after="60"/>
          </w:pPr>
          <w:hyperlink w:anchor="_Toc100088" w:history="1">
            <w:r>
              <w:rPr>
                <w:rStyle w:val="Hyperlink"/>
              </w:rPr>
              <w:t>Voucher Types and Rules</w:t>
            </w:r>
            <w:r>
              <w:tab/>
            </w:r>
            <w:r>
              <w:fldChar w:fldCharType="begin"/>
            </w:r>
            <w:r>
              <w:instrText xml:space="preserve"> PAGEREF _Toc100088 \h </w:instrText>
            </w:r>
            <w:r>
              <w:fldChar w:fldCharType="separate"/>
            </w:r>
            <w:r>
              <w:t>28</w:t>
            </w:r>
            <w:r>
              <w:fldChar w:fldCharType="end"/>
            </w:r>
          </w:hyperlink>
        </w:p>
        <w:p>
          <w:pPr>
            <w:pStyle w:val="11"/>
            <w:ind w:left="360"/>
            <w:tabs>
              <w:tab w:val="right" w:leader="dot" w:pos="9026"/>
            </w:tabs>
            <w:spacing w:before="120" w:after="60"/>
          </w:pPr>
          <w:hyperlink w:anchor="_Toc100089" w:history="1">
            <w:r>
              <w:rPr>
                <w:rStyle w:val="Hyperlink"/>
              </w:rPr>
              <w:t>Voucher Lifecycle</w:t>
            </w:r>
            <w:r>
              <w:tab/>
            </w:r>
            <w:r>
              <w:fldChar w:fldCharType="begin"/>
            </w:r>
            <w:r>
              <w:instrText xml:space="preserve"> PAGEREF _Toc100089 \h </w:instrText>
            </w:r>
            <w:r>
              <w:fldChar w:fldCharType="separate"/>
            </w:r>
            <w:r>
              <w:t>28</w:t>
            </w:r>
            <w:r>
              <w:fldChar w:fldCharType="end"/>
            </w:r>
          </w:hyperlink>
        </w:p>
        <w:p>
          <w:pPr>
            <w:pStyle w:val="11"/>
            <w:ind w:left="360"/>
            <w:tabs>
              <w:tab w:val="right" w:leader="dot" w:pos="9026"/>
            </w:tabs>
            <w:spacing w:before="120" w:after="60"/>
          </w:pPr>
          <w:hyperlink w:anchor="_Toc100090" w:history="1">
            <w:r>
              <w:rPr>
                <w:rStyle w:val="Hyperlink"/>
              </w:rPr>
              <w:t>Campaign Management</w:t>
            </w:r>
            <w:r>
              <w:tab/>
            </w:r>
            <w:r>
              <w:fldChar w:fldCharType="begin"/>
            </w:r>
            <w:r>
              <w:instrText xml:space="preserve"> PAGEREF _Toc100090 \h </w:instrText>
            </w:r>
            <w:r>
              <w:fldChar w:fldCharType="separate"/>
            </w:r>
            <w:r>
              <w:t>28</w:t>
            </w:r>
            <w:r>
              <w:fldChar w:fldCharType="end"/>
            </w:r>
          </w:hyperlink>
        </w:p>
        <w:p>
          <w:pPr>
            <w:pStyle w:val="11"/>
            <w:ind w:left="360"/>
            <w:tabs>
              <w:tab w:val="right" w:leader="dot" w:pos="9026"/>
            </w:tabs>
            <w:spacing w:before="120" w:after="60"/>
          </w:pPr>
          <w:hyperlink w:anchor="_Toc100091" w:history="1">
            <w:r>
              <w:rPr>
                <w:rStyle w:val="Hyperlink"/>
              </w:rPr>
              <w:t>Business Rules</w:t>
            </w:r>
            <w:r>
              <w:tab/>
            </w:r>
            <w:r>
              <w:fldChar w:fldCharType="begin"/>
            </w:r>
            <w:r>
              <w:instrText xml:space="preserve"> PAGEREF _Toc100091 \h </w:instrText>
            </w:r>
            <w:r>
              <w:fldChar w:fldCharType="separate"/>
            </w:r>
            <w:r>
              <w:t>28</w:t>
            </w:r>
            <w:r>
              <w:fldChar w:fldCharType="end"/>
            </w:r>
          </w:hyperlink>
        </w:p>
        <w:p>
          <w:pPr>
            <w:pStyle w:val="9"/>
            <w:tabs>
              <w:tab w:val="right" w:leader="dot" w:pos="9026"/>
            </w:tabs>
            <w:spacing w:before="120" w:after="60"/>
          </w:pPr>
          <w:hyperlink w:anchor="_Toc100092" w:history="1">
            <w:r>
              <w:rPr>
                <w:rStyle w:val="Hyperlink"/>
              </w:rPr>
              <w:t>Module 11: Accounts and Accounting</w:t>
            </w:r>
            <w:r>
              <w:tab/>
            </w:r>
            <w:r>
              <w:fldChar w:fldCharType="begin"/>
            </w:r>
            <w:r>
              <w:instrText xml:space="preserve"> PAGEREF _Toc100092 \h </w:instrText>
            </w:r>
            <w:r>
              <w:fldChar w:fldCharType="separate"/>
            </w:r>
            <w:r>
              <w:t>29</w:t>
            </w:r>
            <w:r>
              <w:fldChar w:fldCharType="end"/>
            </w:r>
          </w:hyperlink>
        </w:p>
        <w:p>
          <w:pPr>
            <w:pStyle w:val="11"/>
            <w:ind w:left="360"/>
            <w:tabs>
              <w:tab w:val="right" w:leader="dot" w:pos="9026"/>
            </w:tabs>
            <w:spacing w:before="120" w:after="60"/>
          </w:pPr>
          <w:hyperlink w:anchor="_Toc100093" w:history="1">
            <w:r>
              <w:rPr>
                <w:rStyle w:val="Hyperlink"/>
              </w:rPr>
              <w:t>Overview</w:t>
            </w:r>
            <w:r>
              <w:tab/>
            </w:r>
            <w:r>
              <w:fldChar w:fldCharType="begin"/>
            </w:r>
            <w:r>
              <w:instrText xml:space="preserve"> PAGEREF _Toc100093 \h </w:instrText>
            </w:r>
            <w:r>
              <w:fldChar w:fldCharType="separate"/>
            </w:r>
            <w:r>
              <w:t>29</w:t>
            </w:r>
            <w:r>
              <w:fldChar w:fldCharType="end"/>
            </w:r>
          </w:hyperlink>
        </w:p>
        <w:p>
          <w:pPr>
            <w:pStyle w:val="11"/>
            <w:ind w:left="360"/>
            <w:tabs>
              <w:tab w:val="right" w:leader="dot" w:pos="9026"/>
            </w:tabs>
            <w:spacing w:before="120" w:after="60"/>
          </w:pPr>
          <w:hyperlink w:anchor="_Toc100094" w:history="1">
            <w:r>
              <w:rPr>
                <w:rStyle w:val="Hyperlink"/>
              </w:rPr>
              <w:t>Chart of Accounts</w:t>
            </w:r>
            <w:r>
              <w:tab/>
            </w:r>
            <w:r>
              <w:fldChar w:fldCharType="begin"/>
            </w:r>
            <w:r>
              <w:instrText xml:space="preserve"> PAGEREF _Toc100094 \h </w:instrText>
            </w:r>
            <w:r>
              <w:fldChar w:fldCharType="separate"/>
            </w:r>
            <w:r>
              <w:t>29</w:t>
            </w:r>
            <w:r>
              <w:fldChar w:fldCharType="end"/>
            </w:r>
          </w:hyperlink>
        </w:p>
        <w:p>
          <w:pPr>
            <w:pStyle w:val="11"/>
            <w:ind w:left="360"/>
            <w:tabs>
              <w:tab w:val="right" w:leader="dot" w:pos="9026"/>
            </w:tabs>
            <w:spacing w:before="120" w:after="60"/>
          </w:pPr>
          <w:hyperlink w:anchor="_Toc100095" w:history="1">
            <w:r>
              <w:rPr>
                <w:rStyle w:val="Hyperlink"/>
              </w:rPr>
              <w:t>Journal Entry Processing</w:t>
            </w:r>
            <w:r>
              <w:tab/>
            </w:r>
            <w:r>
              <w:fldChar w:fldCharType="begin"/>
            </w:r>
            <w:r>
              <w:instrText xml:space="preserve"> PAGEREF _Toc100095 \h </w:instrText>
            </w:r>
            <w:r>
              <w:fldChar w:fldCharType="separate"/>
            </w:r>
            <w:r>
              <w:t>30</w:t>
            </w:r>
            <w:r>
              <w:fldChar w:fldCharType="end"/>
            </w:r>
          </w:hyperlink>
        </w:p>
        <w:p>
          <w:pPr>
            <w:pStyle w:val="12"/>
            <w:ind w:left="720"/>
            <w:tabs>
              <w:tab w:val="right" w:leader="dot" w:pos="9026"/>
            </w:tabs>
            <w:spacing w:before="120" w:after="60"/>
          </w:pPr>
          <w:hyperlink w:anchor="_Toc100096" w:history="1">
            <w:r>
              <w:rPr>
                <w:rStyle w:val="Hyperlink"/>
              </w:rPr>
              <w:t>Automatic Journal Entries</w:t>
            </w:r>
            <w:r>
              <w:tab/>
            </w:r>
            <w:r>
              <w:fldChar w:fldCharType="begin"/>
            </w:r>
            <w:r>
              <w:instrText xml:space="preserve"> PAGEREF _Toc100096 \h </w:instrText>
            </w:r>
            <w:r>
              <w:fldChar w:fldCharType="separate"/>
            </w:r>
            <w:r>
              <w:t>30</w:t>
            </w:r>
            <w:r>
              <w:fldChar w:fldCharType="end"/>
            </w:r>
          </w:hyperlink>
        </w:p>
        <w:p>
          <w:pPr>
            <w:pStyle w:val="12"/>
            <w:ind w:left="720"/>
            <w:tabs>
              <w:tab w:val="right" w:leader="dot" w:pos="9026"/>
            </w:tabs>
            <w:spacing w:before="120" w:after="60"/>
          </w:pPr>
          <w:hyperlink w:anchor="_Toc100097" w:history="1">
            <w:r>
              <w:rPr>
                <w:rStyle w:val="Hyperlink"/>
              </w:rPr>
              <w:t>Manual Journal Entries</w:t>
            </w:r>
            <w:r>
              <w:tab/>
            </w:r>
            <w:r>
              <w:fldChar w:fldCharType="begin"/>
            </w:r>
            <w:r>
              <w:instrText xml:space="preserve"> PAGEREF _Toc100097 \h </w:instrText>
            </w:r>
            <w:r>
              <w:fldChar w:fldCharType="separate"/>
            </w:r>
            <w:r>
              <w:t>30</w:t>
            </w:r>
            <w:r>
              <w:fldChar w:fldCharType="end"/>
            </w:r>
          </w:hyperlink>
        </w:p>
        <w:p>
          <w:pPr>
            <w:pStyle w:val="11"/>
            <w:ind w:left="360"/>
            <w:tabs>
              <w:tab w:val="right" w:leader="dot" w:pos="9026"/>
            </w:tabs>
            <w:spacing w:before="120" w:after="60"/>
          </w:pPr>
          <w:hyperlink w:anchor="_Toc100098" w:history="1">
            <w:r>
              <w:rPr>
                <w:rStyle w:val="Hyperlink"/>
              </w:rPr>
              <w:t>Financial Reporting</w:t>
            </w:r>
            <w:r>
              <w:tab/>
            </w:r>
            <w:r>
              <w:fldChar w:fldCharType="begin"/>
            </w:r>
            <w:r>
              <w:instrText xml:space="preserve"> PAGEREF _Toc100098 \h </w:instrText>
            </w:r>
            <w:r>
              <w:fldChar w:fldCharType="separate"/>
            </w:r>
            <w:r>
              <w:t>30</w:t>
            </w:r>
            <w:r>
              <w:fldChar w:fldCharType="end"/>
            </w:r>
          </w:hyperlink>
        </w:p>
        <w:p>
          <w:pPr>
            <w:pStyle w:val="11"/>
            <w:ind w:left="360"/>
            <w:tabs>
              <w:tab w:val="right" w:leader="dot" w:pos="9026"/>
            </w:tabs>
            <w:spacing w:before="120" w:after="60"/>
          </w:pPr>
          <w:hyperlink w:anchor="_Toc100099" w:history="1">
            <w:r>
              <w:rPr>
                <w:rStyle w:val="Hyperlink"/>
              </w:rPr>
              <w:t>Business Rules</w:t>
            </w:r>
            <w:r>
              <w:tab/>
            </w:r>
            <w:r>
              <w:fldChar w:fldCharType="begin"/>
            </w:r>
            <w:r>
              <w:instrText xml:space="preserve"> PAGEREF _Toc100099 \h </w:instrText>
            </w:r>
            <w:r>
              <w:fldChar w:fldCharType="separate"/>
            </w:r>
            <w:r>
              <w:t>31</w:t>
            </w:r>
            <w:r>
              <w:fldChar w:fldCharType="end"/>
            </w:r>
          </w:hyperlink>
        </w:p>
        <w:p>
          <w:pPr>
            <w:pStyle w:val="9"/>
            <w:tabs>
              <w:tab w:val="right" w:leader="dot" w:pos="9026"/>
            </w:tabs>
            <w:spacing w:before="120" w:after="60"/>
          </w:pPr>
          <w:hyperlink w:anchor="_Toc100100" w:history="1">
            <w:r>
              <w:rPr>
                <w:rStyle w:val="Hyperlink"/>
              </w:rPr>
              <w:t>Module 12: Banking and Reconciliation</w:t>
            </w:r>
            <w:r>
              <w:tab/>
            </w:r>
            <w:r>
              <w:fldChar w:fldCharType="begin"/>
            </w:r>
            <w:r>
              <w:instrText xml:space="preserve"> PAGEREF _Toc100100 \h </w:instrText>
            </w:r>
            <w:r>
              <w:fldChar w:fldCharType="separate"/>
            </w:r>
            <w:r>
              <w:t>31</w:t>
            </w:r>
            <w:r>
              <w:fldChar w:fldCharType="end"/>
            </w:r>
          </w:hyperlink>
        </w:p>
        <w:p>
          <w:pPr>
            <w:pStyle w:val="11"/>
            <w:ind w:left="360"/>
            <w:tabs>
              <w:tab w:val="right" w:leader="dot" w:pos="9026"/>
            </w:tabs>
            <w:spacing w:before="120" w:after="60"/>
          </w:pPr>
          <w:hyperlink w:anchor="_Toc100101" w:history="1">
            <w:r>
              <w:rPr>
                <w:rStyle w:val="Hyperlink"/>
              </w:rPr>
              <w:t>Overview</w:t>
            </w:r>
            <w:r>
              <w:tab/>
            </w:r>
            <w:r>
              <w:fldChar w:fldCharType="begin"/>
            </w:r>
            <w:r>
              <w:instrText xml:space="preserve"> PAGEREF _Toc100101 \h </w:instrText>
            </w:r>
            <w:r>
              <w:fldChar w:fldCharType="separate"/>
            </w:r>
            <w:r>
              <w:t>31</w:t>
            </w:r>
            <w:r>
              <w:fldChar w:fldCharType="end"/>
            </w:r>
          </w:hyperlink>
        </w:p>
        <w:p>
          <w:pPr>
            <w:pStyle w:val="11"/>
            <w:ind w:left="360"/>
            <w:tabs>
              <w:tab w:val="right" w:leader="dot" w:pos="9026"/>
            </w:tabs>
            <w:spacing w:before="120" w:after="60"/>
          </w:pPr>
          <w:hyperlink w:anchor="_Toc100102" w:history="1">
            <w:r>
              <w:rPr>
                <w:rStyle w:val="Hyperlink"/>
              </w:rPr>
              <w:t>Bank Account Management</w:t>
            </w:r>
            <w:r>
              <w:tab/>
            </w:r>
            <w:r>
              <w:fldChar w:fldCharType="begin"/>
            </w:r>
            <w:r>
              <w:instrText xml:space="preserve"> PAGEREF _Toc100102 \h </w:instrText>
            </w:r>
            <w:r>
              <w:fldChar w:fldCharType="separate"/>
            </w:r>
            <w:r>
              <w:t>32</w:t>
            </w:r>
            <w:r>
              <w:fldChar w:fldCharType="end"/>
            </w:r>
          </w:hyperlink>
        </w:p>
        <w:p>
          <w:pPr>
            <w:pStyle w:val="11"/>
            <w:ind w:left="360"/>
            <w:tabs>
              <w:tab w:val="right" w:leader="dot" w:pos="9026"/>
            </w:tabs>
            <w:spacing w:before="120" w:after="60"/>
          </w:pPr>
          <w:hyperlink w:anchor="_Toc100103" w:history="1">
            <w:r>
              <w:rPr>
                <w:rStyle w:val="Hyperlink"/>
              </w:rPr>
              <w:t>Bank Reconciliation</w:t>
            </w:r>
            <w:r>
              <w:tab/>
            </w:r>
            <w:r>
              <w:fldChar w:fldCharType="begin"/>
            </w:r>
            <w:r>
              <w:instrText xml:space="preserve"> PAGEREF _Toc100103 \h </w:instrText>
            </w:r>
            <w:r>
              <w:fldChar w:fldCharType="separate"/>
            </w:r>
            <w:r>
              <w:t>32</w:t>
            </w:r>
            <w:r>
              <w:fldChar w:fldCharType="end"/>
            </w:r>
          </w:hyperlink>
        </w:p>
        <w:p>
          <w:pPr>
            <w:pStyle w:val="12"/>
            <w:ind w:left="720"/>
            <w:tabs>
              <w:tab w:val="right" w:leader="dot" w:pos="9026"/>
            </w:tabs>
            <w:spacing w:before="120" w:after="60"/>
          </w:pPr>
          <w:hyperlink w:anchor="_Toc100104" w:history="1">
            <w:r>
              <w:rPr>
                <w:rStyle w:val="Hyperlink"/>
              </w:rPr>
              <w:t>Reconciliation Process</w:t>
            </w:r>
            <w:r>
              <w:tab/>
            </w:r>
            <w:r>
              <w:fldChar w:fldCharType="begin"/>
            </w:r>
            <w:r>
              <w:instrText xml:space="preserve"> PAGEREF _Toc100104 \h </w:instrText>
            </w:r>
            <w:r>
              <w:fldChar w:fldCharType="separate"/>
            </w:r>
            <w:r>
              <w:t>32</w:t>
            </w:r>
            <w:r>
              <w:fldChar w:fldCharType="end"/>
            </w:r>
          </w:hyperlink>
        </w:p>
        <w:p>
          <w:pPr>
            <w:pStyle w:val="12"/>
            <w:ind w:left="720"/>
            <w:tabs>
              <w:tab w:val="right" w:leader="dot" w:pos="9026"/>
            </w:tabs>
            <w:spacing w:before="120" w:after="60"/>
          </w:pPr>
          <w:hyperlink w:anchor="_Toc100105" w:history="1">
            <w:r>
              <w:rPr>
                <w:rStyle w:val="Hyperlink"/>
              </w:rPr>
              <w:t>M-Pesa Reconciliation</w:t>
            </w:r>
            <w:r>
              <w:tab/>
            </w:r>
            <w:r>
              <w:fldChar w:fldCharType="begin"/>
            </w:r>
            <w:r>
              <w:instrText xml:space="preserve"> PAGEREF _Toc100105 \h </w:instrText>
            </w:r>
            <w:r>
              <w:fldChar w:fldCharType="separate"/>
            </w:r>
            <w:r>
              <w:t>32</w:t>
            </w:r>
            <w:r>
              <w:fldChar w:fldCharType="end"/>
            </w:r>
          </w:hyperlink>
        </w:p>
        <w:p>
          <w:pPr>
            <w:pStyle w:val="11"/>
            <w:ind w:left="360"/>
            <w:tabs>
              <w:tab w:val="right" w:leader="dot" w:pos="9026"/>
            </w:tabs>
            <w:spacing w:before="120" w:after="60"/>
          </w:pPr>
          <w:hyperlink w:anchor="_Toc100106" w:history="1">
            <w:r>
              <w:rPr>
                <w:rStyle w:val="Hyperlink"/>
              </w:rPr>
              <w:t>Business Rules</w:t>
            </w:r>
            <w:r>
              <w:tab/>
            </w:r>
            <w:r>
              <w:fldChar w:fldCharType="begin"/>
            </w:r>
            <w:r>
              <w:instrText xml:space="preserve"> PAGEREF _Toc100106 \h </w:instrText>
            </w:r>
            <w:r>
              <w:fldChar w:fldCharType="separate"/>
            </w:r>
            <w:r>
              <w:t>33</w:t>
            </w:r>
            <w:r>
              <w:fldChar w:fldCharType="end"/>
            </w:r>
          </w:hyperlink>
        </w:p>
        <w:p>
          <w:pPr>
            <w:pStyle w:val="9"/>
            <w:tabs>
              <w:tab w:val="right" w:leader="dot" w:pos="9026"/>
            </w:tabs>
            <w:spacing w:before="120" w:after="60"/>
          </w:pPr>
          <w:hyperlink w:anchor="_Toc100107" w:history="1">
            <w:r>
              <w:rPr>
                <w:rStyle w:val="Hyperlink"/>
              </w:rPr>
              <w:t>Module 13: User Management and Security</w:t>
            </w:r>
            <w:r>
              <w:tab/>
            </w:r>
            <w:r>
              <w:fldChar w:fldCharType="begin"/>
            </w:r>
            <w:r>
              <w:instrText xml:space="preserve"> PAGEREF _Toc100107 \h </w:instrText>
            </w:r>
            <w:r>
              <w:fldChar w:fldCharType="separate"/>
            </w:r>
            <w:r>
              <w:t>33</w:t>
            </w:r>
            <w:r>
              <w:fldChar w:fldCharType="end"/>
            </w:r>
          </w:hyperlink>
        </w:p>
        <w:p>
          <w:pPr>
            <w:pStyle w:val="11"/>
            <w:ind w:left="360"/>
            <w:tabs>
              <w:tab w:val="right" w:leader="dot" w:pos="9026"/>
            </w:tabs>
            <w:spacing w:before="120" w:after="60"/>
          </w:pPr>
          <w:hyperlink w:anchor="_Toc100108" w:history="1">
            <w:r>
              <w:rPr>
                <w:rStyle w:val="Hyperlink"/>
              </w:rPr>
              <w:t>Overview</w:t>
            </w:r>
            <w:r>
              <w:tab/>
            </w:r>
            <w:r>
              <w:fldChar w:fldCharType="begin"/>
            </w:r>
            <w:r>
              <w:instrText xml:space="preserve"> PAGEREF _Toc100108 \h </w:instrText>
            </w:r>
            <w:r>
              <w:fldChar w:fldCharType="separate"/>
            </w:r>
            <w:r>
              <w:t>33</w:t>
            </w:r>
            <w:r>
              <w:fldChar w:fldCharType="end"/>
            </w:r>
          </w:hyperlink>
        </w:p>
        <w:p>
          <w:pPr>
            <w:pStyle w:val="11"/>
            <w:ind w:left="360"/>
            <w:tabs>
              <w:tab w:val="right" w:leader="dot" w:pos="9026"/>
            </w:tabs>
            <w:spacing w:before="120" w:after="60"/>
          </w:pPr>
          <w:hyperlink w:anchor="_Toc100109" w:history="1">
            <w:r>
              <w:rPr>
                <w:rStyle w:val="Hyperlink"/>
              </w:rPr>
              <w:t>Role-Based Access Control</w:t>
            </w:r>
            <w:r>
              <w:tab/>
            </w:r>
            <w:r>
              <w:fldChar w:fldCharType="begin"/>
            </w:r>
            <w:r>
              <w:instrText xml:space="preserve"> PAGEREF _Toc100109 \h </w:instrText>
            </w:r>
            <w:r>
              <w:fldChar w:fldCharType="separate"/>
            </w:r>
            <w:r>
              <w:t>34</w:t>
            </w:r>
            <w:r>
              <w:fldChar w:fldCharType="end"/>
            </w:r>
          </w:hyperlink>
        </w:p>
        <w:p>
          <w:pPr>
            <w:pStyle w:val="12"/>
            <w:ind w:left="720"/>
            <w:tabs>
              <w:tab w:val="right" w:leader="dot" w:pos="9026"/>
            </w:tabs>
            <w:spacing w:before="120" w:after="60"/>
          </w:pPr>
          <w:hyperlink w:anchor="_Toc100110" w:history="1">
            <w:r>
              <w:rPr>
                <w:rStyle w:val="Hyperlink"/>
              </w:rPr>
              <w:t>Role Definitions</w:t>
            </w:r>
            <w:r>
              <w:tab/>
            </w:r>
            <w:r>
              <w:fldChar w:fldCharType="begin"/>
            </w:r>
            <w:r>
              <w:instrText xml:space="preserve"> PAGEREF _Toc100110 \h </w:instrText>
            </w:r>
            <w:r>
              <w:fldChar w:fldCharType="separate"/>
            </w:r>
            <w:r>
              <w:t>34</w:t>
            </w:r>
            <w:r>
              <w:fldChar w:fldCharType="end"/>
            </w:r>
          </w:hyperlink>
        </w:p>
        <w:p>
          <w:pPr>
            <w:pStyle w:val="12"/>
            <w:ind w:left="720"/>
            <w:tabs>
              <w:tab w:val="right" w:leader="dot" w:pos="9026"/>
            </w:tabs>
            <w:spacing w:before="120" w:after="60"/>
          </w:pPr>
          <w:hyperlink w:anchor="_Toc100111" w:history="1">
            <w:r>
              <w:rPr>
                <w:rStyle w:val="Hyperlink"/>
              </w:rPr>
              <w:t>Permission Granularity</w:t>
            </w:r>
            <w:r>
              <w:tab/>
            </w:r>
            <w:r>
              <w:fldChar w:fldCharType="begin"/>
            </w:r>
            <w:r>
              <w:instrText xml:space="preserve"> PAGEREF _Toc100111 \h </w:instrText>
            </w:r>
            <w:r>
              <w:fldChar w:fldCharType="separate"/>
            </w:r>
            <w:r>
              <w:t>34</w:t>
            </w:r>
            <w:r>
              <w:fldChar w:fldCharType="end"/>
            </w:r>
          </w:hyperlink>
        </w:p>
        <w:p>
          <w:pPr>
            <w:pStyle w:val="11"/>
            <w:ind w:left="360"/>
            <w:tabs>
              <w:tab w:val="right" w:leader="dot" w:pos="9026"/>
            </w:tabs>
            <w:spacing w:before="120" w:after="60"/>
          </w:pPr>
          <w:hyperlink w:anchor="_Toc100112" w:history="1">
            <w:r>
              <w:rPr>
                <w:rStyle w:val="Hyperlink"/>
              </w:rPr>
              <w:t>Authentication</w:t>
            </w:r>
            <w:r>
              <w:tab/>
            </w:r>
            <w:r>
              <w:fldChar w:fldCharType="begin"/>
            </w:r>
            <w:r>
              <w:instrText xml:space="preserve"> PAGEREF _Toc100112 \h </w:instrText>
            </w:r>
            <w:r>
              <w:fldChar w:fldCharType="separate"/>
            </w:r>
            <w:r>
              <w:t>34</w:t>
            </w:r>
            <w:r>
              <w:fldChar w:fldCharType="end"/>
            </w:r>
          </w:hyperlink>
        </w:p>
        <w:p>
          <w:pPr>
            <w:pStyle w:val="11"/>
            <w:ind w:left="360"/>
            <w:tabs>
              <w:tab w:val="right" w:leader="dot" w:pos="9026"/>
            </w:tabs>
            <w:spacing w:before="120" w:after="60"/>
          </w:pPr>
          <w:hyperlink w:anchor="_Toc100113" w:history="1">
            <w:r>
              <w:rPr>
                <w:rStyle w:val="Hyperlink"/>
              </w:rPr>
              <w:t>Audit Logging</w:t>
            </w:r>
            <w:r>
              <w:tab/>
            </w:r>
            <w:r>
              <w:fldChar w:fldCharType="begin"/>
            </w:r>
            <w:r>
              <w:instrText xml:space="preserve"> PAGEREF _Toc100113 \h </w:instrText>
            </w:r>
            <w:r>
              <w:fldChar w:fldCharType="separate"/>
            </w:r>
            <w:r>
              <w:t>35</w:t>
            </w:r>
            <w:r>
              <w:fldChar w:fldCharType="end"/>
            </w:r>
          </w:hyperlink>
        </w:p>
        <w:p>
          <w:pPr>
            <w:pStyle w:val="11"/>
            <w:ind w:left="360"/>
            <w:tabs>
              <w:tab w:val="right" w:leader="dot" w:pos="9026"/>
            </w:tabs>
            <w:spacing w:before="120" w:after="60"/>
          </w:pPr>
          <w:hyperlink w:anchor="_Toc100114" w:history="1">
            <w:r>
              <w:rPr>
                <w:rStyle w:val="Hyperlink"/>
              </w:rPr>
              <w:t>Data Protection</w:t>
            </w:r>
            <w:r>
              <w:tab/>
            </w:r>
            <w:r>
              <w:fldChar w:fldCharType="begin"/>
            </w:r>
            <w:r>
              <w:instrText xml:space="preserve"> PAGEREF _Toc100114 \h </w:instrText>
            </w:r>
            <w:r>
              <w:fldChar w:fldCharType="separate"/>
            </w:r>
            <w:r>
              <w:t>35</w:t>
            </w:r>
            <w:r>
              <w:fldChar w:fldCharType="end"/>
            </w:r>
          </w:hyperlink>
        </w:p>
        <w:p>
          <w:pPr>
            <w:pStyle w:val="11"/>
            <w:ind w:left="360"/>
            <w:tabs>
              <w:tab w:val="right" w:leader="dot" w:pos="9026"/>
            </w:tabs>
            <w:spacing w:before="120" w:after="60"/>
          </w:pPr>
          <w:hyperlink w:anchor="_Toc100115" w:history="1">
            <w:r>
              <w:rPr>
                <w:rStyle w:val="Hyperlink"/>
              </w:rPr>
              <w:t>Business Rules</w:t>
            </w:r>
            <w:r>
              <w:tab/>
            </w:r>
            <w:r>
              <w:fldChar w:fldCharType="begin"/>
            </w:r>
            <w:r>
              <w:instrText xml:space="preserve"> PAGEREF _Toc100115 \h </w:instrText>
            </w:r>
            <w:r>
              <w:fldChar w:fldCharType="separate"/>
            </w:r>
            <w:r>
              <w:t>35</w:t>
            </w:r>
            <w:r>
              <w:fldChar w:fldCharType="end"/>
            </w:r>
          </w:hyperlink>
        </w:p>
        <w:p>
          <w:pPr>
            <w:pStyle w:val="9"/>
            <w:tabs>
              <w:tab w:val="right" w:leader="dot" w:pos="9026"/>
            </w:tabs>
            <w:spacing w:before="120" w:after="60"/>
          </w:pPr>
          <w:hyperlink w:anchor="_Toc100116" w:history="1">
            <w:r>
              <w:rPr>
                <w:rStyle w:val="Hyperlink"/>
              </w:rPr>
              <w:t>Cross-Module Integration and Data Flow</w:t>
            </w:r>
            <w:r>
              <w:tab/>
            </w:r>
            <w:r>
              <w:fldChar w:fldCharType="begin"/>
            </w:r>
            <w:r>
              <w:instrText xml:space="preserve"> PAGEREF _Toc100116 \h </w:instrText>
            </w:r>
            <w:r>
              <w:fldChar w:fldCharType="separate"/>
            </w:r>
            <w:r>
              <w:t>36</w:t>
            </w:r>
            <w:r>
              <w:fldChar w:fldCharType="end"/>
            </w:r>
          </w:hyperlink>
        </w:p>
        <w:p>
          <w:pPr>
            <w:pStyle w:val="11"/>
            <w:ind w:left="360"/>
            <w:tabs>
              <w:tab w:val="right" w:leader="dot" w:pos="9026"/>
            </w:tabs>
            <w:spacing w:before="120" w:after="60"/>
          </w:pPr>
          <w:hyperlink w:anchor="_Toc100117" w:history="1">
            <w:r>
              <w:rPr>
                <w:rStyle w:val="Hyperlink"/>
              </w:rPr>
              <w:t>Integration Architecture</w:t>
            </w:r>
            <w:r>
              <w:tab/>
            </w:r>
            <w:r>
              <w:fldChar w:fldCharType="begin"/>
            </w:r>
            <w:r>
              <w:instrText xml:space="preserve"> PAGEREF _Toc100117 \h </w:instrText>
            </w:r>
            <w:r>
              <w:fldChar w:fldCharType="separate"/>
            </w:r>
            <w:r>
              <w:t>36</w:t>
            </w:r>
            <w:r>
              <w:fldChar w:fldCharType="end"/>
            </w:r>
          </w:hyperlink>
        </w:p>
        <w:p>
          <w:pPr>
            <w:pStyle w:val="11"/>
            <w:ind w:left="360"/>
            <w:tabs>
              <w:tab w:val="right" w:leader="dot" w:pos="9026"/>
            </w:tabs>
            <w:spacing w:before="120" w:after="60"/>
          </w:pPr>
          <w:hyperlink w:anchor="_Toc100118" w:history="1">
            <w:r>
              <w:rPr>
                <w:rStyle w:val="Hyperlink"/>
              </w:rPr>
              <w:t>Key Integration Points</w:t>
            </w:r>
            <w:r>
              <w:tab/>
            </w:r>
            <w:r>
              <w:fldChar w:fldCharType="begin"/>
            </w:r>
            <w:r>
              <w:instrText xml:space="preserve"> PAGEREF _Toc100118 \h </w:instrText>
            </w:r>
            <w:r>
              <w:fldChar w:fldCharType="separate"/>
            </w:r>
            <w:r>
              <w:t>36</w:t>
            </w:r>
            <w:r>
              <w:fldChar w:fldCharType="end"/>
            </w:r>
          </w:hyperlink>
        </w:p>
        <w:p>
          <w:pPr>
            <w:pStyle w:val="11"/>
            <w:ind w:left="360"/>
            <w:tabs>
              <w:tab w:val="right" w:leader="dot" w:pos="9026"/>
            </w:tabs>
            <w:spacing w:before="120" w:after="60"/>
          </w:pPr>
          <w:hyperlink w:anchor="_Toc100119" w:history="1">
            <w:r>
              <w:rPr>
                <w:rStyle w:val="Hyperlink"/>
              </w:rPr>
              <w:t>Data Consistency Guarantees</w:t>
            </w:r>
            <w:r>
              <w:tab/>
            </w:r>
            <w:r>
              <w:fldChar w:fldCharType="begin"/>
            </w:r>
            <w:r>
              <w:instrText xml:space="preserve"> PAGEREF _Toc100119 \h </w:instrText>
            </w:r>
            <w:r>
              <w:fldChar w:fldCharType="separate"/>
            </w:r>
            <w:r>
              <w:t>37</w:t>
            </w:r>
            <w:r>
              <w:fldChar w:fldCharType="end"/>
            </w:r>
          </w:hyperlink>
        </w:p>
        <w:p>
          <w:pPr>
            <w:pStyle w:val="9"/>
            <w:tabs>
              <w:tab w:val="right" w:leader="dot" w:pos="9026"/>
            </w:tabs>
            <w:spacing w:before="120" w:after="60"/>
          </w:pPr>
          <w:hyperlink w:anchor="_Toc100120" w:history="1">
            <w:r>
              <w:rPr>
                <w:rStyle w:val="Hyperlink"/>
              </w:rPr>
              <w:t>Non-Functional Requirements</w:t>
            </w:r>
            <w:r>
              <w:tab/>
            </w:r>
            <w:r>
              <w:fldChar w:fldCharType="begin"/>
            </w:r>
            <w:r>
              <w:instrText xml:space="preserve"> PAGEREF _Toc100120 \h </w:instrText>
            </w:r>
            <w:r>
              <w:fldChar w:fldCharType="separate"/>
            </w:r>
            <w:r>
              <w:t>37</w:t>
            </w:r>
            <w:r>
              <w:fldChar w:fldCharType="end"/>
            </w:r>
          </w:hyperlink>
        </w:p>
        <w:p>
          <w:pPr>
            <w:pStyle w:val="11"/>
            <w:ind w:left="360"/>
            <w:tabs>
              <w:tab w:val="right" w:leader="dot" w:pos="9026"/>
            </w:tabs>
            <w:spacing w:before="120" w:after="60"/>
          </w:pPr>
          <w:hyperlink w:anchor="_Toc100121" w:history="1">
            <w:r>
              <w:rPr>
                <w:rStyle w:val="Hyperlink"/>
              </w:rPr>
              <w:t>Performance</w:t>
            </w:r>
            <w:r>
              <w:tab/>
            </w:r>
            <w:r>
              <w:fldChar w:fldCharType="begin"/>
            </w:r>
            <w:r>
              <w:instrText xml:space="preserve"> PAGEREF _Toc100121 \h </w:instrText>
            </w:r>
            <w:r>
              <w:fldChar w:fldCharType="separate"/>
            </w:r>
            <w:r>
              <w:t>37</w:t>
            </w:r>
            <w:r>
              <w:fldChar w:fldCharType="end"/>
            </w:r>
          </w:hyperlink>
        </w:p>
        <w:p>
          <w:pPr>
            <w:pStyle w:val="11"/>
            <w:ind w:left="360"/>
            <w:tabs>
              <w:tab w:val="right" w:leader="dot" w:pos="9026"/>
            </w:tabs>
            <w:spacing w:before="120" w:after="60"/>
          </w:pPr>
          <w:hyperlink w:anchor="_Toc100122" w:history="1">
            <w:r>
              <w:rPr>
                <w:rStyle w:val="Hyperlink"/>
              </w:rPr>
              <w:t>Reliability and Availability</w:t>
            </w:r>
            <w:r>
              <w:tab/>
            </w:r>
            <w:r>
              <w:fldChar w:fldCharType="begin"/>
            </w:r>
            <w:r>
              <w:instrText xml:space="preserve"> PAGEREF _Toc100122 \h </w:instrText>
            </w:r>
            <w:r>
              <w:fldChar w:fldCharType="separate"/>
            </w:r>
            <w:r>
              <w:t>38</w:t>
            </w:r>
            <w:r>
              <w:fldChar w:fldCharType="end"/>
            </w:r>
          </w:hyperlink>
        </w:p>
        <w:p>
          <w:pPr>
            <w:pStyle w:val="11"/>
            <w:ind w:left="360"/>
            <w:tabs>
              <w:tab w:val="right" w:leader="dot" w:pos="9026"/>
            </w:tabs>
            <w:spacing w:before="120" w:after="60"/>
          </w:pPr>
          <w:hyperlink w:anchor="_Toc100123" w:history="1">
            <w:r>
              <w:rPr>
                <w:rStyle w:val="Hyperlink"/>
              </w:rPr>
              <w:t>Security</w:t>
            </w:r>
            <w:r>
              <w:tab/>
            </w:r>
            <w:r>
              <w:fldChar w:fldCharType="begin"/>
            </w:r>
            <w:r>
              <w:instrText xml:space="preserve"> PAGEREF _Toc100123 \h </w:instrText>
            </w:r>
            <w:r>
              <w:fldChar w:fldCharType="separate"/>
            </w:r>
            <w:r>
              <w:t>38</w:t>
            </w:r>
            <w:r>
              <w:fldChar w:fldCharType="end"/>
            </w:r>
          </w:hyperlink>
        </w:p>
        <w:p>
          <w:pPr>
            <w:pStyle w:val="11"/>
            <w:ind w:left="360"/>
            <w:tabs>
              <w:tab w:val="right" w:leader="dot" w:pos="9026"/>
            </w:tabs>
            <w:spacing w:before="120" w:after="60"/>
          </w:pPr>
          <w:hyperlink w:anchor="_Toc100124" w:history="1">
            <w:r>
              <w:rPr>
                <w:rStyle w:val="Hyperlink"/>
              </w:rPr>
              <w:t>Scalability</w:t>
            </w:r>
            <w:r>
              <w:tab/>
            </w:r>
            <w:r>
              <w:fldChar w:fldCharType="begin"/>
            </w:r>
            <w:r>
              <w:instrText xml:space="preserve"> PAGEREF _Toc100124 \h </w:instrText>
            </w:r>
            <w:r>
              <w:fldChar w:fldCharType="separate"/>
            </w:r>
            <w:r>
              <w:t>39</w:t>
            </w:r>
            <w:r>
              <w:fldChar w:fldCharType="end"/>
            </w:r>
          </w:hyperlink>
        </w:p>
        <w:p>
          <w:pPr>
            <w:pStyle w:val="11"/>
            <w:ind w:left="360"/>
            <w:tabs>
              <w:tab w:val="right" w:leader="dot" w:pos="9026"/>
            </w:tabs>
            <w:spacing w:before="120" w:after="60"/>
          </w:pPr>
          <w:hyperlink w:anchor="_Toc100125" w:history="1">
            <w:r>
              <w:rPr>
                <w:rStyle w:val="Hyperlink"/>
              </w:rPr>
              <w:t>Maintainability</w:t>
            </w:r>
            <w:r>
              <w:tab/>
            </w:r>
            <w:r>
              <w:fldChar w:fldCharType="begin"/>
            </w:r>
            <w:r>
              <w:instrText xml:space="preserve"> PAGEREF _Toc100125 \h </w:instrText>
            </w:r>
            <w:r>
              <w:fldChar w:fldCharType="separate"/>
            </w:r>
            <w:r>
              <w:t>40</w:t>
            </w:r>
            <w:r>
              <w:fldChar w:fldCharType="end"/>
            </w:r>
          </w:hyperlink>
        </w:p>
        <w:p>
          <w:pPr>
            <w:pStyle w:val="9"/>
            <w:tabs>
              <w:tab w:val="right" w:leader="dot" w:pos="9026"/>
            </w:tabs>
            <w:spacing w:before="120" w:after="60"/>
          </w:pPr>
          <w:hyperlink w:anchor="_Toc100126" w:history="1">
            <w:r>
              <w:rPr>
                <w:rStyle w:val="Hyperlink"/>
              </w:rPr>
              <w:t>Technology Stack and Architecture</w:t>
            </w:r>
            <w:r>
              <w:tab/>
            </w:r>
            <w:r>
              <w:fldChar w:fldCharType="begin"/>
            </w:r>
            <w:r>
              <w:instrText xml:space="preserve"> PAGEREF _Toc100126 \h </w:instrText>
            </w:r>
            <w:r>
              <w:fldChar w:fldCharType="separate"/>
            </w:r>
            <w:r>
              <w:t>40</w:t>
            </w:r>
            <w:r>
              <w:fldChar w:fldCharType="end"/>
            </w:r>
          </w:hyperlink>
        </w:p>
        <w:p>
          <w:pPr>
            <w:pStyle w:val="11"/>
            <w:ind w:left="360"/>
            <w:tabs>
              <w:tab w:val="right" w:leader="dot" w:pos="9026"/>
            </w:tabs>
            <w:spacing w:before="120" w:after="60"/>
          </w:pPr>
          <w:hyperlink w:anchor="_Toc100127" w:history="1">
            <w:r>
              <w:rPr>
                <w:rStyle w:val="Hyperlink"/>
              </w:rPr>
              <w:t>Recommended Stack</w:t>
            </w:r>
            <w:r>
              <w:tab/>
            </w:r>
            <w:r>
              <w:fldChar w:fldCharType="begin"/>
            </w:r>
            <w:r>
              <w:instrText xml:space="preserve"> PAGEREF _Toc100127 \h </w:instrText>
            </w:r>
            <w:r>
              <w:fldChar w:fldCharType="separate"/>
            </w:r>
            <w:r>
              <w:t>40</w:t>
            </w:r>
            <w:r>
              <w:fldChar w:fldCharType="end"/>
            </w:r>
          </w:hyperlink>
        </w:p>
        <w:p>
          <w:pPr>
            <w:pStyle w:val="11"/>
            <w:ind w:left="360"/>
            <w:tabs>
              <w:tab w:val="right" w:leader="dot" w:pos="9026"/>
            </w:tabs>
            <w:spacing w:before="120" w:after="60"/>
          </w:pPr>
          <w:hyperlink w:anchor="_Toc100128" w:history="1">
            <w:r>
              <w:rPr>
                <w:rStyle w:val="Hyperlink"/>
              </w:rPr>
              <w:t>Architecture Overview</w:t>
            </w:r>
            <w:r>
              <w:tab/>
            </w:r>
            <w:r>
              <w:fldChar w:fldCharType="begin"/>
            </w:r>
            <w:r>
              <w:instrText xml:space="preserve"> PAGEREF _Toc100128 \h </w:instrText>
            </w:r>
            <w:r>
              <w:fldChar w:fldCharType="separate"/>
            </w:r>
            <w:r>
              <w:t>41</w:t>
            </w:r>
            <w:r>
              <w:fldChar w:fldCharType="end"/>
            </w:r>
          </w:hyperlink>
        </w:p>
        <w:p>
          <w:pPr>
            <w:pStyle w:val="11"/>
            <w:ind w:left="360"/>
            <w:tabs>
              <w:tab w:val="right" w:leader="dot" w:pos="9026"/>
            </w:tabs>
            <w:spacing w:before="120" w:after="60"/>
          </w:pPr>
          <w:hyperlink w:anchor="_Toc100129" w:history="1">
            <w:r>
              <w:rPr>
                <w:rStyle w:val="Hyperlink"/>
              </w:rPr>
              <w:t>Deployment Model</w:t>
            </w:r>
            <w:r>
              <w:tab/>
            </w:r>
            <w:r>
              <w:fldChar w:fldCharType="begin"/>
            </w:r>
            <w:r>
              <w:instrText xml:space="preserve"> PAGEREF _Toc100129 \h </w:instrText>
            </w:r>
            <w:r>
              <w:fldChar w:fldCharType="separate"/>
            </w:r>
            <w:r>
              <w:t>41</w:t>
            </w:r>
            <w:r>
              <w:fldChar w:fldCharType="end"/>
            </w:r>
          </w:hyperlink>
        </w:p>
        <w:p>
          <w:pPr>
            <w:pStyle w:val="9"/>
            <w:tabs>
              <w:tab w:val="right" w:leader="dot" w:pos="9026"/>
            </w:tabs>
            <w:spacing w:before="120" w:after="60"/>
          </w:pPr>
          <w:hyperlink w:anchor="_Toc100130" w:history="1">
            <w:r>
              <w:rPr>
                <w:rStyle w:val="Hyperlink"/>
              </w:rPr>
              <w:t>Implementation Roadmap</w:t>
            </w:r>
            <w:r>
              <w:tab/>
            </w:r>
            <w:r>
              <w:fldChar w:fldCharType="begin"/>
            </w:r>
            <w:r>
              <w:instrText xml:space="preserve"> PAGEREF _Toc100130 \h </w:instrText>
            </w:r>
            <w:r>
              <w:fldChar w:fldCharType="separate"/>
            </w:r>
            <w:r>
              <w:t>41</w:t>
            </w:r>
            <w:r>
              <w:fldChar w:fldCharType="end"/>
            </w:r>
          </w:hyperlink>
        </w:p>
        <w:p>
          <w:pPr>
            <w:pStyle w:val="11"/>
            <w:ind w:left="360"/>
            <w:tabs>
              <w:tab w:val="right" w:leader="dot" w:pos="9026"/>
            </w:tabs>
            <w:spacing w:before="120" w:after="60"/>
          </w:pPr>
          <w:hyperlink w:anchor="_Toc100131" w:history="1">
            <w:r>
              <w:rPr>
                <w:rStyle w:val="Hyperlink"/>
              </w:rPr>
              <w:t>Phase 1: Foundation (Months 1-3)</w:t>
            </w:r>
            <w:r>
              <w:tab/>
            </w:r>
            <w:r>
              <w:fldChar w:fldCharType="begin"/>
            </w:r>
            <w:r>
              <w:instrText xml:space="preserve"> PAGEREF _Toc100131 \h </w:instrText>
            </w:r>
            <w:r>
              <w:fldChar w:fldCharType="separate"/>
            </w:r>
            <w:r>
              <w:t>41</w:t>
            </w:r>
            <w:r>
              <w:fldChar w:fldCharType="end"/>
            </w:r>
          </w:hyperlink>
        </w:p>
        <w:p>
          <w:pPr>
            <w:pStyle w:val="11"/>
            <w:ind w:left="360"/>
            <w:tabs>
              <w:tab w:val="right" w:leader="dot" w:pos="9026"/>
            </w:tabs>
            <w:spacing w:before="120" w:after="60"/>
          </w:pPr>
          <w:hyperlink w:anchor="_Toc100132" w:history="1">
            <w:r>
              <w:rPr>
                <w:rStyle w:val="Hyperlink"/>
              </w:rPr>
              <w:t>Phase 2: Procurement and Finance (Months 4-6)</w:t>
            </w:r>
            <w:r>
              <w:tab/>
            </w:r>
            <w:r>
              <w:fldChar w:fldCharType="begin"/>
            </w:r>
            <w:r>
              <w:instrText xml:space="preserve"> PAGEREF _Toc100132 \h </w:instrText>
            </w:r>
            <w:r>
              <w:fldChar w:fldCharType="separate"/>
            </w:r>
            <w:r>
              <w:t>42</w:t>
            </w:r>
            <w:r>
              <w:fldChar w:fldCharType="end"/>
            </w:r>
          </w:hyperlink>
        </w:p>
        <w:p>
          <w:pPr>
            <w:pStyle w:val="11"/>
            <w:ind w:left="360"/>
            <w:tabs>
              <w:tab w:val="right" w:leader="dot" w:pos="9026"/>
            </w:tabs>
            <w:spacing w:before="120" w:after="60"/>
          </w:pPr>
          <w:hyperlink w:anchor="_Toc100133" w:history="1">
            <w:r>
              <w:rPr>
                <w:rStyle w:val="Hyperlink"/>
              </w:rPr>
              <w:t>Phase 3: Customer and Multi-Store (Months 7-9)</w:t>
            </w:r>
            <w:r>
              <w:tab/>
            </w:r>
            <w:r>
              <w:fldChar w:fldCharType="begin"/>
            </w:r>
            <w:r>
              <w:instrText xml:space="preserve"> PAGEREF _Toc100133 \h </w:instrText>
            </w:r>
            <w:r>
              <w:fldChar w:fldCharType="separate"/>
            </w:r>
            <w:r>
              <w:t>42</w:t>
            </w:r>
            <w:r>
              <w:fldChar w:fldCharType="end"/>
            </w:r>
          </w:hyperlink>
        </w:p>
        <w:p>
          <w:pPr>
            <w:pStyle w:val="11"/>
            <w:ind w:left="360"/>
            <w:tabs>
              <w:tab w:val="right" w:leader="dot" w:pos="9026"/>
            </w:tabs>
            <w:spacing w:before="120" w:after="60"/>
          </w:pPr>
          <w:hyperlink w:anchor="_Toc100134" w:history="1">
            <w:r>
              <w:rPr>
                <w:rStyle w:val="Hyperlink"/>
              </w:rPr>
              <w:t>Phase 4: Optimization and Scale (Months 10-12)</w:t>
            </w:r>
            <w:r>
              <w:tab/>
            </w:r>
            <w:r>
              <w:fldChar w:fldCharType="begin"/>
            </w:r>
            <w:r>
              <w:instrText xml:space="preserve"> PAGEREF _Toc100134 \h </w:instrText>
            </w:r>
            <w:r>
              <w:fldChar w:fldCharType="separate"/>
            </w:r>
            <w:r>
              <w:t>42</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Times New Roman" w:eastAsia="SimHei"/>
          <w:b/>
          <w:bCs/>
          <w:color w:val="1A2330"/>
          <w:sz w:val="32"/>
          <w:szCs w:val="32"/>
        </w:rPr>
        <w:t xml:space="preserve">Executive Summary</w:t>
      </w:r>
      <w:bookmarkEnd w:id="100000"/>
    </w:p>
    <w:p>
      <w:pPr>
        <w:spacing w:after="120" w:line="312"/>
        <w:jc w:val="both"/>
      </w:pPr>
      <w:r>
        <w:rPr>
          <w:rFonts w:ascii="Times New Roman" w:eastAsia="Microsoft YaHei"/>
          <w:color w:val="2C3E50"/>
          <w:sz w:val="24"/>
          <w:szCs w:val="24"/>
        </w:rPr>
        <w:t xml:space="preserve">This Product Requirements Document (PRD) defines the comprehensive functional and non-functional specifications for the Kenyan Hardware POS System, a purpose-built enterprise retail management platform designed to address the unique operational, regulatory, and commercial challenges facing hardware and building materials retailers in Kenya. The system is architected to serve businesses ranging from single-store operations to multi-branch enterprises, with full compliance to Kenya Revenue Authority (KRA) tax regulations including the electronic Tax Invoice Management System (eTIMS).</w:t>
      </w:r>
    </w:p>
    <w:p>
      <w:pPr>
        <w:spacing w:after="120" w:line="312"/>
        <w:jc w:val="both"/>
      </w:pPr>
      <w:r>
        <w:rPr>
          <w:rFonts w:ascii="Times New Roman" w:eastAsia="Microsoft YaHei"/>
          <w:color w:val="2C3E50"/>
          <w:sz w:val="24"/>
          <w:szCs w:val="24"/>
        </w:rPr>
        <w:t xml:space="preserve">The Kenyan hardware retail sector presents distinctive challenges that generic POS solutions fail to address adequately. These include the management of loose and variable-quantity items such as nails, cement, and timber that are sold by weight, length, or piece rather than by standardized units; the complexity of Kenyan tax regulations encompassing VAT at multiple rates (16%, 8%, and 0%), withholding tax on supplier payments, and the mandatory electronic invoicing requirements of eTIMS; and the operational reality of intermittent internet connectivity in many parts of Kenya that demands an offline-first architecture capable of continuous operation without network access.</w:t>
      </w:r>
    </w:p>
    <w:p>
      <w:pPr>
        <w:spacing w:after="120" w:line="312"/>
        <w:jc w:val="both"/>
      </w:pPr>
      <w:r>
        <w:rPr>
          <w:rFonts w:ascii="Times New Roman" w:eastAsia="Microsoft YaHei"/>
          <w:color w:val="2C3E50"/>
          <w:sz w:val="24"/>
          <w:szCs w:val="24"/>
        </w:rPr>
        <w:t xml:space="preserve">The system comprises thirteen integrated modules that collectively address the full spectrum of retail operations: Product and Inventory Management, Sales and Point of Sale, Purchase Management, Supplier Management, Customer Loyalty Program, Multi-Store Management, Quotes and Invoices, Tax Management with eTIMS compliance, Expense Management, Voucher Management, Accounts and Accounting, Banking and Reconciliation, and User Management with Role-Based Access Control. Each module is designed to function both independently and as part of the integrated whole, with bidirectional data flow and real-time synchronization ensuring operational consistency across all business functions.</w:t>
      </w:r>
    </w:p>
    <w:p>
      <w:pPr>
        <w:spacing w:after="120" w:line="312"/>
        <w:jc w:val="both"/>
      </w:pPr>
      <w:r>
        <w:rPr>
          <w:rFonts w:ascii="Times New Roman" w:eastAsia="Microsoft YaHei"/>
          <w:color w:val="2C3E50"/>
          <w:sz w:val="24"/>
          <w:szCs w:val="24"/>
        </w:rPr>
        <w:t xml:space="preserve">The technology stack prioritizes reliability, performance, and maintainability: a Python/Django or C#/.NET 8 backend with PostgreSQL for centralized data management and SQLite for offline store-level operations; an Electron and React frontend providing a desktop-native experience with web flexibility; and Docker-based containerization ensuring consistent deployment across environments. The offline-first architecture employs queue-based synchronization with conflict resolution strategies that guarantee data integrity even when multiple stores operate independently during network outages.</w:t>
      </w:r>
    </w:p>
    <w:p>
      <w:pPr>
        <w:pStyle w:val="Heading1"/>
        <w:spacing w:after="200" w:before="480"/>
      </w:pPr>
      <w:bookmarkStart w:id="100001" w:name="_Toc100001"/>
      <w:r>
        <w:rPr>
          <w:rFonts w:ascii="Times New Roman" w:eastAsia="SimHei"/>
          <w:b/>
          <w:bCs/>
          <w:color w:val="1A2330"/>
          <w:sz w:val="32"/>
          <w:szCs w:val="32"/>
        </w:rPr>
        <w:t xml:space="preserve">System Overview</w:t>
      </w:r>
      <w:bookmarkEnd w:id="100001"/>
    </w:p>
    <w:p>
      <w:pPr>
        <w:pStyle w:val="Heading2"/>
        <w:spacing w:after="160" w:before="360"/>
      </w:pPr>
      <w:bookmarkStart w:id="100002" w:name="_Toc100002"/>
      <w:r>
        <w:rPr>
          <w:rFonts w:ascii="Times New Roman" w:eastAsia="SimHei"/>
          <w:b/>
          <w:bCs/>
          <w:color w:val="1A2330"/>
          <w:sz w:val="28"/>
          <w:szCs w:val="28"/>
        </w:rPr>
        <w:t xml:space="preserve">Purpose and Scope</w:t>
      </w:r>
      <w:bookmarkEnd w:id="100002"/>
    </w:p>
    <w:p>
      <w:pPr>
        <w:spacing w:after="120" w:line="312"/>
        <w:jc w:val="both"/>
      </w:pPr>
      <w:r>
        <w:rPr>
          <w:rFonts w:ascii="Times New Roman" w:eastAsia="Microsoft YaHei"/>
          <w:color w:val="2C3E50"/>
          <w:sz w:val="24"/>
          <w:szCs w:val="24"/>
        </w:rPr>
        <w:t xml:space="preserve">The Kenyan Hardware POS System is designed to serve as the central operational platform for hardware and building materials retailers across Kenya. The system addresses the full lifecycle of retail operations, from procurement and inventory management through sales processing and customer relationship management, to financial reporting and regulatory compliance. It is specifically engineered to handle the operational realities of the Kenyan market, including intermittent connectivity, complex tax requirements, and the unique product characteristics of the hardware retail sector.</w:t>
      </w:r>
    </w:p>
    <w:p>
      <w:pPr>
        <w:spacing w:after="120" w:line="312"/>
        <w:jc w:val="both"/>
      </w:pPr>
      <w:r>
        <w:rPr>
          <w:rFonts w:ascii="Times New Roman" w:eastAsia="Microsoft YaHei"/>
          <w:color w:val="2C3E50"/>
          <w:sz w:val="24"/>
          <w:szCs w:val="24"/>
        </w:rPr>
        <w:t xml:space="preserve">The scope of the system encompasses all business processes typically found in a hardware retail operation: product catalog management with multi-unit conversion capabilities; point-of-sale operations with support for cash, M-Pesa, and credit transactions; procurement workflows from purchase order through goods receipt; supplier relationship management with performance tracking; customer loyalty programs with points accrual and redemption; multi-store operations with inter-branch transfers; quotation and invoicing workflows; comprehensive tax management with eTIMS integration; expense tracking and approval workflows; voucher and discount management; double-entry accounting; bank reconciliation; and granular user access control with role-based permissions.</w:t>
      </w:r>
    </w:p>
    <w:p>
      <w:pPr>
        <w:pStyle w:val="Heading2"/>
        <w:spacing w:after="160" w:before="360"/>
      </w:pPr>
      <w:bookmarkStart w:id="100003" w:name="_Toc100003"/>
      <w:r>
        <w:rPr>
          <w:rFonts w:ascii="Times New Roman" w:eastAsia="SimHei"/>
          <w:b/>
          <w:bCs/>
          <w:color w:val="1A2330"/>
          <w:sz w:val="28"/>
          <w:szCs w:val="28"/>
        </w:rPr>
        <w:t xml:space="preserve">Design Principles</w:t>
      </w:r>
      <w:bookmarkEnd w:id="100003"/>
    </w:p>
    <w:p>
      <w:pPr>
        <w:pStyle w:val="ListParagraph"/>
        <w:numPr>
          <w:ilvl w:val="0"/>
          <w:numId w:val="1"/>
        </w:numPr>
        <w:spacing w:after="80" w:line="312"/>
      </w:pPr>
      <w:r>
        <w:rPr>
          <w:rFonts w:ascii="Times New Roman" w:eastAsia="SimHei"/>
          <w:b/>
          <w:bCs/>
          <w:color w:val="2C3E50"/>
          <w:sz w:val="24"/>
          <w:szCs w:val="24"/>
        </w:rPr>
        <w:t xml:space="preserve">Offline-First Architecture:</w:t>
      </w:r>
      <w:r>
        <w:rPr>
          <w:rFonts w:ascii="Times New Roman" w:eastAsia="Microsoft YaHei"/>
          <w:color w:val="2C3E50"/>
          <w:sz w:val="24"/>
          <w:szCs w:val="24"/>
        </w:rPr>
        <w:t xml:space="preserve"> The system is designed to function fully without internet connectivity. Local SQLite databases at each store ensure continuous operation during network outages, with automatic bidirectional synchronization when connectivity is restored.</w:t>
      </w:r>
    </w:p>
    <w:p>
      <w:pPr>
        <w:pStyle w:val="ListParagraph"/>
        <w:numPr>
          <w:ilvl w:val="0"/>
          <w:numId w:val="1"/>
        </w:numPr>
        <w:spacing w:after="80" w:line="312"/>
      </w:pPr>
      <w:r>
        <w:rPr>
          <w:rFonts w:ascii="Times New Roman" w:eastAsia="SimHei"/>
          <w:b/>
          <w:bCs/>
          <w:color w:val="2C3E50"/>
          <w:sz w:val="24"/>
          <w:szCs w:val="24"/>
        </w:rPr>
        <w:t xml:space="preserve">Regulatory Compliance by Default:</w:t>
      </w:r>
      <w:r>
        <w:rPr>
          <w:rFonts w:ascii="Times New Roman" w:eastAsia="Microsoft YaHei"/>
          <w:color w:val="2C3E50"/>
          <w:sz w:val="24"/>
          <w:szCs w:val="24"/>
        </w:rPr>
        <w:t xml:space="preserve"> All tax calculations, invoice formats, and reporting mechanisms comply with KRA requirements, including eTIMS/TIMS integration. Compliance is not an add-on but a foundational design principle.</w:t>
      </w:r>
    </w:p>
    <w:p>
      <w:pPr>
        <w:pStyle w:val="ListParagraph"/>
        <w:numPr>
          <w:ilvl w:val="0"/>
          <w:numId w:val="1"/>
        </w:numPr>
        <w:spacing w:after="80" w:line="312"/>
      </w:pPr>
      <w:r>
        <w:rPr>
          <w:rFonts w:ascii="Times New Roman" w:eastAsia="SimHei"/>
          <w:b/>
          <w:bCs/>
          <w:color w:val="2C3E50"/>
          <w:sz w:val="24"/>
          <w:szCs w:val="24"/>
        </w:rPr>
        <w:t xml:space="preserve">Data Integrity Under Concurrency:</w:t>
      </w:r>
      <w:r>
        <w:rPr>
          <w:rFonts w:ascii="Times New Roman" w:eastAsia="Microsoft YaHei"/>
          <w:color w:val="2C3E50"/>
          <w:sz w:val="24"/>
          <w:szCs w:val="24"/>
        </w:rPr>
        <w:t xml:space="preserve"> Optimistic locking, row-level database locking, ACID transactions, and idempotent API operations ensure data consistency even when multiple users access the same records simultaneously across different store locations.</w:t>
      </w:r>
    </w:p>
    <w:p>
      <w:pPr>
        <w:pStyle w:val="ListParagraph"/>
        <w:numPr>
          <w:ilvl w:val="0"/>
          <w:numId w:val="1"/>
        </w:numPr>
        <w:spacing w:after="80" w:line="312"/>
      </w:pPr>
      <w:r>
        <w:rPr>
          <w:rFonts w:ascii="Times New Roman" w:eastAsia="SimHei"/>
          <w:b/>
          <w:bCs/>
          <w:color w:val="2C3E50"/>
          <w:sz w:val="24"/>
          <w:szCs w:val="24"/>
        </w:rPr>
        <w:t xml:space="preserve">Hardware-Specific Product Handling:</w:t>
      </w:r>
      <w:r>
        <w:rPr>
          <w:rFonts w:ascii="Times New Roman" w:eastAsia="Microsoft YaHei"/>
          <w:color w:val="2C3E50"/>
          <w:sz w:val="24"/>
          <w:szCs w:val="24"/>
        </w:rPr>
        <w:t xml:space="preserve"> The product model natively supports variable pricing, multi-unit conversion (e.g., pieces to boxes to pallets), loose item measurement, and bulk quantity management, reflecting the actual workflows of hardware retail.</w:t>
      </w:r>
    </w:p>
    <w:p>
      <w:pPr>
        <w:pStyle w:val="ListParagraph"/>
        <w:numPr>
          <w:ilvl w:val="0"/>
          <w:numId w:val="1"/>
        </w:numPr>
        <w:spacing w:after="80" w:line="312"/>
      </w:pPr>
      <w:r>
        <w:rPr>
          <w:rFonts w:ascii="Times New Roman" w:eastAsia="SimHei"/>
          <w:b/>
          <w:bCs/>
          <w:color w:val="2C3E50"/>
          <w:sz w:val="24"/>
          <w:szCs w:val="24"/>
        </w:rPr>
        <w:t xml:space="preserve">Modular and Extensible:</w:t>
      </w:r>
      <w:r>
        <w:rPr>
          <w:rFonts w:ascii="Times New Roman" w:eastAsia="Microsoft YaHei"/>
          <w:color w:val="2C3E50"/>
          <w:sz w:val="24"/>
          <w:szCs w:val="24"/>
        </w:rPr>
        <w:t xml:space="preserve"> Each module operates independently with well-defined API boundaries, enabling selective deployment and incremental feature addition without disrupting existing operations.</w:t>
      </w:r>
    </w:p>
    <w:p>
      <w:pPr>
        <w:pStyle w:val="Heading2"/>
        <w:spacing w:after="160" w:before="360"/>
      </w:pPr>
      <w:bookmarkStart w:id="100004" w:name="_Toc100004"/>
      <w:r>
        <w:rPr>
          <w:rFonts w:ascii="Times New Roman" w:eastAsia="SimHei"/>
          <w:b/>
          <w:bCs/>
          <w:color w:val="1A2330"/>
          <w:sz w:val="28"/>
          <w:szCs w:val="28"/>
        </w:rPr>
        <w:t xml:space="preserve">Target Users</w:t>
      </w:r>
      <w:bookmarkEnd w:id="10000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Role</w:t>
            </w:r>
          </w:p>
        </w:tc>
        <w:tc>
          <w:tcPr>
            <w:tcW w:type="pct" w:w="45%"/>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35%"/>
            <w:shd w:fill="D4875A" w:val="clear"/>
            <w:tcMar>
              <w:top w:type="dxa" w:w="60"/>
              <w:left w:type="dxa" w:w="120"/>
              <w:bottom w:type="dxa" w:w="60"/>
              <w:right w:type="dxa" w:w="120"/>
            </w:tcMar>
          </w:tcPr>
          <w:p>
            <w:r>
              <w:rPr>
                <w:rFonts w:ascii="Times New Roman" w:eastAsia="SimHei"/>
                <w:b/>
                <w:bCs/>
                <w:color w:val="FFFFFF"/>
                <w:sz w:val="21"/>
                <w:szCs w:val="21"/>
              </w:rPr>
              <w:t xml:space="preserve">Primary Modules</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Super Admin</w:t>
            </w:r>
          </w:p>
        </w:tc>
        <w:tc>
          <w:tcPr>
            <w:tcW w:type="pct" w:w="45%"/>
            <w:shd w:fill="F8F0EB" w:val="clear"/>
            <w:tcMar>
              <w:top w:type="dxa" w:w="60"/>
              <w:left w:type="dxa" w:w="120"/>
              <w:bottom w:type="dxa" w:w="60"/>
              <w:right w:type="dxa" w:w="120"/>
            </w:tcMar>
          </w:tcPr>
          <w:p>
            <w:r>
              <w:rPr>
                <w:rFonts w:ascii="Times New Roman" w:eastAsia="Microsoft YaHei"/>
                <w:color w:val="2C3E50"/>
                <w:sz w:val="21"/>
                <w:szCs w:val="21"/>
              </w:rPr>
              <w:t xml:space="preserve">Full system access, configuration, and user management across all stores</w:t>
            </w:r>
          </w:p>
        </w:tc>
        <w:tc>
          <w:tcPr>
            <w:tcW w:type="pct" w:w="35%"/>
            <w:shd w:fill="F8F0EB" w:val="clear"/>
            <w:tcMar>
              <w:top w:type="dxa" w:w="60"/>
              <w:left w:type="dxa" w:w="120"/>
              <w:bottom w:type="dxa" w:w="60"/>
              <w:right w:type="dxa" w:w="120"/>
            </w:tcMar>
          </w:tcPr>
          <w:p>
            <w:r>
              <w:rPr>
                <w:rFonts w:ascii="Times New Roman" w:eastAsia="Microsoft YaHei"/>
                <w:color w:val="2C3E50"/>
                <w:sz w:val="21"/>
                <w:szCs w:val="21"/>
              </w:rPr>
              <w:t xml:space="preserve">All modules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Store Manager</w:t>
            </w:r>
          </w:p>
        </w:tc>
        <w:tc>
          <w:tcPr>
            <w:tcW w:type="pct" w:w="45%"/>
            <w:shd w:fill="FFFFFF" w:val="clear"/>
            <w:tcMar>
              <w:top w:type="dxa" w:w="60"/>
              <w:left w:type="dxa" w:w="120"/>
              <w:bottom w:type="dxa" w:w="60"/>
              <w:right w:type="dxa" w:w="120"/>
            </w:tcMar>
          </w:tcPr>
          <w:p>
            <w:r>
              <w:rPr>
                <w:rFonts w:ascii="Times New Roman" w:eastAsia="Microsoft YaHei"/>
                <w:color w:val="2C3E50"/>
                <w:sz w:val="21"/>
                <w:szCs w:val="21"/>
              </w:rPr>
              <w:t xml:space="preserve">Day-to-day store operations, staff oversight, inventory management, and reporting</w:t>
            </w:r>
          </w:p>
        </w:tc>
        <w:tc>
          <w:tcPr>
            <w:tcW w:type="pct" w:w="35%"/>
            <w:shd w:fill="FFFFFF" w:val="clear"/>
            <w:tcMar>
              <w:top w:type="dxa" w:w="60"/>
              <w:left w:type="dxa" w:w="120"/>
              <w:bottom w:type="dxa" w:w="60"/>
              <w:right w:type="dxa" w:w="120"/>
            </w:tcMar>
          </w:tcPr>
          <w:p>
            <w:r>
              <w:rPr>
                <w:rFonts w:ascii="Times New Roman" w:eastAsia="Microsoft YaHei"/>
                <w:color w:val="2C3E50"/>
                <w:sz w:val="21"/>
                <w:szCs w:val="21"/>
              </w:rPr>
              <w:t xml:space="preserve">Products, Sales, Purchase, Inventory, Reports</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Cashier</w:t>
            </w:r>
          </w:p>
        </w:tc>
        <w:tc>
          <w:tcPr>
            <w:tcW w:type="pct" w:w="45%"/>
            <w:shd w:fill="F8F0EB" w:val="clear"/>
            <w:tcMar>
              <w:top w:type="dxa" w:w="60"/>
              <w:left w:type="dxa" w:w="120"/>
              <w:bottom w:type="dxa" w:w="60"/>
              <w:right w:type="dxa" w:w="120"/>
            </w:tcMar>
          </w:tcPr>
          <w:p>
            <w:r>
              <w:rPr>
                <w:rFonts w:ascii="Times New Roman" w:eastAsia="Microsoft YaHei"/>
                <w:color w:val="2C3E50"/>
                <w:sz w:val="21"/>
                <w:szCs w:val="21"/>
              </w:rPr>
              <w:t xml:space="preserve">Point-of-sale transactions, receipt issuance, and basic customer lookup</w:t>
            </w:r>
          </w:p>
        </w:tc>
        <w:tc>
          <w:tcPr>
            <w:tcW w:type="pct" w:w="35%"/>
            <w:shd w:fill="F8F0EB" w:val="clear"/>
            <w:tcMar>
              <w:top w:type="dxa" w:w="60"/>
              <w:left w:type="dxa" w:w="120"/>
              <w:bottom w:type="dxa" w:w="60"/>
              <w:right w:type="dxa" w:w="120"/>
            </w:tcMar>
          </w:tcPr>
          <w:p>
            <w:r>
              <w:rPr>
                <w:rFonts w:ascii="Times New Roman" w:eastAsia="Microsoft YaHei"/>
                <w:color w:val="2C3E50"/>
                <w:sz w:val="21"/>
                <w:szCs w:val="21"/>
              </w:rPr>
              <w:t xml:space="preserve">Sales, Products (read-only), Customer Loyalty</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Accountant</w:t>
            </w:r>
          </w:p>
        </w:tc>
        <w:tc>
          <w:tcPr>
            <w:tcW w:type="pct" w:w="45%"/>
            <w:shd w:fill="FFFFFF" w:val="clear"/>
            <w:tcMar>
              <w:top w:type="dxa" w:w="60"/>
              <w:left w:type="dxa" w:w="120"/>
              <w:bottom w:type="dxa" w:w="60"/>
              <w:right w:type="dxa" w:w="120"/>
            </w:tcMar>
          </w:tcPr>
          <w:p>
            <w:r>
              <w:rPr>
                <w:rFonts w:ascii="Times New Roman" w:eastAsia="Microsoft YaHei"/>
                <w:color w:val="2C3E50"/>
                <w:sz w:val="21"/>
                <w:szCs w:val="21"/>
              </w:rPr>
              <w:t xml:space="preserve">Financial record-keeping, tax compliance, bank reconciliation, and reporting</w:t>
            </w:r>
          </w:p>
        </w:tc>
        <w:tc>
          <w:tcPr>
            <w:tcW w:type="pct" w:w="35%"/>
            <w:shd w:fill="FFFFFF" w:val="clear"/>
            <w:tcMar>
              <w:top w:type="dxa" w:w="60"/>
              <w:left w:type="dxa" w:w="120"/>
              <w:bottom w:type="dxa" w:w="60"/>
              <w:right w:type="dxa" w:w="120"/>
            </w:tcMar>
          </w:tcPr>
          <w:p>
            <w:r>
              <w:rPr>
                <w:rFonts w:ascii="Times New Roman" w:eastAsia="Microsoft YaHei"/>
                <w:color w:val="2C3E50"/>
                <w:sz w:val="21"/>
                <w:szCs w:val="21"/>
              </w:rPr>
              <w:t xml:space="preserve">Accounts, Banking, Tax, Expenses, Reports</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Warehouse Staff</w:t>
            </w:r>
          </w:p>
        </w:tc>
        <w:tc>
          <w:tcPr>
            <w:tcW w:type="pct" w:w="45%"/>
            <w:shd w:fill="F8F0EB" w:val="clear"/>
            <w:tcMar>
              <w:top w:type="dxa" w:w="60"/>
              <w:left w:type="dxa" w:w="120"/>
              <w:bottom w:type="dxa" w:w="60"/>
              <w:right w:type="dxa" w:w="120"/>
            </w:tcMar>
          </w:tcPr>
          <w:p>
            <w:r>
              <w:rPr>
                <w:rFonts w:ascii="Times New Roman" w:eastAsia="Microsoft YaHei"/>
                <w:color w:val="2C3E50"/>
                <w:sz w:val="21"/>
                <w:szCs w:val="21"/>
              </w:rPr>
              <w:t xml:space="preserve">Goods receipt, stock verification, inter-store transfers, and physical counts</w:t>
            </w:r>
          </w:p>
        </w:tc>
        <w:tc>
          <w:tcPr>
            <w:tcW w:type="pct" w:w="35%"/>
            <w:shd w:fill="F8F0EB" w:val="clear"/>
            <w:tcMar>
              <w:top w:type="dxa" w:w="60"/>
              <w:left w:type="dxa" w:w="120"/>
              <w:bottom w:type="dxa" w:w="60"/>
              <w:right w:type="dxa" w:w="120"/>
            </w:tcMar>
          </w:tcPr>
          <w:p>
            <w:r>
              <w:rPr>
                <w:rFonts w:ascii="Times New Roman" w:eastAsia="Microsoft YaHei"/>
                <w:color w:val="2C3E50"/>
                <w:sz w:val="21"/>
                <w:szCs w:val="21"/>
              </w:rPr>
              <w:t xml:space="preserve">Products (inventory), Purchase (receiving)</w:t>
            </w:r>
          </w:p>
        </w:tc>
      </w:tr>
    </w:tbl>
    <w:p>
      <w:pPr>
        <w:spacing w:after="200" w:before="80"/>
        <w:jc w:val="center"/>
      </w:pPr>
      <w:r>
        <w:rPr>
          <w:rFonts w:ascii="Times New Roman" w:eastAsia="Microsoft YaHei"/>
          <w:i/>
          <w:iCs/>
          <w:color w:val="607080"/>
          <w:sz w:val="20"/>
          <w:szCs w:val="20"/>
        </w:rPr>
        <w:t xml:space="preserve">Table 1: System User Roles and Module Access</w:t>
      </w:r>
    </w:p>
    <w:p>
      <w:pPr>
        <w:pStyle w:val="Heading1"/>
        <w:spacing w:after="200" w:before="480"/>
      </w:pPr>
      <w:bookmarkStart w:id="100005" w:name="_Toc100005"/>
      <w:r>
        <w:rPr>
          <w:rFonts w:ascii="Times New Roman" w:eastAsia="SimHei"/>
          <w:b/>
          <w:bCs/>
          <w:color w:val="1A2330"/>
          <w:sz w:val="32"/>
          <w:szCs w:val="32"/>
        </w:rPr>
        <w:t xml:space="preserve">Module 1: Product and Inventory Management</w:t>
      </w:r>
      <w:bookmarkEnd w:id="100005"/>
    </w:p>
    <w:p>
      <w:pPr>
        <w:pStyle w:val="Heading2"/>
        <w:spacing w:after="160" w:before="360"/>
      </w:pPr>
      <w:bookmarkStart w:id="100006" w:name="_Toc100006"/>
      <w:r>
        <w:rPr>
          <w:rFonts w:ascii="Times New Roman" w:eastAsia="SimHei"/>
          <w:b/>
          <w:bCs/>
          <w:color w:val="1A2330"/>
          <w:sz w:val="28"/>
          <w:szCs w:val="28"/>
        </w:rPr>
        <w:t xml:space="preserve">Overview</w:t>
      </w:r>
      <w:bookmarkEnd w:id="100006"/>
    </w:p>
    <w:p>
      <w:pPr>
        <w:spacing w:after="120" w:line="312"/>
        <w:jc w:val="both"/>
      </w:pPr>
      <w:r>
        <w:rPr>
          <w:rFonts w:ascii="Times New Roman" w:eastAsia="Microsoft YaHei"/>
          <w:color w:val="2C3E50"/>
          <w:sz w:val="24"/>
          <w:szCs w:val="24"/>
        </w:rPr>
        <w:t xml:space="preserve">The Product and Inventory Management module serves as the foundational data layer for the entire POS system. It manages the complete product lifecycle from catalog definition through inventory tracking, stock adjustments, and multi-unit conversions. The module is specifically designed to handle the diverse product types found in Kenyan hardware retail, from standardized packaged goods (paint tins, tool sets) to loose items sold by weight, length, or piece (nails, wire, timber, cement). This distinction is critical because hardware retailers frequently deal with items that do not conform to simple unit-based inventory models.</w:t>
      </w:r>
    </w:p>
    <w:p>
      <w:pPr>
        <w:pStyle w:val="Heading2"/>
        <w:spacing w:after="160" w:before="360"/>
      </w:pPr>
      <w:bookmarkStart w:id="100007" w:name="_Toc100007"/>
      <w:r>
        <w:rPr>
          <w:rFonts w:ascii="Times New Roman" w:eastAsia="SimHei"/>
          <w:b/>
          <w:bCs/>
          <w:color w:val="1A2330"/>
          <w:sz w:val="28"/>
          <w:szCs w:val="28"/>
        </w:rPr>
        <w:t xml:space="preserve">Product Catalog</w:t>
      </w:r>
      <w:bookmarkEnd w:id="100007"/>
    </w:p>
    <w:p>
      <w:pPr>
        <w:pStyle w:val="Heading3"/>
        <w:spacing w:after="120" w:before="240"/>
      </w:pPr>
      <w:bookmarkStart w:id="100008" w:name="_Toc100008"/>
      <w:r>
        <w:rPr>
          <w:rFonts w:ascii="Times New Roman" w:eastAsia="SimHei"/>
          <w:b/>
          <w:bCs/>
          <w:color w:val="1A2330"/>
          <w:sz w:val="24"/>
          <w:szCs w:val="24"/>
        </w:rPr>
        <w:t xml:space="preserve">Product Data Model</w:t>
      </w:r>
      <w:bookmarkEnd w:id="100008"/>
    </w:p>
    <w:p>
      <w:pPr>
        <w:spacing w:after="120" w:line="312"/>
        <w:jc w:val="both"/>
      </w:pPr>
      <w:r>
        <w:rPr>
          <w:rFonts w:ascii="Times New Roman" w:eastAsia="Microsoft YaHei"/>
          <w:color w:val="2C3E50"/>
          <w:sz w:val="24"/>
          <w:szCs w:val="24"/>
        </w:rPr>
        <w:t xml:space="preserve">Each product in the catalog is defined by a comprehensive set of attributes that capture both the standard retail information and the hardware-specific properties necessary for accurate pricing, inventory tracking, and sales processing. The product model supports hierarchical categorization, multiple pricing tiers, and flexible unit definitions that enable the system to handle the full diversity of hardware merchandise.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tcW w:type="pct" w:w="60%"/>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product_id</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UUID</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Unique identifier for the product, auto-generated on creation</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sku</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String (unique)</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Stock Keeping Unit code, user-defined or auto-generated from category prefix</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barcode</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String (unique, nullable)</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EAN/UPC barcode for scanned items; null for non-barcoded loose items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name</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String</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Full product name displayed on receipts, invoices, and reports</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description</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Text</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Detailed product description for quotations and online catalogs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category_id</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UUID (FK)</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Reference to product category hierarchy (e.g., Building &gt; Cement &gt; Portland)</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base_unit</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String</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Smallest sellable unit (piece, kg, meter, liter, bag)</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selling_price</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Decimal(12,2)</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Default retail price per base unit in KES</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cost_price</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Decimal(12,2)</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Average purchase cost per base unit in KES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tax_category</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Enum</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VAT rate applicable: STANDARD_16, REDUCED_8, ZERO_RATED, EXEMPT</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product_type</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Enum</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STANDARD (packaged), LOOSE (variable quantity), SERVICE (non-stock)</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min_stock_level</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Decimal(12,2)</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Reorder threshold; triggers low-stock alerts when stock falls below</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max_stock_level</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Decimal(12,2)</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Overstock threshold; warns against excessive procurement</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is_active</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Boolean</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Soft-delete flag; inactive products are hidden from POS but retained in history</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image_url</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String (nullable)</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Product image path for visual identification at POS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created_at / updated_at</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Timestamp</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Automatic audit timestamps with timezone</w:t>
            </w:r>
          </w:p>
        </w:tc>
      </w:tr>
    </w:tbl>
    <w:p>
      <w:pPr>
        <w:spacing w:after="200" w:before="80"/>
        <w:jc w:val="center"/>
      </w:pPr>
      <w:r>
        <w:rPr>
          <w:rFonts w:ascii="Times New Roman" w:eastAsia="Microsoft YaHei"/>
          <w:i/>
          <w:iCs/>
          <w:color w:val="607080"/>
          <w:sz w:val="20"/>
          <w:szCs w:val="20"/>
        </w:rPr>
        <w:t xml:space="preserve">Table 2: Product Data Model Fields</w:t>
      </w:r>
    </w:p>
    <w:p>
      <w:pPr>
        <w:pStyle w:val="Heading3"/>
        <w:spacing w:after="120" w:before="240"/>
      </w:pPr>
      <w:bookmarkStart w:id="100009" w:name="_Toc100009"/>
      <w:r>
        <w:rPr>
          <w:rFonts w:ascii="Times New Roman" w:eastAsia="SimHei"/>
          <w:b/>
          <w:bCs/>
          <w:color w:val="1A2330"/>
          <w:sz w:val="24"/>
          <w:szCs w:val="24"/>
        </w:rPr>
        <w:t xml:space="preserve">Product Categories</w:t>
      </w:r>
      <w:bookmarkEnd w:id="100009"/>
    </w:p>
    <w:p>
      <w:pPr>
        <w:spacing w:after="120" w:line="312"/>
        <w:jc w:val="both"/>
      </w:pPr>
      <w:r>
        <w:rPr>
          <w:rFonts w:ascii="Times New Roman" w:eastAsia="Microsoft YaHei"/>
          <w:color w:val="2C3E50"/>
          <w:sz w:val="24"/>
          <w:szCs w:val="24"/>
        </w:rPr>
        <w:t xml:space="preserve">Products are organized in a hierarchical category tree with unlimited depth. Categories support attributes templates that define mandatory fields for products within that category. For example, the Cement category might require grade (32.5N, 42.5N), weight per bag, and manufacturer, while the Timber category requires species, treatment type, and standard dimensions. The category hierarchy enables filtered browsing at POS, targeted promotions, and structured reporting by department or product line. Category-level defaults for tax classification and pricing margins reduce data entry effort during product creation.</w:t>
      </w:r>
    </w:p>
    <w:p>
      <w:pPr>
        <w:pStyle w:val="Heading3"/>
        <w:spacing w:after="120" w:before="240"/>
      </w:pPr>
      <w:bookmarkStart w:id="100010" w:name="_Toc100010"/>
      <w:r>
        <w:rPr>
          <w:rFonts w:ascii="Times New Roman" w:eastAsia="SimHei"/>
          <w:b/>
          <w:bCs/>
          <w:color w:val="1A2330"/>
          <w:sz w:val="24"/>
          <w:szCs w:val="24"/>
        </w:rPr>
        <w:t xml:space="preserve">Multi-Unit Conversion</w:t>
      </w:r>
      <w:bookmarkEnd w:id="100010"/>
    </w:p>
    <w:p>
      <w:pPr>
        <w:spacing w:after="120" w:line="312"/>
        <w:jc w:val="both"/>
      </w:pPr>
      <w:r>
        <w:rPr>
          <w:rFonts w:ascii="Times New Roman" w:eastAsia="Microsoft YaHei"/>
          <w:color w:val="2C3E50"/>
          <w:sz w:val="24"/>
          <w:szCs w:val="24"/>
        </w:rPr>
        <w:t xml:space="preserve">Hardware retail frequently requires selling the same product in different units. A box of nails contains 1,000 pieces but may be sold individually or by the box; timber is stocked in standard lengths but sold by the meter; cement comes in 50kg bags but may be broken into smaller quantities. The multi-unit conversion system defines conversion factors between units for each product, enabling the POS to price and de-stock correctly regardless of the unit used at the point of sale.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From Unit</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To Unit</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Factor</w:t>
            </w:r>
          </w:p>
        </w:tc>
        <w:tc>
          <w:tcPr>
            <w:tcW w:type="pct" w:w="35%"/>
            <w:shd w:fill="D4875A" w:val="clear"/>
            <w:tcMar>
              <w:top w:type="dxa" w:w="60"/>
              <w:left w:type="dxa" w:w="120"/>
              <w:bottom w:type="dxa" w:w="60"/>
              <w:right w:type="dxa" w:w="120"/>
            </w:tcMar>
          </w:tcPr>
          <w:p>
            <w:r>
              <w:rPr>
                <w:rFonts w:ascii="Times New Roman" w:eastAsia="SimHei"/>
                <w:b/>
                <w:bCs/>
                <w:color w:val="FFFFFF"/>
                <w:sz w:val="21"/>
                <w:szCs w:val="21"/>
              </w:rPr>
              <w:t xml:space="preserve">Example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2C3E50"/>
                <w:sz w:val="21"/>
                <w:szCs w:val="21"/>
              </w:rPr>
              <w:t xml:space="preserve">Box</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Piece</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1,000</w:t>
            </w:r>
          </w:p>
        </w:tc>
        <w:tc>
          <w:tcPr>
            <w:tcW w:type="pct" w:w="35%"/>
            <w:shd w:fill="F8F0EB" w:val="clear"/>
            <w:tcMar>
              <w:top w:type="dxa" w:w="60"/>
              <w:left w:type="dxa" w:w="120"/>
              <w:bottom w:type="dxa" w:w="60"/>
              <w:right w:type="dxa" w:w="120"/>
            </w:tcMar>
          </w:tcPr>
          <w:p>
            <w:r>
              <w:rPr>
                <w:rFonts w:ascii="Times New Roman" w:eastAsia="Microsoft YaHei"/>
                <w:color w:val="2C3E50"/>
                <w:sz w:val="21"/>
                <w:szCs w:val="21"/>
              </w:rPr>
              <w:t xml:space="preserve">1 box of nails = 1,000 pieces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2C3E50"/>
                <w:sz w:val="21"/>
                <w:szCs w:val="21"/>
              </w:rPr>
              <w:t xml:space="preserve">Bag (50kg)</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Kg</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50</w:t>
            </w:r>
          </w:p>
        </w:tc>
        <w:tc>
          <w:tcPr>
            <w:tcW w:type="pct" w:w="35%"/>
            <w:shd w:fill="FFFFFF" w:val="clear"/>
            <w:tcMar>
              <w:top w:type="dxa" w:w="60"/>
              <w:left w:type="dxa" w:w="120"/>
              <w:bottom w:type="dxa" w:w="60"/>
              <w:right w:type="dxa" w:w="120"/>
            </w:tcMar>
          </w:tcPr>
          <w:p>
            <w:r>
              <w:rPr>
                <w:rFonts w:ascii="Times New Roman" w:eastAsia="Microsoft YaHei"/>
                <w:color w:val="2C3E50"/>
                <w:sz w:val="21"/>
                <w:szCs w:val="21"/>
              </w:rPr>
              <w:t xml:space="preserve">1 bag of cement = 50 kg</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2C3E50"/>
                <w:sz w:val="21"/>
                <w:szCs w:val="21"/>
              </w:rPr>
              <w:t xml:space="preserve">Length (6m)</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Meter</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6</w:t>
            </w:r>
          </w:p>
        </w:tc>
        <w:tc>
          <w:tcPr>
            <w:tcW w:type="pct" w:w="35%"/>
            <w:shd w:fill="F8F0EB" w:val="clear"/>
            <w:tcMar>
              <w:top w:type="dxa" w:w="60"/>
              <w:left w:type="dxa" w:w="120"/>
              <w:bottom w:type="dxa" w:w="60"/>
              <w:right w:type="dxa" w:w="120"/>
            </w:tcMar>
          </w:tcPr>
          <w:p>
            <w:r>
              <w:rPr>
                <w:rFonts w:ascii="Times New Roman" w:eastAsia="Microsoft YaHei"/>
                <w:color w:val="2C3E50"/>
                <w:sz w:val="21"/>
                <w:szCs w:val="21"/>
              </w:rPr>
              <w:t xml:space="preserve">1 standard timber length = 6 meters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2C3E50"/>
                <w:sz w:val="21"/>
                <w:szCs w:val="21"/>
              </w:rPr>
              <w:t xml:space="preserve">Roll (100m)</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Meter</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100</w:t>
            </w:r>
          </w:p>
        </w:tc>
        <w:tc>
          <w:tcPr>
            <w:tcW w:type="pct" w:w="35%"/>
            <w:shd w:fill="FFFFFF" w:val="clear"/>
            <w:tcMar>
              <w:top w:type="dxa" w:w="60"/>
              <w:left w:type="dxa" w:w="120"/>
              <w:bottom w:type="dxa" w:w="60"/>
              <w:right w:type="dxa" w:w="120"/>
            </w:tcMar>
          </w:tcPr>
          <w:p>
            <w:r>
              <w:rPr>
                <w:rFonts w:ascii="Times New Roman" w:eastAsia="Microsoft YaHei"/>
                <w:color w:val="2C3E50"/>
                <w:sz w:val="21"/>
                <w:szCs w:val="21"/>
              </w:rPr>
              <w:t xml:space="preserve">1 roll of wire = 100 meters</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2C3E50"/>
                <w:sz w:val="21"/>
                <w:szCs w:val="21"/>
              </w:rPr>
              <w:t xml:space="preserve">Drum (200L)</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Liter</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200</w:t>
            </w:r>
          </w:p>
        </w:tc>
        <w:tc>
          <w:tcPr>
            <w:tcW w:type="pct" w:w="35%"/>
            <w:shd w:fill="F8F0EB" w:val="clear"/>
            <w:tcMar>
              <w:top w:type="dxa" w:w="60"/>
              <w:left w:type="dxa" w:w="120"/>
              <w:bottom w:type="dxa" w:w="60"/>
              <w:right w:type="dxa" w:w="120"/>
            </w:tcMar>
          </w:tcPr>
          <w:p>
            <w:r>
              <w:rPr>
                <w:rFonts w:ascii="Times New Roman" w:eastAsia="Microsoft YaHei"/>
                <w:color w:val="2C3E50"/>
                <w:sz w:val="21"/>
                <w:szCs w:val="21"/>
              </w:rPr>
              <w:t xml:space="preserve">1 drum of oil = 200 liters</w:t>
            </w:r>
          </w:p>
        </w:tc>
      </w:tr>
    </w:tbl>
    <w:p>
      <w:pPr>
        <w:spacing w:after="200" w:before="80"/>
        <w:jc w:val="center"/>
      </w:pPr>
      <w:r>
        <w:rPr>
          <w:rFonts w:ascii="Times New Roman" w:eastAsia="Microsoft YaHei"/>
          <w:i/>
          <w:iCs/>
          <w:color w:val="607080"/>
          <w:sz w:val="20"/>
          <w:szCs w:val="20"/>
        </w:rPr>
        <w:t xml:space="preserve">Table 3: Multi-Unit Conversion Examples</w:t>
      </w:r>
    </w:p>
    <w:p>
      <w:pPr>
        <w:pStyle w:val="Heading2"/>
        <w:spacing w:after="160" w:before="360"/>
      </w:pPr>
      <w:bookmarkStart w:id="100011" w:name="_Toc100011"/>
      <w:r>
        <w:rPr>
          <w:rFonts w:ascii="Times New Roman" w:eastAsia="SimHei"/>
          <w:b/>
          <w:bCs/>
          <w:color w:val="1A2330"/>
          <w:sz w:val="28"/>
          <w:szCs w:val="28"/>
        </w:rPr>
        <w:t xml:space="preserve">Inventory Tracking</w:t>
      </w:r>
      <w:bookmarkEnd w:id="100011"/>
    </w:p>
    <w:p>
      <w:pPr>
        <w:pStyle w:val="Heading3"/>
        <w:spacing w:after="120" w:before="240"/>
      </w:pPr>
      <w:bookmarkStart w:id="100012" w:name="_Toc100012"/>
      <w:r>
        <w:rPr>
          <w:rFonts w:ascii="Times New Roman" w:eastAsia="SimHei"/>
          <w:b/>
          <w:bCs/>
          <w:color w:val="1A2330"/>
          <w:sz w:val="24"/>
          <w:szCs w:val="24"/>
        </w:rPr>
        <w:t xml:space="preserve">Stock Levels</w:t>
      </w:r>
      <w:bookmarkEnd w:id="100012"/>
    </w:p>
    <w:p>
      <w:pPr>
        <w:spacing w:after="120" w:line="312"/>
        <w:jc w:val="both"/>
      </w:pPr>
      <w:r>
        <w:rPr>
          <w:rFonts w:ascii="Times New Roman" w:eastAsia="Microsoft YaHei"/>
          <w:color w:val="2C3E50"/>
          <w:sz w:val="24"/>
          <w:szCs w:val="24"/>
        </w:rPr>
        <w:t xml:space="preserve">Inventory is tracked per product per store per unit, maintaining current quantity, reserved quantity (allocated to pending sales or transfer orders), and available quantity (current minus reserved). This three-tier quantity model prevents overselling by ensuring that stock committed to active transactions is not available for new sales. Stock levels are updated in real-time as transactions are processed, with immediate local updates in SQLite and queued synchronization to the central PostgreSQL database for multi-store visibility.</w:t>
      </w:r>
    </w:p>
    <w:p>
      <w:pPr>
        <w:pStyle w:val="Heading3"/>
        <w:spacing w:after="120" w:before="240"/>
      </w:pPr>
      <w:bookmarkStart w:id="100013" w:name="_Toc100013"/>
      <w:r>
        <w:rPr>
          <w:rFonts w:ascii="Times New Roman" w:eastAsia="SimHei"/>
          <w:b/>
          <w:bCs/>
          <w:color w:val="1A2330"/>
          <w:sz w:val="24"/>
          <w:szCs w:val="24"/>
        </w:rPr>
        <w:t xml:space="preserve">Stock Adjustments</w:t>
      </w:r>
      <w:bookmarkEnd w:id="100013"/>
    </w:p>
    <w:p>
      <w:pPr>
        <w:spacing w:after="120" w:line="312"/>
        <w:jc w:val="both"/>
      </w:pPr>
      <w:r>
        <w:rPr>
          <w:rFonts w:ascii="Times New Roman" w:eastAsia="Microsoft YaHei"/>
          <w:color w:val="2C3E50"/>
          <w:sz w:val="24"/>
          <w:szCs w:val="24"/>
        </w:rPr>
        <w:t xml:space="preserve">Inventory adjustments capture all changes to stock levels beyond normal sales and procurement transactions. Each adjustment records the reason, the quantity changed, the user who made the adjustment, and a timestamp. Adjustment reasons include damaged goods, theft, found discrepancies during stock counts, and correction of data entry errors. All adjustments are auditable and require authorization based on the magnitude of the change; adjustments exceeding a configurable threshold require store manager approval before being applied.</w:t>
      </w:r>
    </w:p>
    <w:p>
      <w:pPr>
        <w:pStyle w:val="Heading3"/>
        <w:spacing w:after="120" w:before="240"/>
      </w:pPr>
      <w:bookmarkStart w:id="100014" w:name="_Toc100014"/>
      <w:r>
        <w:rPr>
          <w:rFonts w:ascii="Times New Roman" w:eastAsia="SimHei"/>
          <w:b/>
          <w:bCs/>
          <w:color w:val="1A2330"/>
          <w:sz w:val="24"/>
          <w:szCs w:val="24"/>
        </w:rPr>
        <w:t xml:space="preserve">Stock Transfers</w:t>
      </w:r>
      <w:bookmarkEnd w:id="100014"/>
    </w:p>
    <w:p>
      <w:pPr>
        <w:spacing w:after="120" w:line="312"/>
        <w:jc w:val="both"/>
      </w:pPr>
      <w:r>
        <w:rPr>
          <w:rFonts w:ascii="Times New Roman" w:eastAsia="Microsoft YaHei"/>
          <w:color w:val="2C3E50"/>
          <w:sz w:val="24"/>
          <w:szCs w:val="24"/>
        </w:rPr>
        <w:t xml:space="preserve">Inter-store stock transfers enable redistribution of inventory between branches without going through procurement. The transfer workflow involves a source store initiating the transfer, the system reserving stock at the source, the destination store receiving and verifying the goods, and the system updating inventory at both locations. Transfers in transit are tracked separately to maintain accurate stock visibility. The system supports partial receipts where the quantity received differs from the quantity sent, automatically generating discrepancy reports for investigation.</w:t>
      </w:r>
    </w:p>
    <w:p>
      <w:pPr>
        <w:pStyle w:val="Heading3"/>
        <w:spacing w:after="120" w:before="240"/>
      </w:pPr>
      <w:bookmarkStart w:id="100015" w:name="_Toc100015"/>
      <w:r>
        <w:rPr>
          <w:rFonts w:ascii="Times New Roman" w:eastAsia="SimHei"/>
          <w:b/>
          <w:bCs/>
          <w:color w:val="1A2330"/>
          <w:sz w:val="24"/>
          <w:szCs w:val="24"/>
        </w:rPr>
        <w:t xml:space="preserve">Physical Stock Counts</w:t>
      </w:r>
      <w:bookmarkEnd w:id="100015"/>
    </w:p>
    <w:p>
      <w:pPr>
        <w:spacing w:after="120" w:line="312"/>
        <w:jc w:val="both"/>
      </w:pPr>
      <w:r>
        <w:rPr>
          <w:rFonts w:ascii="Times New Roman" w:eastAsia="Microsoft YaHei"/>
          <w:color w:val="2C3E50"/>
          <w:sz w:val="24"/>
          <w:szCs w:val="24"/>
        </w:rPr>
        <w:t xml:space="preserve">Periodic physical inventory counts are supported through count sheets generated from the system, with mobile or desktop entry of counted quantities. The system compares counted quantities against system quantities, calculates variances, and generates adjustment proposals that require authorization before application. Cycle counting is supported as an alternative to full physical counts, allowing targeted counting of high-value or high-turnover items on a rotating schedule throughout the year, minimizing operational disruption while maintaining inventory accuracy.</w:t>
      </w:r>
    </w:p>
    <w:p>
      <w:pPr>
        <w:pStyle w:val="Heading2"/>
        <w:spacing w:after="160" w:before="360"/>
      </w:pPr>
      <w:bookmarkStart w:id="100016" w:name="_Toc100016"/>
      <w:r>
        <w:rPr>
          <w:rFonts w:ascii="Times New Roman" w:eastAsia="SimHei"/>
          <w:b/>
          <w:bCs/>
          <w:color w:val="1A2330"/>
          <w:sz w:val="28"/>
          <w:szCs w:val="28"/>
        </w:rPr>
        <w:t xml:space="preserve">Low Stock Alerts and Reorder Management</w:t>
      </w:r>
      <w:bookmarkEnd w:id="100016"/>
    </w:p>
    <w:p>
      <w:pPr>
        <w:spacing w:after="120" w:line="312"/>
        <w:jc w:val="both"/>
      </w:pPr>
      <w:r>
        <w:rPr>
          <w:rFonts w:ascii="Times New Roman" w:eastAsia="Microsoft YaHei"/>
          <w:color w:val="2C3E50"/>
          <w:sz w:val="24"/>
          <w:szCs w:val="24"/>
        </w:rPr>
        <w:t xml:space="preserve">The system continuously monitors stock levels against configurable minimum thresholds and generates alerts when products fall below their reorder points. Alerts are delivered through multiple channels: in-app notifications, email summaries for store managers, and dashboard widgets displaying critical stock status. The system can auto-generate purchase order suggestions based on historical sales velocity, lead times from preferred suppliers, and current stock levels, enabling proactive inventory management rather than reactive reordering after stockouts occur.</w:t>
      </w:r>
    </w:p>
    <w:p>
      <w:pPr>
        <w:pStyle w:val="Heading2"/>
        <w:spacing w:after="160" w:before="360"/>
      </w:pPr>
      <w:bookmarkStart w:id="100017" w:name="_Toc100017"/>
      <w:r>
        <w:rPr>
          <w:rFonts w:ascii="Times New Roman" w:eastAsia="SimHei"/>
          <w:b/>
          <w:bCs/>
          <w:color w:val="1A2330"/>
          <w:sz w:val="28"/>
          <w:szCs w:val="28"/>
        </w:rPr>
        <w:t xml:space="preserve">Business Rules</w:t>
      </w:r>
      <w:bookmarkEnd w:id="100017"/>
    </w:p>
    <w:p>
      <w:pPr>
        <w:pStyle w:val="ListParagraph"/>
        <w:numPr>
          <w:ilvl w:val="0"/>
          <w:numId w:val="1"/>
        </w:numPr>
        <w:spacing w:after="80" w:line="312"/>
      </w:pPr>
      <w:r>
        <w:rPr>
          <w:rFonts w:ascii="Times New Roman" w:eastAsia="Microsoft YaHei"/>
          <w:color w:val="2C3E50"/>
          <w:sz w:val="24"/>
          <w:szCs w:val="24"/>
        </w:rPr>
        <w:t xml:space="preserve">Product SKUs must be unique across the entire system; duplicate SKUs are rejected at creation.</w:t>
      </w:r>
    </w:p>
    <w:p>
      <w:pPr>
        <w:pStyle w:val="ListParagraph"/>
        <w:numPr>
          <w:ilvl w:val="0"/>
          <w:numId w:val="1"/>
        </w:numPr>
        <w:spacing w:after="80" w:line="312"/>
      </w:pPr>
      <w:r>
        <w:rPr>
          <w:rFonts w:ascii="Times New Roman" w:eastAsia="Microsoft YaHei"/>
          <w:color w:val="2C3E50"/>
          <w:sz w:val="24"/>
          <w:szCs w:val="24"/>
        </w:rPr>
        <w:t xml:space="preserve">Selling price must not be set below cost price without explicit manager override and audit log entry.</w:t>
      </w:r>
    </w:p>
    <w:p>
      <w:pPr>
        <w:pStyle w:val="ListParagraph"/>
        <w:numPr>
          <w:ilvl w:val="0"/>
          <w:numId w:val="1"/>
        </w:numPr>
        <w:spacing w:after="80" w:line="312"/>
      </w:pPr>
      <w:r>
        <w:rPr>
          <w:rFonts w:ascii="Times New Roman" w:eastAsia="Microsoft YaHei"/>
          <w:color w:val="2C3E50"/>
          <w:sz w:val="24"/>
          <w:szCs w:val="24"/>
        </w:rPr>
        <w:t xml:space="preserve">Stock levels cannot go negative; the system enforces a hard constraint preventing sales that would result in negative available stock.</w:t>
      </w:r>
    </w:p>
    <w:p>
      <w:pPr>
        <w:pStyle w:val="ListParagraph"/>
        <w:numPr>
          <w:ilvl w:val="0"/>
          <w:numId w:val="1"/>
        </w:numPr>
        <w:spacing w:after="80" w:line="312"/>
      </w:pPr>
      <w:r>
        <w:rPr>
          <w:rFonts w:ascii="Times New Roman" w:eastAsia="Microsoft YaHei"/>
          <w:color w:val="2C3E50"/>
          <w:sz w:val="24"/>
          <w:szCs w:val="24"/>
        </w:rPr>
        <w:t xml:space="preserve">All inventory adjustments must have a reason code and are subject to approval based on configurable thresholds.</w:t>
      </w:r>
    </w:p>
    <w:p>
      <w:pPr>
        <w:pStyle w:val="ListParagraph"/>
        <w:numPr>
          <w:ilvl w:val="0"/>
          <w:numId w:val="1"/>
        </w:numPr>
        <w:spacing w:after="80" w:line="312"/>
      </w:pPr>
      <w:r>
        <w:rPr>
          <w:rFonts w:ascii="Times New Roman" w:eastAsia="Microsoft YaHei"/>
          <w:color w:val="2C3E50"/>
          <w:sz w:val="24"/>
          <w:szCs w:val="24"/>
        </w:rPr>
        <w:t xml:space="preserve">Multi-unit conversion factors are defined at the product level and cannot be modified while stock exists for that product.</w:t>
      </w:r>
    </w:p>
    <w:p>
      <w:pPr>
        <w:pStyle w:val="ListParagraph"/>
        <w:numPr>
          <w:ilvl w:val="0"/>
          <w:numId w:val="1"/>
        </w:numPr>
        <w:spacing w:after="80" w:line="312"/>
      </w:pPr>
      <w:r>
        <w:rPr>
          <w:rFonts w:ascii="Times New Roman" w:eastAsia="Microsoft YaHei"/>
          <w:color w:val="2C3E50"/>
          <w:sz w:val="24"/>
          <w:szCs w:val="24"/>
        </w:rPr>
        <w:t xml:space="preserve">Deactivation of a product (soft delete) is only permitted if there are no open transactions referencing the product.</w:t>
      </w:r>
    </w:p>
    <w:p>
      <w:pPr>
        <w:pStyle w:val="ListParagraph"/>
        <w:numPr>
          <w:ilvl w:val="0"/>
          <w:numId w:val="1"/>
        </w:numPr>
        <w:spacing w:after="80" w:line="312"/>
      </w:pPr>
      <w:r>
        <w:rPr>
          <w:rFonts w:ascii="Times New Roman" w:eastAsia="Microsoft YaHei"/>
          <w:color w:val="2C3E50"/>
          <w:sz w:val="24"/>
          <w:szCs w:val="24"/>
        </w:rPr>
        <w:t xml:space="preserve">Category hierarchy changes require Super Admin approval due to their impact on reporting and navigation structures.</w:t>
      </w:r>
    </w:p>
    <w:p>
      <w:pPr>
        <w:pStyle w:val="Heading1"/>
        <w:spacing w:after="200" w:before="480"/>
      </w:pPr>
      <w:bookmarkStart w:id="100018" w:name="_Toc100018"/>
      <w:r>
        <w:rPr>
          <w:rFonts w:ascii="Times New Roman" w:eastAsia="SimHei"/>
          <w:b/>
          <w:bCs/>
          <w:color w:val="1A2330"/>
          <w:sz w:val="32"/>
          <w:szCs w:val="32"/>
        </w:rPr>
        <w:t xml:space="preserve">Module 2: Sales and Point of Sale</w:t>
      </w:r>
      <w:bookmarkEnd w:id="100018"/>
    </w:p>
    <w:p>
      <w:pPr>
        <w:pStyle w:val="Heading2"/>
        <w:spacing w:after="160" w:before="360"/>
      </w:pPr>
      <w:bookmarkStart w:id="100019" w:name="_Toc100019"/>
      <w:r>
        <w:rPr>
          <w:rFonts w:ascii="Times New Roman" w:eastAsia="SimHei"/>
          <w:b/>
          <w:bCs/>
          <w:color w:val="1A2330"/>
          <w:sz w:val="28"/>
          <w:szCs w:val="28"/>
        </w:rPr>
        <w:t xml:space="preserve">Overview</w:t>
      </w:r>
      <w:bookmarkEnd w:id="100019"/>
    </w:p>
    <w:p>
      <w:pPr>
        <w:spacing w:after="120" w:line="312"/>
        <w:jc w:val="both"/>
      </w:pPr>
      <w:r>
        <w:rPr>
          <w:rFonts w:ascii="Times New Roman" w:eastAsia="Microsoft YaHei"/>
          <w:color w:val="2C3E50"/>
          <w:sz w:val="24"/>
          <w:szCs w:val="24"/>
        </w:rPr>
        <w:t xml:space="preserve">The Sales and Point of Sale module is the primary revenue-facing component of the system, handling all customer transaction processing from initial product scanning through payment collection, receipt generation, and tax invoice issuance. The module is engineered for speed and reliability at the checkout counter, with optimized workflows that minimize keystrokes and maximize throughput during peak retail hours. It natively supports the diverse payment methods prevalent in Kenya, including cash, M-Pesa mobile money (via the Daraja API), card payments, and on-account credit for established customers.</w:t>
      </w:r>
    </w:p>
    <w:p>
      <w:pPr>
        <w:pStyle w:val="Heading2"/>
        <w:spacing w:after="160" w:before="360"/>
      </w:pPr>
      <w:bookmarkStart w:id="100020" w:name="_Toc100020"/>
      <w:r>
        <w:rPr>
          <w:rFonts w:ascii="Times New Roman" w:eastAsia="SimHei"/>
          <w:b/>
          <w:bCs/>
          <w:color w:val="1A2330"/>
          <w:sz w:val="28"/>
          <w:szCs w:val="28"/>
        </w:rPr>
        <w:t xml:space="preserve">Transaction Processing</w:t>
      </w:r>
      <w:bookmarkEnd w:id="100020"/>
    </w:p>
    <w:p>
      <w:pPr>
        <w:pStyle w:val="Heading3"/>
        <w:spacing w:after="120" w:before="240"/>
      </w:pPr>
      <w:bookmarkStart w:id="100021" w:name="_Toc100021"/>
      <w:r>
        <w:rPr>
          <w:rFonts w:ascii="Times New Roman" w:eastAsia="SimHei"/>
          <w:b/>
          <w:bCs/>
          <w:color w:val="1A2330"/>
          <w:sz w:val="24"/>
          <w:szCs w:val="24"/>
        </w:rPr>
        <w:t xml:space="preserve">Sale Data Model</w:t>
      </w:r>
      <w:bookmarkEnd w:id="10002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tcW w:type="pct" w:w="60%"/>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sale_id</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UUID</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Unique transaction identifier</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sale_number</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String (unique)</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Human-readable sequential transaction number with store prefix</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store_id</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UUID (FK)</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Store where the transaction was processed</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cashier_id</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UUID (FK)</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User who processed the transaction</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customer_id</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UUID (FK, nullable)</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Linked customer for loyalty tracking; null for walk-in customers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sale_date</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Timestamp</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Transaction timestamp with timezone (EAT)</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subtotal</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Decimal(14,2)</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Sum of line item totals before tax and discounts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discount_amount</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Decimal(12,2)</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Total discount applied (voucher, loyalty, manual)</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tax_amount</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Decimal(12,2)</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Total VAT calculated across all line items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total_amount</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Decimal(14,2)</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Final amount payable (subtotal - discount + tax)</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payment_method</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Enum</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CASH, MPESA, CARD, CREDIT, MIXED (split payment)</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payment_reference</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String (nullable)</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M-Pesa transaction ID, card authorization code, etc.</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status</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Enum</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COMPLETED, VOIDED, REFUNDED, ON_HOLD</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etims_invoice_id</w:t>
            </w:r>
          </w:p>
        </w:tc>
        <w:tc>
          <w:tcPr>
            <w:tcW w:type="pct" w:w="20%"/>
            <w:shd w:fill="FFFFFF" w:val="clear"/>
            <w:tcMar>
              <w:top w:type="dxa" w:w="60"/>
              <w:left w:type="dxa" w:w="120"/>
              <w:bottom w:type="dxa" w:w="60"/>
              <w:right w:type="dxa" w:w="120"/>
            </w:tcMar>
          </w:tcPr>
          <w:p>
            <w:r>
              <w:rPr>
                <w:rFonts w:ascii="Times New Roman" w:eastAsia="Microsoft YaHei"/>
                <w:color w:val="2C3E50"/>
                <w:sz w:val="21"/>
                <w:szCs w:val="21"/>
              </w:rPr>
              <w:t xml:space="preserve">String (nullable)</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eTIMS invoice reference for KRA compliance</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sync_status</w:t>
            </w:r>
          </w:p>
        </w:tc>
        <w:tc>
          <w:tcPr>
            <w:tcW w:type="pct" w:w="20%"/>
            <w:shd w:fill="F8F0EB" w:val="clear"/>
            <w:tcMar>
              <w:top w:type="dxa" w:w="60"/>
              <w:left w:type="dxa" w:w="120"/>
              <w:bottom w:type="dxa" w:w="60"/>
              <w:right w:type="dxa" w:w="120"/>
            </w:tcMar>
          </w:tcPr>
          <w:p>
            <w:r>
              <w:rPr>
                <w:rFonts w:ascii="Times New Roman" w:eastAsia="Microsoft YaHei"/>
                <w:color w:val="2C3E50"/>
                <w:sz w:val="21"/>
                <w:szCs w:val="21"/>
              </w:rPr>
              <w:t xml:space="preserve">Enum</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SYNCED, PENDING, CONFLICT</w:t>
            </w:r>
          </w:p>
        </w:tc>
      </w:tr>
    </w:tbl>
    <w:p>
      <w:pPr>
        <w:spacing w:after="200" w:before="80"/>
        <w:jc w:val="center"/>
      </w:pPr>
      <w:r>
        <w:rPr>
          <w:rFonts w:ascii="Times New Roman" w:eastAsia="Microsoft YaHei"/>
          <w:i/>
          <w:iCs/>
          <w:color w:val="607080"/>
          <w:sz w:val="20"/>
          <w:szCs w:val="20"/>
        </w:rPr>
        <w:t xml:space="preserve">Table 4: Sale Transaction Data Model</w:t>
      </w:r>
    </w:p>
    <w:p>
      <w:pPr>
        <w:pStyle w:val="Heading3"/>
        <w:spacing w:after="120" w:before="240"/>
      </w:pPr>
      <w:bookmarkStart w:id="100022" w:name="_Toc100022"/>
      <w:r>
        <w:rPr>
          <w:rFonts w:ascii="Times New Roman" w:eastAsia="SimHei"/>
          <w:b/>
          <w:bCs/>
          <w:color w:val="1A2330"/>
          <w:sz w:val="24"/>
          <w:szCs w:val="24"/>
        </w:rPr>
        <w:t xml:space="preserve">Line Item Model</w:t>
      </w:r>
      <w:bookmarkEnd w:id="100022"/>
    </w:p>
    <w:p>
      <w:pPr>
        <w:spacing w:after="120" w:line="312"/>
        <w:jc w:val="both"/>
      </w:pPr>
      <w:r>
        <w:rPr>
          <w:rFonts w:ascii="Times New Roman" w:eastAsia="Microsoft YaHei"/>
          <w:color w:val="2C3E50"/>
          <w:sz w:val="24"/>
          <w:szCs w:val="24"/>
        </w:rPr>
        <w:t xml:space="preserve">Each sale contains one or more line items representing the products or services sold. Line items capture the product, quantity, unit of measure, unit price, applicable tax rate, any line-level discount, and the calculated line total. For loose items, the quantity field accepts decimal values (e.g., 2.5 kg of nails, 3.7 meters of chain), and the system automatically converts and de-stocks in the product's base unit. This design ensures that pricing and inventory remain consistent regardless of how the item is sold at the counter.</w:t>
      </w:r>
    </w:p>
    <w:p>
      <w:pPr>
        <w:pStyle w:val="Heading2"/>
        <w:spacing w:after="160" w:before="360"/>
      </w:pPr>
      <w:bookmarkStart w:id="100023" w:name="_Toc100023"/>
      <w:r>
        <w:rPr>
          <w:rFonts w:ascii="Times New Roman" w:eastAsia="SimHei"/>
          <w:b/>
          <w:bCs/>
          <w:color w:val="1A2330"/>
          <w:sz w:val="28"/>
          <w:szCs w:val="28"/>
        </w:rPr>
        <w:t xml:space="preserve">Payment Processing</w:t>
      </w:r>
      <w:bookmarkEnd w:id="100023"/>
    </w:p>
    <w:p>
      <w:pPr>
        <w:pStyle w:val="Heading3"/>
        <w:spacing w:after="120" w:before="240"/>
      </w:pPr>
      <w:bookmarkStart w:id="100024" w:name="_Toc100024"/>
      <w:r>
        <w:rPr>
          <w:rFonts w:ascii="Times New Roman" w:eastAsia="SimHei"/>
          <w:b/>
          <w:bCs/>
          <w:color w:val="1A2330"/>
          <w:sz w:val="24"/>
          <w:szCs w:val="24"/>
        </w:rPr>
        <w:t xml:space="preserve">M-Pesa Integration</w:t>
      </w:r>
      <w:bookmarkEnd w:id="100024"/>
    </w:p>
    <w:p>
      <w:pPr>
        <w:spacing w:after="120" w:line="312"/>
        <w:jc w:val="both"/>
      </w:pPr>
      <w:r>
        <w:rPr>
          <w:rFonts w:ascii="Times New Roman" w:eastAsia="Microsoft YaHei"/>
          <w:color w:val="2C3E50"/>
          <w:sz w:val="24"/>
          <w:szCs w:val="24"/>
        </w:rPr>
        <w:t xml:space="preserve">M-Pesa is the dominant mobile payment platform in Kenya and a critical component of the POS payment workflow. The system integrates with the Safaricom Daraja API to support both STK Push (customer-initiated) and C2B (paybill) payment flows. In the STK Push flow, the cashier enters the customer's phone number at the POS, and the system triggers an STK Push request that prompts the customer to enter their M-Pesa PIN on their phone. Once the payment is confirmed, the Daraja API sends a callback to the system, and the transaction is automatically completed. The C2B flow is supported for customers who prefer to initiate payment themselves using the store's paybill number, with automatic matching of incoming payments to open transactions.</w:t>
      </w:r>
    </w:p>
    <w:p>
      <w:pPr>
        <w:pStyle w:val="Heading3"/>
        <w:spacing w:after="120" w:before="240"/>
      </w:pPr>
      <w:bookmarkStart w:id="100025" w:name="_Toc100025"/>
      <w:r>
        <w:rPr>
          <w:rFonts w:ascii="Times New Roman" w:eastAsia="SimHei"/>
          <w:b/>
          <w:bCs/>
          <w:color w:val="1A2330"/>
          <w:sz w:val="24"/>
          <w:szCs w:val="24"/>
        </w:rPr>
        <w:t xml:space="preserve">Split Payments</w:t>
      </w:r>
      <w:bookmarkEnd w:id="100025"/>
    </w:p>
    <w:p>
      <w:pPr>
        <w:spacing w:after="120" w:line="312"/>
        <w:jc w:val="both"/>
      </w:pPr>
      <w:r>
        <w:rPr>
          <w:rFonts w:ascii="Times New Roman" w:eastAsia="Microsoft YaHei"/>
          <w:color w:val="2C3E50"/>
          <w:sz w:val="24"/>
          <w:szCs w:val="24"/>
        </w:rPr>
        <w:t xml:space="preserve">The system supports split payments where a single transaction can be settled using multiple payment methods. For example, a customer may pay part of a large invoice in cash and the remainder via M-Pesa. Each payment component is recorded separately with its own reference number and reconciled against the total transaction amount. The system enforces that the sum of all payment components equals the total amount due, preventing under-payment or over-payment scenarios from being completed.</w:t>
      </w:r>
    </w:p>
    <w:p>
      <w:pPr>
        <w:pStyle w:val="Heading3"/>
        <w:spacing w:after="120" w:before="240"/>
      </w:pPr>
      <w:bookmarkStart w:id="100026" w:name="_Toc100026"/>
      <w:r>
        <w:rPr>
          <w:rFonts w:ascii="Times New Roman" w:eastAsia="SimHei"/>
          <w:b/>
          <w:bCs/>
          <w:color w:val="1A2330"/>
          <w:sz w:val="24"/>
          <w:szCs w:val="24"/>
        </w:rPr>
        <w:t xml:space="preserve">On-Account Credit Sales</w:t>
      </w:r>
      <w:bookmarkEnd w:id="100026"/>
    </w:p>
    <w:p>
      <w:pPr>
        <w:spacing w:after="120" w:line="312"/>
        <w:jc w:val="both"/>
      </w:pPr>
      <w:r>
        <w:rPr>
          <w:rFonts w:ascii="Times New Roman" w:eastAsia="Microsoft YaHei"/>
          <w:color w:val="2C3E50"/>
          <w:sz w:val="24"/>
          <w:szCs w:val="24"/>
        </w:rPr>
        <w:t xml:space="preserve">Established customers with approved credit limits can purchase on account, with the sale amount recorded as a receivable rather than requiring immediate payment. Credit sales require a linked customer record with an active credit account. The system enforces credit limits in real-time, blocking transactions that would exceed the customer's available credit. Credit sales generate invoices that appear in the Accounts Receivable module for subsequent collection and reconciliation.</w:t>
      </w:r>
    </w:p>
    <w:p>
      <w:pPr>
        <w:pStyle w:val="Heading2"/>
        <w:spacing w:after="160" w:before="360"/>
      </w:pPr>
      <w:bookmarkStart w:id="100027" w:name="_Toc100027"/>
      <w:r>
        <w:rPr>
          <w:rFonts w:ascii="Times New Roman" w:eastAsia="SimHei"/>
          <w:b/>
          <w:bCs/>
          <w:color w:val="1A2330"/>
          <w:sz w:val="28"/>
          <w:szCs w:val="28"/>
        </w:rPr>
        <w:t xml:space="preserve">Receipt and Invoice Generation</w:t>
      </w:r>
      <w:bookmarkEnd w:id="100027"/>
    </w:p>
    <w:p>
      <w:pPr>
        <w:spacing w:after="120" w:line="312"/>
        <w:jc w:val="both"/>
      </w:pPr>
      <w:r>
        <w:rPr>
          <w:rFonts w:ascii="Times New Roman" w:eastAsia="Microsoft YaHei"/>
          <w:color w:val="2C3E50"/>
          <w:sz w:val="24"/>
          <w:szCs w:val="24"/>
        </w:rPr>
        <w:t xml:space="preserve">Upon transaction completion, the system generates a formatted receipt that includes all mandatory KRA eTIMS fields: seller PIN, buyer PIN (if applicable), itemized product list with quantities and prices, VAT breakdown by rate, total amount, and the eTIMS invoice reference number. Receipts can be printed on standard thermal receipt printers (58mm or 80mm width) and/or sent electronically via email or SMS. For credit sales and quotations converted to invoices, the system generates A4-format tax invoices suitable for business-to-business transactions.</w:t>
      </w:r>
    </w:p>
    <w:p>
      <w:pPr>
        <w:pStyle w:val="Heading2"/>
        <w:spacing w:after="160" w:before="360"/>
      </w:pPr>
      <w:bookmarkStart w:id="100028" w:name="_Toc100028"/>
      <w:r>
        <w:rPr>
          <w:rFonts w:ascii="Times New Roman" w:eastAsia="SimHei"/>
          <w:b/>
          <w:bCs/>
          <w:color w:val="1A2330"/>
          <w:sz w:val="28"/>
          <w:szCs w:val="28"/>
        </w:rPr>
        <w:t xml:space="preserve">Returns, Refunds, and Voiding</w:t>
      </w:r>
      <w:bookmarkEnd w:id="100028"/>
    </w:p>
    <w:p>
      <w:pPr>
        <w:spacing w:after="120" w:line="312"/>
        <w:jc w:val="both"/>
      </w:pPr>
      <w:r>
        <w:rPr>
          <w:rFonts w:ascii="Times New Roman" w:eastAsia="Microsoft YaHei"/>
          <w:color w:val="2C3E50"/>
          <w:sz w:val="24"/>
          <w:szCs w:val="24"/>
        </w:rPr>
        <w:t xml:space="preserve">The system supports full and partial returns with flexible refund handling. A return transaction references the original sale and can refund to the original payment method, issue a credit note for future purchases, or exchange for replacement items. Returns are subject to configurable policies including time limits (e.g., returns within 30 days), required reason codes, and manager approval for returns above a threshold. Voided transactions are retained in the database with a voided status for audit trail purposes; they are never physically deleted. All voids require a reason code and manager authorization.</w:t>
      </w:r>
    </w:p>
    <w:p>
      <w:pPr>
        <w:pStyle w:val="Heading2"/>
        <w:spacing w:after="160" w:before="360"/>
      </w:pPr>
      <w:bookmarkStart w:id="100029" w:name="_Toc100029"/>
      <w:r>
        <w:rPr>
          <w:rFonts w:ascii="Times New Roman" w:eastAsia="SimHei"/>
          <w:b/>
          <w:bCs/>
          <w:color w:val="1A2330"/>
          <w:sz w:val="28"/>
          <w:szCs w:val="28"/>
        </w:rPr>
        <w:t xml:space="preserve">Business Rules</w:t>
      </w:r>
      <w:bookmarkEnd w:id="100029"/>
    </w:p>
    <w:p>
      <w:pPr>
        <w:pStyle w:val="ListParagraph"/>
        <w:numPr>
          <w:ilvl w:val="0"/>
          <w:numId w:val="1"/>
        </w:numPr>
        <w:spacing w:after="80" w:line="312"/>
      </w:pPr>
      <w:r>
        <w:rPr>
          <w:rFonts w:ascii="Times New Roman" w:eastAsia="Microsoft YaHei"/>
          <w:color w:val="2C3E50"/>
          <w:sz w:val="24"/>
          <w:szCs w:val="24"/>
        </w:rPr>
        <w:t xml:space="preserve">Transaction numbers are sequential per store and never reused, even for voided transactions.</w:t>
      </w:r>
    </w:p>
    <w:p>
      <w:pPr>
        <w:pStyle w:val="ListParagraph"/>
        <w:numPr>
          <w:ilvl w:val="0"/>
          <w:numId w:val="1"/>
        </w:numPr>
        <w:spacing w:after="80" w:line="312"/>
      </w:pPr>
      <w:r>
        <w:rPr>
          <w:rFonts w:ascii="Times New Roman" w:eastAsia="Microsoft YaHei"/>
          <w:color w:val="2C3E50"/>
          <w:sz w:val="24"/>
          <w:szCs w:val="24"/>
        </w:rPr>
        <w:t xml:space="preserve">All completed transactions must have at least one payment record totaling the sale amount.</w:t>
      </w:r>
    </w:p>
    <w:p>
      <w:pPr>
        <w:pStyle w:val="ListParagraph"/>
        <w:numPr>
          <w:ilvl w:val="0"/>
          <w:numId w:val="1"/>
        </w:numPr>
        <w:spacing w:after="80" w:line="312"/>
      </w:pPr>
      <w:r>
        <w:rPr>
          <w:rFonts w:ascii="Times New Roman" w:eastAsia="Microsoft YaHei"/>
          <w:color w:val="2C3E50"/>
          <w:sz w:val="24"/>
          <w:szCs w:val="24"/>
        </w:rPr>
        <w:t xml:space="preserve">M-Pesa transactions are not marked as complete until the Daraja callback confirms payment success.</w:t>
      </w:r>
    </w:p>
    <w:p>
      <w:pPr>
        <w:pStyle w:val="ListParagraph"/>
        <w:numPr>
          <w:ilvl w:val="0"/>
          <w:numId w:val="1"/>
        </w:numPr>
        <w:spacing w:after="80" w:line="312"/>
      </w:pPr>
      <w:r>
        <w:rPr>
          <w:rFonts w:ascii="Times New Roman" w:eastAsia="Microsoft YaHei"/>
          <w:color w:val="2C3E50"/>
          <w:sz w:val="24"/>
          <w:szCs w:val="24"/>
        </w:rPr>
        <w:t xml:space="preserve">Credit sales are blocked if the customer's outstanding balance plus the new sale amount exceeds their credit limit.</w:t>
      </w:r>
    </w:p>
    <w:p>
      <w:pPr>
        <w:pStyle w:val="ListParagraph"/>
        <w:numPr>
          <w:ilvl w:val="0"/>
          <w:numId w:val="1"/>
        </w:numPr>
        <w:spacing w:after="80" w:line="312"/>
      </w:pPr>
      <w:r>
        <w:rPr>
          <w:rFonts w:ascii="Times New Roman" w:eastAsia="Microsoft YaHei"/>
          <w:color w:val="2C3E50"/>
          <w:sz w:val="24"/>
          <w:szCs w:val="24"/>
        </w:rPr>
        <w:t xml:space="preserve">Returns within the same day as the original sale may be processed as voids rather than separate return transactions.</w:t>
      </w:r>
    </w:p>
    <w:p>
      <w:pPr>
        <w:pStyle w:val="ListParagraph"/>
        <w:numPr>
          <w:ilvl w:val="0"/>
          <w:numId w:val="1"/>
        </w:numPr>
        <w:spacing w:after="80" w:line="312"/>
      </w:pPr>
      <w:r>
        <w:rPr>
          <w:rFonts w:ascii="Times New Roman" w:eastAsia="Microsoft YaHei"/>
          <w:color w:val="2C3E50"/>
          <w:sz w:val="24"/>
          <w:szCs w:val="24"/>
        </w:rPr>
        <w:t xml:space="preserve">The system enforces that the total of all line items plus tax minus discounts equals the payment total before allowing transaction completion.</w:t>
      </w:r>
    </w:p>
    <w:p>
      <w:pPr>
        <w:pStyle w:val="ListParagraph"/>
        <w:numPr>
          <w:ilvl w:val="0"/>
          <w:numId w:val="1"/>
        </w:numPr>
        <w:spacing w:after="80" w:line="312"/>
      </w:pPr>
      <w:r>
        <w:rPr>
          <w:rFonts w:ascii="Times New Roman" w:eastAsia="Microsoft YaHei"/>
          <w:color w:val="2C3E50"/>
          <w:sz w:val="24"/>
          <w:szCs w:val="24"/>
        </w:rPr>
        <w:t xml:space="preserve">All price overrides at POS require manager authorization and are logged in the audit trail.</w:t>
      </w:r>
    </w:p>
    <w:p>
      <w:pPr>
        <w:pStyle w:val="Heading1"/>
        <w:spacing w:after="200" w:before="480"/>
      </w:pPr>
      <w:bookmarkStart w:id="100030" w:name="_Toc100030"/>
      <w:r>
        <w:rPr>
          <w:rFonts w:ascii="Times New Roman" w:eastAsia="SimHei"/>
          <w:b/>
          <w:bCs/>
          <w:color w:val="1A2330"/>
          <w:sz w:val="32"/>
          <w:szCs w:val="32"/>
        </w:rPr>
        <w:t xml:space="preserve">Module 3: Purchase Management</w:t>
      </w:r>
      <w:bookmarkEnd w:id="100030"/>
    </w:p>
    <w:p>
      <w:pPr>
        <w:pStyle w:val="Heading2"/>
        <w:spacing w:after="160" w:before="360"/>
      </w:pPr>
      <w:bookmarkStart w:id="100031" w:name="_Toc100031"/>
      <w:r>
        <w:rPr>
          <w:rFonts w:ascii="Times New Roman" w:eastAsia="SimHei"/>
          <w:b/>
          <w:bCs/>
          <w:color w:val="1A2330"/>
          <w:sz w:val="28"/>
          <w:szCs w:val="28"/>
        </w:rPr>
        <w:t xml:space="preserve">Overview</w:t>
      </w:r>
      <w:bookmarkEnd w:id="100031"/>
    </w:p>
    <w:p>
      <w:pPr>
        <w:spacing w:after="120" w:line="312"/>
        <w:jc w:val="both"/>
      </w:pPr>
      <w:r>
        <w:rPr>
          <w:rFonts w:ascii="Times New Roman" w:eastAsia="Microsoft YaHei"/>
          <w:color w:val="2C3E50"/>
          <w:sz w:val="24"/>
          <w:szCs w:val="24"/>
        </w:rPr>
        <w:t xml:space="preserve">The Purchase Management module handles the complete procurement lifecycle from purchase requisition through purchase order creation, supplier order placement, goods receipt, and invoice matching. It provides the operational backbone for maintaining adequate stock levels and managing supplier relationships efficiently. The module integrates tightly with the Product and Inventory module for stock updates, the Supplier module for vendor information and performance tracking, the Tax module for VAT and withholding tax calculations, and the Accounts module for payable management.</w:t>
      </w:r>
    </w:p>
    <w:p>
      <w:pPr>
        <w:pStyle w:val="Heading2"/>
        <w:spacing w:after="160" w:before="360"/>
      </w:pPr>
      <w:bookmarkStart w:id="100032" w:name="_Toc100032"/>
      <w:r>
        <w:rPr>
          <w:rFonts w:ascii="Times New Roman" w:eastAsia="SimHei"/>
          <w:b/>
          <w:bCs/>
          <w:color w:val="1A2330"/>
          <w:sz w:val="28"/>
          <w:szCs w:val="28"/>
        </w:rPr>
        <w:t xml:space="preserve">Purchase Order Workflow</w:t>
      </w:r>
      <w:bookmarkEnd w:id="100032"/>
    </w:p>
    <w:p>
      <w:pPr>
        <w:pStyle w:val="Heading3"/>
        <w:spacing w:after="120" w:before="240"/>
      </w:pPr>
      <w:bookmarkStart w:id="100033" w:name="_Toc100033"/>
      <w:r>
        <w:rPr>
          <w:rFonts w:ascii="Times New Roman" w:eastAsia="SimHei"/>
          <w:b/>
          <w:bCs/>
          <w:color w:val="1A2330"/>
          <w:sz w:val="24"/>
          <w:szCs w:val="24"/>
        </w:rPr>
        <w:t xml:space="preserve">Purchase Requisition</w:t>
      </w:r>
      <w:bookmarkEnd w:id="100033"/>
    </w:p>
    <w:p>
      <w:pPr>
        <w:spacing w:after="120" w:line="312"/>
        <w:jc w:val="both"/>
      </w:pPr>
      <w:r>
        <w:rPr>
          <w:rFonts w:ascii="Times New Roman" w:eastAsia="Microsoft YaHei"/>
          <w:color w:val="2C3E50"/>
          <w:sz w:val="24"/>
          <w:szCs w:val="24"/>
        </w:rPr>
        <w:t xml:space="preserve">The procurement process begins with a purchase requisition, which can be generated automatically by the system based on reorder point alerts or created manually by store managers or warehouse staff. Automatic requisitions include suggested quantities calculated from historical consumption rates, supplier lead times, and desired safety stock levels. Manual requisitions allow staff to specify products, quantities, preferred suppliers, and required delivery dates. All requisitions are routed for approval based on configurable authorization rules tied to the total requisition value.</w:t>
      </w:r>
    </w:p>
    <w:p>
      <w:pPr>
        <w:pStyle w:val="Heading3"/>
        <w:spacing w:after="120" w:before="240"/>
      </w:pPr>
      <w:bookmarkStart w:id="100034" w:name="_Toc100034"/>
      <w:r>
        <w:rPr>
          <w:rFonts w:ascii="Times New Roman" w:eastAsia="SimHei"/>
          <w:b/>
          <w:bCs/>
          <w:color w:val="1A2330"/>
          <w:sz w:val="24"/>
          <w:szCs w:val="24"/>
        </w:rPr>
        <w:t xml:space="preserve">Purchase Order Creation</w:t>
      </w:r>
      <w:bookmarkEnd w:id="100034"/>
    </w:p>
    <w:p>
      <w:pPr>
        <w:spacing w:after="120" w:line="312"/>
        <w:jc w:val="both"/>
      </w:pPr>
      <w:r>
        <w:rPr>
          <w:rFonts w:ascii="Times New Roman" w:eastAsia="Microsoft YaHei"/>
          <w:color w:val="2C3E50"/>
          <w:sz w:val="24"/>
          <w:szCs w:val="24"/>
        </w:rPr>
        <w:t xml:space="preserve">Approved requisitions are converted into purchase orders addressed to specific suppliers. Each purchase order includes the supplier details, delivery address (store or warehouse), line items with product specifications, ordered quantities, agreed unit prices, expected delivery dates, and applicable tax terms. The system supports both single-supplier and multi-item purchase orders, and can consolidate multiple requisitions into a single purchase order for the same supplier to optimize delivery logistics and negotiate better terms.</w:t>
      </w:r>
    </w:p>
    <w:p>
      <w:pPr>
        <w:pStyle w:val="Heading3"/>
        <w:spacing w:after="120" w:before="240"/>
      </w:pPr>
      <w:bookmarkStart w:id="100035" w:name="_Toc100035"/>
      <w:r>
        <w:rPr>
          <w:rFonts w:ascii="Times New Roman" w:eastAsia="SimHei"/>
          <w:b/>
          <w:bCs/>
          <w:color w:val="1A2330"/>
          <w:sz w:val="24"/>
          <w:szCs w:val="24"/>
        </w:rPr>
        <w:t xml:space="preserve">Goods Receipt and Quality Check</w:t>
      </w:r>
      <w:bookmarkEnd w:id="100035"/>
    </w:p>
    <w:p>
      <w:pPr>
        <w:spacing w:after="120" w:line="312"/>
        <w:jc w:val="both"/>
      </w:pPr>
      <w:r>
        <w:rPr>
          <w:rFonts w:ascii="Times New Roman" w:eastAsia="Microsoft YaHei"/>
          <w:color w:val="2C3E50"/>
          <w:sz w:val="24"/>
          <w:szCs w:val="24"/>
        </w:rPr>
        <w:t xml:space="preserve">Upon delivery, warehouse staff process the goods receipt by recording the actual quantities received against the purchase order quantities. The system supports partial deliveries, where a supplier delivers part of the ordered quantity across multiple shipments. Each goods receipt triggers an automatic stock update in the inventory module, with items moving from on-order status to available stock. The quality check feature allows staff to flag damaged or non-conforming items, which are quarantined in the inventory system and excluded from available stock until resolved through return-to-supplier or write-off processes.</w:t>
      </w:r>
    </w:p>
    <w:p>
      <w:pPr>
        <w:pStyle w:val="Heading3"/>
        <w:spacing w:after="120" w:before="240"/>
      </w:pPr>
      <w:bookmarkStart w:id="100036" w:name="_Toc100036"/>
      <w:r>
        <w:rPr>
          <w:rFonts w:ascii="Times New Roman" w:eastAsia="SimHei"/>
          <w:b/>
          <w:bCs/>
          <w:color w:val="1A2330"/>
          <w:sz w:val="24"/>
          <w:szCs w:val="24"/>
        </w:rPr>
        <w:t xml:space="preserve">Invoice Matching (Three-Way Match)</w:t>
      </w:r>
      <w:bookmarkEnd w:id="100036"/>
    </w:p>
    <w:p>
      <w:pPr>
        <w:spacing w:after="120" w:line="312"/>
        <w:jc w:val="both"/>
      </w:pPr>
      <w:r>
        <w:rPr>
          <w:rFonts w:ascii="Times New Roman" w:eastAsia="Microsoft YaHei"/>
          <w:color w:val="2C3E50"/>
          <w:sz w:val="24"/>
          <w:szCs w:val="24"/>
        </w:rPr>
        <w:t xml:space="preserve">The system performs a three-way match between the purchase order, goods receipt, and supplier invoice before authorizing payment. This process verifies that the products, quantities, and prices on the supplier invoice align with what was ordered and what was actually received. Discrepancies trigger exception workflows: quantity differences result in partial payment for received quantities with the balance held pending resolution; price differences require manager review and either acceptance of the variance or dispute initiation with the supplier.</w:t>
      </w:r>
    </w:p>
    <w:p>
      <w:pPr>
        <w:pStyle w:val="Heading2"/>
        <w:spacing w:after="160" w:before="360"/>
      </w:pPr>
      <w:bookmarkStart w:id="100037" w:name="_Toc100037"/>
      <w:r>
        <w:rPr>
          <w:rFonts w:ascii="Times New Roman" w:eastAsia="SimHei"/>
          <w:b/>
          <w:bCs/>
          <w:color w:val="1A2330"/>
          <w:sz w:val="28"/>
          <w:szCs w:val="28"/>
        </w:rPr>
        <w:t xml:space="preserve">Business Rules</w:t>
      </w:r>
      <w:bookmarkEnd w:id="100037"/>
    </w:p>
    <w:p>
      <w:pPr>
        <w:pStyle w:val="ListParagraph"/>
        <w:numPr>
          <w:ilvl w:val="0"/>
          <w:numId w:val="1"/>
        </w:numPr>
        <w:spacing w:after="80" w:line="312"/>
      </w:pPr>
      <w:r>
        <w:rPr>
          <w:rFonts w:ascii="Times New Roman" w:eastAsia="Microsoft YaHei"/>
          <w:color w:val="2C3E50"/>
          <w:sz w:val="24"/>
          <w:szCs w:val="24"/>
        </w:rPr>
        <w:t xml:space="preserve">Purchase orders cannot be created for inactive suppliers or discontinued products.</w:t>
      </w:r>
    </w:p>
    <w:p>
      <w:pPr>
        <w:pStyle w:val="ListParagraph"/>
        <w:numPr>
          <w:ilvl w:val="0"/>
          <w:numId w:val="1"/>
        </w:numPr>
        <w:spacing w:after="80" w:line="312"/>
      </w:pPr>
      <w:r>
        <w:rPr>
          <w:rFonts w:ascii="Times New Roman" w:eastAsia="Microsoft YaHei"/>
          <w:color w:val="2C3E50"/>
          <w:sz w:val="24"/>
          <w:szCs w:val="24"/>
        </w:rPr>
        <w:t xml:space="preserve">The total value of a purchase order cannot exceed the authorized budget for the requesting store without director-level approval.</w:t>
      </w:r>
    </w:p>
    <w:p>
      <w:pPr>
        <w:pStyle w:val="ListParagraph"/>
        <w:numPr>
          <w:ilvl w:val="0"/>
          <w:numId w:val="1"/>
        </w:numPr>
        <w:spacing w:after="80" w:line="312"/>
      </w:pPr>
      <w:r>
        <w:rPr>
          <w:rFonts w:ascii="Times New Roman" w:eastAsia="Microsoft YaHei"/>
          <w:color w:val="2C3E50"/>
          <w:sz w:val="24"/>
          <w:szCs w:val="24"/>
        </w:rPr>
        <w:t xml:space="preserve">Goods receipt quantities that exceed purchase order quantities by more than a configurable tolerance percentage (default 5%) require manager override.</w:t>
      </w:r>
    </w:p>
    <w:p>
      <w:pPr>
        <w:pStyle w:val="ListParagraph"/>
        <w:numPr>
          <w:ilvl w:val="0"/>
          <w:numId w:val="1"/>
        </w:numPr>
        <w:spacing w:after="80" w:line="312"/>
      </w:pPr>
      <w:r>
        <w:rPr>
          <w:rFonts w:ascii="Times New Roman" w:eastAsia="Microsoft YaHei"/>
          <w:color w:val="2C3E50"/>
          <w:sz w:val="24"/>
          <w:szCs w:val="24"/>
        </w:rPr>
        <w:t xml:space="preserve">Supplier invoices that do not match any open purchase order or goods receipt are parked as unmatched invoices for manual resolution.</w:t>
      </w:r>
    </w:p>
    <w:p>
      <w:pPr>
        <w:pStyle w:val="ListParagraph"/>
        <w:numPr>
          <w:ilvl w:val="0"/>
          <w:numId w:val="1"/>
        </w:numPr>
        <w:spacing w:after="80" w:line="312"/>
      </w:pPr>
      <w:r>
        <w:rPr>
          <w:rFonts w:ascii="Times New Roman" w:eastAsia="Microsoft YaHei"/>
          <w:color w:val="2C3E50"/>
          <w:sz w:val="24"/>
          <w:szCs w:val="24"/>
        </w:rPr>
        <w:t xml:space="preserve">Withholding tax on qualifying purchases is calculated and recorded automatically based on supplier tax status and product category.</w:t>
      </w:r>
    </w:p>
    <w:p>
      <w:pPr>
        <w:pStyle w:val="Heading1"/>
        <w:spacing w:after="200" w:before="480"/>
      </w:pPr>
      <w:bookmarkStart w:id="100038" w:name="_Toc100038"/>
      <w:r>
        <w:rPr>
          <w:rFonts w:ascii="Times New Roman" w:eastAsia="SimHei"/>
          <w:b/>
          <w:bCs/>
          <w:color w:val="1A2330"/>
          <w:sz w:val="32"/>
          <w:szCs w:val="32"/>
        </w:rPr>
        <w:t xml:space="preserve">Module 4: Supplier Management</w:t>
      </w:r>
      <w:bookmarkEnd w:id="100038"/>
    </w:p>
    <w:p>
      <w:pPr>
        <w:pStyle w:val="Heading2"/>
        <w:spacing w:after="160" w:before="360"/>
      </w:pPr>
      <w:bookmarkStart w:id="100039" w:name="_Toc100039"/>
      <w:r>
        <w:rPr>
          <w:rFonts w:ascii="Times New Roman" w:eastAsia="SimHei"/>
          <w:b/>
          <w:bCs/>
          <w:color w:val="1A2330"/>
          <w:sz w:val="28"/>
          <w:szCs w:val="28"/>
        </w:rPr>
        <w:t xml:space="preserve">Overview</w:t>
      </w:r>
      <w:bookmarkEnd w:id="100039"/>
    </w:p>
    <w:p>
      <w:pPr>
        <w:spacing w:after="120" w:line="312"/>
        <w:jc w:val="both"/>
      </w:pPr>
      <w:r>
        <w:rPr>
          <w:rFonts w:ascii="Times New Roman" w:eastAsia="Microsoft YaHei"/>
          <w:color w:val="2C3E50"/>
          <w:sz w:val="24"/>
          <w:szCs w:val="24"/>
        </w:rPr>
        <w:t xml:space="preserve">The Supplier Management module maintains comprehensive records of all vendors supplying goods and services to the business. Beyond basic contact information, the module tracks supplier performance metrics, contract terms, payment preferences, tax compliance status, and the full history of transactions with each supplier. This information feeds into procurement decisions, payment processing, and regulatory compliance reporting. The module is designed to help purchasing teams make informed decisions about which suppliers to prioritize, negotiate better terms, and identify underperforming vendors.</w:t>
      </w:r>
    </w:p>
    <w:p>
      <w:pPr>
        <w:pStyle w:val="Heading2"/>
        <w:spacing w:after="160" w:before="360"/>
      </w:pPr>
      <w:bookmarkStart w:id="100040" w:name="_Toc100040"/>
      <w:r>
        <w:rPr>
          <w:rFonts w:ascii="Times New Roman" w:eastAsia="SimHei"/>
          <w:b/>
          <w:bCs/>
          <w:color w:val="1A2330"/>
          <w:sz w:val="28"/>
          <w:szCs w:val="28"/>
        </w:rPr>
        <w:t xml:space="preserve">Supplier Data Model</w:t>
      </w:r>
      <w:bookmarkEnd w:id="10004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2%"/>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18%"/>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tcW w:type="pct" w:w="60%"/>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supplier_id</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UUID</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Unique supplier identifier</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supplier_code</w:t>
            </w:r>
          </w:p>
        </w:tc>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String (unique)</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Short code for quick lookup at purchase order entry</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name</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String</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Legal business name of the supplier</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pin_number</w:t>
            </w:r>
          </w:p>
        </w:tc>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String</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KRA Personal Identification Number for tax compliance</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registration_number</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String</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Company registration number from Kenya Registrar of Companies</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contact_person</w:t>
            </w:r>
          </w:p>
        </w:tc>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String</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Primary contact name for orders and queries</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phone / email / address</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String</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Communication and physical location details</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payment_terms</w:t>
            </w:r>
          </w:p>
        </w:tc>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Enum</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COD, NET_30, NET_60, NET_90, or custom terms</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currency</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String</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Default currency for pricing (KES, USD, etc.)</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tax_status</w:t>
            </w:r>
          </w:p>
        </w:tc>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Enum</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VAT_REGISTERED, NON_VAT, WITHHOLDING_REQUIRED</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bank_account_details</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Encrypted</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Supplier bank account for EFT payments</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is_active</w:t>
            </w:r>
          </w:p>
        </w:tc>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Boolean</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Soft-delete flag; inactive suppliers cannot receive new purchase orders</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performance_rating</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Decimal(3,1)</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Calculated score (1.0-5.0) based on delivery and quality metrics</w:t>
            </w:r>
          </w:p>
        </w:tc>
      </w:tr>
    </w:tbl>
    <w:p>
      <w:pPr>
        <w:spacing w:after="200" w:before="80"/>
        <w:jc w:val="center"/>
      </w:pPr>
      <w:r>
        <w:rPr>
          <w:rFonts w:ascii="Times New Roman" w:eastAsia="Microsoft YaHei"/>
          <w:i/>
          <w:iCs/>
          <w:color w:val="607080"/>
          <w:sz w:val="20"/>
          <w:szCs w:val="20"/>
        </w:rPr>
        <w:t xml:space="preserve">Table 5: Supplier Data Model Fields</w:t>
      </w:r>
    </w:p>
    <w:p>
      <w:pPr>
        <w:pStyle w:val="Heading2"/>
        <w:spacing w:after="160" w:before="360"/>
      </w:pPr>
      <w:bookmarkStart w:id="100041" w:name="_Toc100041"/>
      <w:r>
        <w:rPr>
          <w:rFonts w:ascii="Times New Roman" w:eastAsia="SimHei"/>
          <w:b/>
          <w:bCs/>
          <w:color w:val="1A2330"/>
          <w:sz w:val="28"/>
          <w:szCs w:val="28"/>
        </w:rPr>
        <w:t xml:space="preserve">Supplier Performance Tracking</w:t>
      </w:r>
      <w:bookmarkEnd w:id="100041"/>
    </w:p>
    <w:p>
      <w:pPr>
        <w:spacing w:after="120" w:line="312"/>
        <w:jc w:val="both"/>
      </w:pPr>
      <w:r>
        <w:rPr>
          <w:rFonts w:ascii="Times New Roman" w:eastAsia="Microsoft YaHei"/>
          <w:color w:val="2C3E50"/>
          <w:sz w:val="24"/>
          <w:szCs w:val="24"/>
        </w:rPr>
        <w:t xml:space="preserve">The system automatically calculates and maintains supplier performance scores based on multiple dimensions: on-time delivery rate (percentage of orders delivered by the promised date), order completeness rate (percentage of ordered quantity actually delivered), quality rejection rate (percentage of received goods flagged as damaged or non-conforming), and price competitiveness (comparison of the supplier's prices against market averages for the same products). These metrics are aggregated into a composite performance score displayed on the supplier profile and used in purchase order routing decisions. Suppliers with consistently low scores are flagged for review, and the system can suggest alternative suppliers for products where better options are available.</w:t>
      </w:r>
    </w:p>
    <w:p>
      <w:pPr>
        <w:pStyle w:val="Heading2"/>
        <w:spacing w:after="160" w:before="360"/>
      </w:pPr>
      <w:bookmarkStart w:id="100042" w:name="_Toc100042"/>
      <w:r>
        <w:rPr>
          <w:rFonts w:ascii="Times New Roman" w:eastAsia="SimHei"/>
          <w:b/>
          <w:bCs/>
          <w:color w:val="1A2330"/>
          <w:sz w:val="28"/>
          <w:szCs w:val="28"/>
        </w:rPr>
        <w:t xml:space="preserve">Supplier Price Lists</w:t>
      </w:r>
      <w:bookmarkEnd w:id="100042"/>
    </w:p>
    <w:p>
      <w:pPr>
        <w:spacing w:after="120" w:line="312"/>
        <w:jc w:val="both"/>
      </w:pPr>
      <w:r>
        <w:rPr>
          <w:rFonts w:ascii="Times New Roman" w:eastAsia="Microsoft YaHei"/>
          <w:color w:val="2C3E50"/>
          <w:sz w:val="24"/>
          <w:szCs w:val="24"/>
        </w:rPr>
        <w:t xml:space="preserve">The module maintains supplier-specific price lists that track the prices offered by each supplier for products they supply. Price lists include effective dates, minimum order quantities, volume discount tiers, and any special terms negotiated with the supplier. When creating a purchase order, the system automatically references the applicable price list to populate unit prices and applies any volume discounts based on the order quantity. Price list updates are tracked with full history, enabling analysis of price trends over time and supporting negotiation with suppliers during contract renewals.</w:t>
      </w:r>
    </w:p>
    <w:p>
      <w:pPr>
        <w:pStyle w:val="Heading2"/>
        <w:spacing w:after="160" w:before="360"/>
      </w:pPr>
      <w:bookmarkStart w:id="100043" w:name="_Toc100043"/>
      <w:r>
        <w:rPr>
          <w:rFonts w:ascii="Times New Roman" w:eastAsia="SimHei"/>
          <w:b/>
          <w:bCs/>
          <w:color w:val="1A2330"/>
          <w:sz w:val="28"/>
          <w:szCs w:val="28"/>
        </w:rPr>
        <w:t xml:space="preserve">Business Rules</w:t>
      </w:r>
      <w:bookmarkEnd w:id="100043"/>
    </w:p>
    <w:p>
      <w:pPr>
        <w:pStyle w:val="ListParagraph"/>
        <w:numPr>
          <w:ilvl w:val="0"/>
          <w:numId w:val="1"/>
        </w:numPr>
        <w:spacing w:after="80" w:line="312"/>
      </w:pPr>
      <w:r>
        <w:rPr>
          <w:rFonts w:ascii="Times New Roman" w:eastAsia="Microsoft YaHei"/>
          <w:color w:val="2C3E50"/>
          <w:sz w:val="24"/>
          <w:szCs w:val="24"/>
        </w:rPr>
        <w:t xml:space="preserve">All suppliers must have a valid KRA PIN number recorded before any purchase orders can be issued.</w:t>
      </w:r>
    </w:p>
    <w:p>
      <w:pPr>
        <w:pStyle w:val="ListParagraph"/>
        <w:numPr>
          <w:ilvl w:val="0"/>
          <w:numId w:val="1"/>
        </w:numPr>
        <w:spacing w:after="80" w:line="312"/>
      </w:pPr>
      <w:r>
        <w:rPr>
          <w:rFonts w:ascii="Times New Roman" w:eastAsia="Microsoft YaHei"/>
          <w:color w:val="2C3E50"/>
          <w:sz w:val="24"/>
          <w:szCs w:val="24"/>
        </w:rPr>
        <w:t xml:space="preserve">Supplier bank account details are encrypted at rest and accessible only to users with Accountant or Super Admin roles.</w:t>
      </w:r>
    </w:p>
    <w:p>
      <w:pPr>
        <w:pStyle w:val="ListParagraph"/>
        <w:numPr>
          <w:ilvl w:val="0"/>
          <w:numId w:val="1"/>
        </w:numPr>
        <w:spacing w:after="80" w:line="312"/>
      </w:pPr>
      <w:r>
        <w:rPr>
          <w:rFonts w:ascii="Times New Roman" w:eastAsia="Microsoft YaHei"/>
          <w:color w:val="2C3E50"/>
          <w:sz w:val="24"/>
          <w:szCs w:val="24"/>
        </w:rPr>
        <w:t xml:space="preserve">Supplier deactivation requires that all outstanding purchase orders and payables are settled or transferred to another supplier.</w:t>
      </w:r>
    </w:p>
    <w:p>
      <w:pPr>
        <w:pStyle w:val="ListParagraph"/>
        <w:numPr>
          <w:ilvl w:val="0"/>
          <w:numId w:val="1"/>
        </w:numPr>
        <w:spacing w:after="80" w:line="312"/>
      </w:pPr>
      <w:r>
        <w:rPr>
          <w:rFonts w:ascii="Times New Roman" w:eastAsia="Microsoft YaHei"/>
          <w:color w:val="2C3E50"/>
          <w:sz w:val="24"/>
          <w:szCs w:val="24"/>
        </w:rPr>
        <w:t xml:space="preserve">Performance ratings are recalculated weekly based on the trailing 12-month transaction history.</w:t>
      </w:r>
    </w:p>
    <w:p>
      <w:pPr>
        <w:pStyle w:val="ListParagraph"/>
        <w:numPr>
          <w:ilvl w:val="0"/>
          <w:numId w:val="1"/>
        </w:numPr>
        <w:spacing w:after="80" w:line="312"/>
      </w:pPr>
      <w:r>
        <w:rPr>
          <w:rFonts w:ascii="Times New Roman" w:eastAsia="Microsoft YaHei"/>
          <w:color w:val="2C3E50"/>
          <w:sz w:val="24"/>
          <w:szCs w:val="24"/>
        </w:rPr>
        <w:t xml:space="preserve">Price list changes do not affect existing open purchase orders; new prices apply only to future orders.</w:t>
      </w:r>
    </w:p>
    <w:p>
      <w:pPr>
        <w:pStyle w:val="Heading1"/>
        <w:spacing w:after="200" w:before="480"/>
      </w:pPr>
      <w:bookmarkStart w:id="100044" w:name="_Toc100044"/>
      <w:r>
        <w:rPr>
          <w:rFonts w:ascii="Times New Roman" w:eastAsia="SimHei"/>
          <w:b/>
          <w:bCs/>
          <w:color w:val="1A2330"/>
          <w:sz w:val="32"/>
          <w:szCs w:val="32"/>
        </w:rPr>
        <w:t xml:space="preserve">Module 5: Customer Loyalty Program</w:t>
      </w:r>
      <w:bookmarkEnd w:id="100044"/>
    </w:p>
    <w:p>
      <w:pPr>
        <w:pStyle w:val="Heading2"/>
        <w:spacing w:after="160" w:before="360"/>
      </w:pPr>
      <w:bookmarkStart w:id="100045" w:name="_Toc100045"/>
      <w:r>
        <w:rPr>
          <w:rFonts w:ascii="Times New Roman" w:eastAsia="SimHei"/>
          <w:b/>
          <w:bCs/>
          <w:color w:val="1A2330"/>
          <w:sz w:val="28"/>
          <w:szCs w:val="28"/>
        </w:rPr>
        <w:t xml:space="preserve">Overview</w:t>
      </w:r>
      <w:bookmarkEnd w:id="100045"/>
    </w:p>
    <w:p>
      <w:pPr>
        <w:spacing w:after="120" w:line="312"/>
        <w:jc w:val="both"/>
      </w:pPr>
      <w:r>
        <w:rPr>
          <w:rFonts w:ascii="Times New Roman" w:eastAsia="Microsoft YaHei"/>
          <w:color w:val="2C3E50"/>
          <w:sz w:val="24"/>
          <w:szCs w:val="24"/>
        </w:rPr>
        <w:t xml:space="preserve">The Customer Loyalty module manages the complete lifecycle of customer relationships, from registration and profile management through points accrual, redemption, tier-based benefits, and targeted marketing communications. In the Kenyan hardware market, where repeat business from contractors, builders, and maintenance professionals constitutes a significant revenue stream, an effective loyalty program drives customer retention, increases average transaction value, and provides valuable data for business intelligence. The module is designed to be flexible, supporting configurable accrual rules, tier structures, and redemption catalogs that can be adapted to different business strategies.</w:t>
      </w:r>
    </w:p>
    <w:p>
      <w:pPr>
        <w:pStyle w:val="Heading2"/>
        <w:spacing w:after="160" w:before="360"/>
      </w:pPr>
      <w:bookmarkStart w:id="100046" w:name="_Toc100046"/>
      <w:r>
        <w:rPr>
          <w:rFonts w:ascii="Times New Roman" w:eastAsia="SimHei"/>
          <w:b/>
          <w:bCs/>
          <w:color w:val="1A2330"/>
          <w:sz w:val="28"/>
          <w:szCs w:val="28"/>
        </w:rPr>
        <w:t xml:space="preserve">Customer Data Model</w:t>
      </w:r>
      <w:bookmarkEnd w:id="100046"/>
    </w:p>
    <w:p>
      <w:pPr>
        <w:spacing w:after="120" w:line="312"/>
        <w:jc w:val="both"/>
      </w:pPr>
      <w:r>
        <w:rPr>
          <w:rFonts w:ascii="Times New Roman" w:eastAsia="Microsoft YaHei"/>
          <w:color w:val="2C3E50"/>
          <w:sz w:val="24"/>
          <w:szCs w:val="24"/>
        </w:rPr>
        <w:t xml:space="preserve">The customer record captures identifying information (name, phone, email, ID number), business details for trade customers (company name, KRA PIN, business type), credit account information (credit limit, outstanding balance, payment terms), and loyalty program data (current points balance, tier level, join date, lifetime spend). The phone number serves as the primary identifier for walk-in loyalty lookups at POS, minimizing friction at the checkout counter. Customers can be linked to multiple store locations, with a unified points balance and transaction history accessible across all branches.</w:t>
      </w:r>
    </w:p>
    <w:p>
      <w:pPr>
        <w:pStyle w:val="Heading2"/>
        <w:spacing w:after="160" w:before="360"/>
      </w:pPr>
      <w:bookmarkStart w:id="100047" w:name="_Toc100047"/>
      <w:r>
        <w:rPr>
          <w:rFonts w:ascii="Times New Roman" w:eastAsia="SimHei"/>
          <w:b/>
          <w:bCs/>
          <w:color w:val="1A2330"/>
          <w:sz w:val="28"/>
          <w:szCs w:val="28"/>
        </w:rPr>
        <w:t xml:space="preserve">Points Accrual and Redemption</w:t>
      </w:r>
      <w:bookmarkEnd w:id="100047"/>
    </w:p>
    <w:p>
      <w:pPr>
        <w:pStyle w:val="Heading3"/>
        <w:spacing w:after="120" w:before="240"/>
      </w:pPr>
      <w:bookmarkStart w:id="100048" w:name="_Toc100048"/>
      <w:r>
        <w:rPr>
          <w:rFonts w:ascii="Times New Roman" w:eastAsia="SimHei"/>
          <w:b/>
          <w:bCs/>
          <w:color w:val="1A2330"/>
          <w:sz w:val="24"/>
          <w:szCs w:val="24"/>
        </w:rPr>
        <w:t xml:space="preserve">Accrual Rules</w:t>
      </w:r>
      <w:bookmarkEnd w:id="100048"/>
    </w:p>
    <w:p>
      <w:pPr>
        <w:spacing w:after="120" w:line="312"/>
        <w:jc w:val="both"/>
      </w:pPr>
      <w:r>
        <w:rPr>
          <w:rFonts w:ascii="Times New Roman" w:eastAsia="Microsoft YaHei"/>
          <w:color w:val="2C3E50"/>
          <w:sz w:val="24"/>
          <w:szCs w:val="24"/>
        </w:rPr>
        <w:t xml:space="preserve">Points are accrued based on configurable rules tied to the transaction amount, product categories, customer tier, and promotional periods. The standard accrual model awards one point for every KES 100 spent, with bonus multipliers for specific product categories (e.g., 2x points on premium brands) or during promotional periods (e.g., double points weekends). Accrual rules can also exclude certain product categories (e.g., cement, which has thin margins) from earning points. Points are accrued only on completed transactions and are reversed if the transaction is voided or fully refunded. For partial returns, points are adjusted proportionally.</w:t>
      </w:r>
    </w:p>
    <w:p>
      <w:pPr>
        <w:pStyle w:val="Heading3"/>
        <w:spacing w:after="120" w:before="240"/>
      </w:pPr>
      <w:bookmarkStart w:id="100049" w:name="_Toc100049"/>
      <w:r>
        <w:rPr>
          <w:rFonts w:ascii="Times New Roman" w:eastAsia="SimHei"/>
          <w:b/>
          <w:bCs/>
          <w:color w:val="1A2330"/>
          <w:sz w:val="24"/>
          <w:szCs w:val="24"/>
        </w:rPr>
        <w:t xml:space="preserve">Redemption Catalog</w:t>
      </w:r>
      <w:bookmarkEnd w:id="100049"/>
    </w:p>
    <w:p>
      <w:pPr>
        <w:spacing w:after="120" w:line="312"/>
        <w:jc w:val="both"/>
      </w:pPr>
      <w:r>
        <w:rPr>
          <w:rFonts w:ascii="Times New Roman" w:eastAsia="Microsoft YaHei"/>
          <w:color w:val="2C3E50"/>
          <w:sz w:val="24"/>
          <w:szCs w:val="24"/>
        </w:rPr>
        <w:t xml:space="preserve">The redemption catalog defines the rewards available for points redemption, including product discounts (fixed amount off a specific product), percentage discounts (e.g., 10% off any item in a category), free products (exchange points for a specific item), and service credits (e.g., free delivery on the next order). Each reward has a points cost, applicable conditions (minimum purchase, specific categories, specific stores), and an expiration date. Redemptions are processed at POS through a simple lookup workflow where the cashier enters the customer's phone number, the system displays the available rewards and points balance, and the customer selects the desired redemption.</w:t>
      </w:r>
    </w:p>
    <w:p>
      <w:pPr>
        <w:pStyle w:val="Heading2"/>
        <w:spacing w:after="160" w:before="360"/>
      </w:pPr>
      <w:bookmarkStart w:id="100050" w:name="_Toc100050"/>
      <w:r>
        <w:rPr>
          <w:rFonts w:ascii="Times New Roman" w:eastAsia="SimHei"/>
          <w:b/>
          <w:bCs/>
          <w:color w:val="1A2330"/>
          <w:sz w:val="28"/>
          <w:szCs w:val="28"/>
        </w:rPr>
        <w:t xml:space="preserve">Customer Tiers</w:t>
      </w:r>
      <w:bookmarkEnd w:id="10005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60"/>
              <w:left w:type="dxa" w:w="120"/>
              <w:bottom w:type="dxa" w:w="60"/>
              <w:right w:type="dxa" w:w="120"/>
            </w:tcMar>
          </w:tcPr>
          <w:p>
            <w:r>
              <w:rPr>
                <w:rFonts w:ascii="Times New Roman" w:eastAsia="SimHei"/>
                <w:b/>
                <w:bCs/>
                <w:color w:val="FFFFFF"/>
                <w:sz w:val="21"/>
                <w:szCs w:val="21"/>
              </w:rPr>
              <w:t xml:space="preserve">Tier</w:t>
            </w:r>
          </w:p>
        </w:tc>
        <w:tc>
          <w:tcPr>
            <w:tcW w:type="pct" w:w="35%"/>
            <w:shd w:fill="D4875A" w:val="clear"/>
            <w:tcMar>
              <w:top w:type="dxa" w:w="60"/>
              <w:left w:type="dxa" w:w="120"/>
              <w:bottom w:type="dxa" w:w="60"/>
              <w:right w:type="dxa" w:w="120"/>
            </w:tcMar>
          </w:tcPr>
          <w:p>
            <w:r>
              <w:rPr>
                <w:rFonts w:ascii="Times New Roman" w:eastAsia="SimHei"/>
                <w:b/>
                <w:bCs/>
                <w:color w:val="FFFFFF"/>
                <w:sz w:val="21"/>
                <w:szCs w:val="21"/>
              </w:rPr>
              <w:t xml:space="preserve">Qualification</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Benefits</w:t>
            </w:r>
          </w:p>
        </w:tc>
      </w:tr>
      <w:tr>
        <w:trPr>
          <w:cantSplit/>
        </w:trPr>
        <w:tc>
          <w:tcPr>
            <w:tcW w:type="pct" w:w="15%"/>
            <w:shd w:fill="F8F0EB" w:val="clear"/>
            <w:tcMar>
              <w:top w:type="dxa" w:w="60"/>
              <w:left w:type="dxa" w:w="120"/>
              <w:bottom w:type="dxa" w:w="60"/>
              <w:right w:type="dxa" w:w="120"/>
            </w:tcMar>
          </w:tcPr>
          <w:p>
            <w:r>
              <w:rPr>
                <w:rFonts w:ascii="Times New Roman" w:eastAsia="Microsoft YaHei"/>
                <w:color w:val="2C3E50"/>
                <w:sz w:val="21"/>
                <w:szCs w:val="21"/>
              </w:rPr>
              <w:t xml:space="preserve">Bronze</w:t>
            </w:r>
          </w:p>
        </w:tc>
        <w:tc>
          <w:tcPr>
            <w:tcW w:type="pct" w:w="35%"/>
            <w:shd w:fill="F8F0EB" w:val="clear"/>
            <w:tcMar>
              <w:top w:type="dxa" w:w="60"/>
              <w:left w:type="dxa" w:w="120"/>
              <w:bottom w:type="dxa" w:w="60"/>
              <w:right w:type="dxa" w:w="120"/>
            </w:tcMar>
          </w:tcPr>
          <w:p>
            <w:r>
              <w:rPr>
                <w:rFonts w:ascii="Times New Roman" w:eastAsia="Microsoft YaHei"/>
                <w:color w:val="2C3E50"/>
                <w:sz w:val="21"/>
                <w:szCs w:val="21"/>
              </w:rPr>
              <w:t xml:space="preserve">Default on registration</w:t>
            </w:r>
          </w:p>
        </w:tc>
        <w:tc>
          <w:tcPr>
            <w:tcW w:type="pct" w:w="50%"/>
            <w:shd w:fill="F8F0EB" w:val="clear"/>
            <w:tcMar>
              <w:top w:type="dxa" w:w="60"/>
              <w:left w:type="dxa" w:w="120"/>
              <w:bottom w:type="dxa" w:w="60"/>
              <w:right w:type="dxa" w:w="120"/>
            </w:tcMar>
          </w:tcPr>
          <w:p>
            <w:r>
              <w:rPr>
                <w:rFonts w:ascii="Times New Roman" w:eastAsia="Microsoft YaHei"/>
                <w:color w:val="2C3E50"/>
                <w:sz w:val="21"/>
                <w:szCs w:val="21"/>
              </w:rPr>
              <w:t xml:space="preserve">1x points multiplier, birthday discount 5%</w:t>
            </w:r>
          </w:p>
        </w:tc>
      </w:tr>
      <w:tr>
        <w:trPr>
          <w:cantSplit/>
        </w:trPr>
        <w:tc>
          <w:tcPr>
            <w:tcW w:type="pct" w:w="15%"/>
            <w:shd w:fill="FFFFFF" w:val="clear"/>
            <w:tcMar>
              <w:top w:type="dxa" w:w="60"/>
              <w:left w:type="dxa" w:w="120"/>
              <w:bottom w:type="dxa" w:w="60"/>
              <w:right w:type="dxa" w:w="120"/>
            </w:tcMar>
          </w:tcPr>
          <w:p>
            <w:r>
              <w:rPr>
                <w:rFonts w:ascii="Times New Roman" w:eastAsia="Microsoft YaHei"/>
                <w:color w:val="2C3E50"/>
                <w:sz w:val="21"/>
                <w:szCs w:val="21"/>
              </w:rPr>
              <w:t xml:space="preserve">Silver</w:t>
            </w:r>
          </w:p>
        </w:tc>
        <w:tc>
          <w:tcPr>
            <w:tcW w:type="pct" w:w="35%"/>
            <w:shd w:fill="FFFFFF" w:val="clear"/>
            <w:tcMar>
              <w:top w:type="dxa" w:w="60"/>
              <w:left w:type="dxa" w:w="120"/>
              <w:bottom w:type="dxa" w:w="60"/>
              <w:right w:type="dxa" w:w="120"/>
            </w:tcMar>
          </w:tcPr>
          <w:p>
            <w:r>
              <w:rPr>
                <w:rFonts w:ascii="Times New Roman" w:eastAsia="Microsoft YaHei"/>
                <w:color w:val="2C3E50"/>
                <w:sz w:val="21"/>
                <w:szCs w:val="21"/>
              </w:rPr>
              <w:t xml:space="preserve">Annual spend &gt; KES 500,000</w:t>
            </w:r>
          </w:p>
        </w:tc>
        <w:tc>
          <w:tcPr>
            <w:tcW w:type="pct" w:w="50%"/>
            <w:shd w:fill="FFFFFF" w:val="clear"/>
            <w:tcMar>
              <w:top w:type="dxa" w:w="60"/>
              <w:left w:type="dxa" w:w="120"/>
              <w:bottom w:type="dxa" w:w="60"/>
              <w:right w:type="dxa" w:w="120"/>
            </w:tcMar>
          </w:tcPr>
          <w:p>
            <w:r>
              <w:rPr>
                <w:rFonts w:ascii="Times New Roman" w:eastAsia="Microsoft YaHei"/>
                <w:color w:val="2C3E50"/>
                <w:sz w:val="21"/>
                <w:szCs w:val="21"/>
              </w:rPr>
              <w:t xml:space="preserve">1.5x points multiplier, 10% birthday discount, priority service</w:t>
            </w:r>
          </w:p>
        </w:tc>
      </w:tr>
      <w:tr>
        <w:trPr>
          <w:cantSplit/>
        </w:trPr>
        <w:tc>
          <w:tcPr>
            <w:tcW w:type="pct" w:w="15%"/>
            <w:shd w:fill="F8F0EB" w:val="clear"/>
            <w:tcMar>
              <w:top w:type="dxa" w:w="60"/>
              <w:left w:type="dxa" w:w="120"/>
              <w:bottom w:type="dxa" w:w="60"/>
              <w:right w:type="dxa" w:w="120"/>
            </w:tcMar>
          </w:tcPr>
          <w:p>
            <w:r>
              <w:rPr>
                <w:rFonts w:ascii="Times New Roman" w:eastAsia="Microsoft YaHei"/>
                <w:color w:val="2C3E50"/>
                <w:sz w:val="21"/>
                <w:szCs w:val="21"/>
              </w:rPr>
              <w:t xml:space="preserve">Gold</w:t>
            </w:r>
          </w:p>
        </w:tc>
        <w:tc>
          <w:tcPr>
            <w:tcW w:type="pct" w:w="35%"/>
            <w:shd w:fill="F8F0EB" w:val="clear"/>
            <w:tcMar>
              <w:top w:type="dxa" w:w="60"/>
              <w:left w:type="dxa" w:w="120"/>
              <w:bottom w:type="dxa" w:w="60"/>
              <w:right w:type="dxa" w:w="120"/>
            </w:tcMar>
          </w:tcPr>
          <w:p>
            <w:r>
              <w:rPr>
                <w:rFonts w:ascii="Times New Roman" w:eastAsia="Microsoft YaHei"/>
                <w:color w:val="2C3E50"/>
                <w:sz w:val="21"/>
                <w:szCs w:val="21"/>
              </w:rPr>
              <w:t xml:space="preserve">Annual spend &gt; KES 2,000,000</w:t>
            </w:r>
          </w:p>
        </w:tc>
        <w:tc>
          <w:tcPr>
            <w:tcW w:type="pct" w:w="50%"/>
            <w:shd w:fill="F8F0EB" w:val="clear"/>
            <w:tcMar>
              <w:top w:type="dxa" w:w="60"/>
              <w:left w:type="dxa" w:w="120"/>
              <w:bottom w:type="dxa" w:w="60"/>
              <w:right w:type="dxa" w:w="120"/>
            </w:tcMar>
          </w:tcPr>
          <w:p>
            <w:r>
              <w:rPr>
                <w:rFonts w:ascii="Times New Roman" w:eastAsia="Microsoft YaHei"/>
                <w:color w:val="2C3E50"/>
                <w:sz w:val="21"/>
                <w:szCs w:val="21"/>
              </w:rPr>
              <w:t xml:space="preserve">2x points multiplier, 15% birthday discount, exclusive promotions, extended credit terms</w:t>
            </w:r>
          </w:p>
        </w:tc>
      </w:tr>
      <w:tr>
        <w:trPr>
          <w:cantSplit/>
        </w:trPr>
        <w:tc>
          <w:tcPr>
            <w:tcW w:type="pct" w:w="15%"/>
            <w:shd w:fill="FFFFFF" w:val="clear"/>
            <w:tcMar>
              <w:top w:type="dxa" w:w="60"/>
              <w:left w:type="dxa" w:w="120"/>
              <w:bottom w:type="dxa" w:w="60"/>
              <w:right w:type="dxa" w:w="120"/>
            </w:tcMar>
          </w:tcPr>
          <w:p>
            <w:r>
              <w:rPr>
                <w:rFonts w:ascii="Times New Roman" w:eastAsia="Microsoft YaHei"/>
                <w:color w:val="2C3E50"/>
                <w:sz w:val="21"/>
                <w:szCs w:val="21"/>
              </w:rPr>
              <w:t xml:space="preserve">Platinum</w:t>
            </w:r>
          </w:p>
        </w:tc>
        <w:tc>
          <w:tcPr>
            <w:tcW w:type="pct" w:w="35%"/>
            <w:shd w:fill="FFFFFF" w:val="clear"/>
            <w:tcMar>
              <w:top w:type="dxa" w:w="60"/>
              <w:left w:type="dxa" w:w="120"/>
              <w:bottom w:type="dxa" w:w="60"/>
              <w:right w:type="dxa" w:w="120"/>
            </w:tcMar>
          </w:tcPr>
          <w:p>
            <w:r>
              <w:rPr>
                <w:rFonts w:ascii="Times New Roman" w:eastAsia="Microsoft YaHei"/>
                <w:color w:val="2C3E50"/>
                <w:sz w:val="21"/>
                <w:szCs w:val="21"/>
              </w:rPr>
              <w:t xml:space="preserve">Annual spend &gt; KES 5,000,000</w:t>
            </w:r>
          </w:p>
        </w:tc>
        <w:tc>
          <w:tcPr>
            <w:tcW w:type="pct" w:w="50%"/>
            <w:shd w:fill="FFFFFF" w:val="clear"/>
            <w:tcMar>
              <w:top w:type="dxa" w:w="60"/>
              <w:left w:type="dxa" w:w="120"/>
              <w:bottom w:type="dxa" w:w="60"/>
              <w:right w:type="dxa" w:w="120"/>
            </w:tcMar>
          </w:tcPr>
          <w:p>
            <w:r>
              <w:rPr>
                <w:rFonts w:ascii="Times New Roman" w:eastAsia="Microsoft YaHei"/>
                <w:color w:val="2C3E50"/>
                <w:sz w:val="21"/>
                <w:szCs w:val="21"/>
              </w:rPr>
              <w:t xml:space="preserve">3x points multiplier, 20% birthday discount, dedicated account manager, best price guarantee</w:t>
            </w:r>
          </w:p>
        </w:tc>
      </w:tr>
    </w:tbl>
    <w:p>
      <w:pPr>
        <w:spacing w:after="200" w:before="80"/>
        <w:jc w:val="center"/>
      </w:pPr>
      <w:r>
        <w:rPr>
          <w:rFonts w:ascii="Times New Roman" w:eastAsia="Microsoft YaHei"/>
          <w:i/>
          <w:iCs/>
          <w:color w:val="607080"/>
          <w:sz w:val="20"/>
          <w:szCs w:val="20"/>
        </w:rPr>
        <w:t xml:space="preserve">Table 6: Customer Loyalty Tier Structure</w:t>
      </w:r>
    </w:p>
    <w:p>
      <w:pPr>
        <w:pStyle w:val="Heading2"/>
        <w:spacing w:after="160" w:before="360"/>
      </w:pPr>
      <w:bookmarkStart w:id="100051" w:name="_Toc100051"/>
      <w:r>
        <w:rPr>
          <w:rFonts w:ascii="Times New Roman" w:eastAsia="SimHei"/>
          <w:b/>
          <w:bCs/>
          <w:color w:val="1A2330"/>
          <w:sz w:val="28"/>
          <w:szCs w:val="28"/>
        </w:rPr>
        <w:t xml:space="preserve">Business Rules</w:t>
      </w:r>
      <w:bookmarkEnd w:id="100051"/>
    </w:p>
    <w:p>
      <w:pPr>
        <w:pStyle w:val="ListParagraph"/>
        <w:numPr>
          <w:ilvl w:val="0"/>
          <w:numId w:val="1"/>
        </w:numPr>
        <w:spacing w:after="80" w:line="312"/>
      </w:pPr>
      <w:r>
        <w:rPr>
          <w:rFonts w:ascii="Times New Roman" w:eastAsia="Microsoft YaHei"/>
          <w:color w:val="2C3E50"/>
          <w:sz w:val="24"/>
          <w:szCs w:val="24"/>
        </w:rPr>
        <w:t xml:space="preserve">Points expire 24 months after accrual if the customer has no qualifying transactions during that period.</w:t>
      </w:r>
    </w:p>
    <w:p>
      <w:pPr>
        <w:pStyle w:val="ListParagraph"/>
        <w:numPr>
          <w:ilvl w:val="0"/>
          <w:numId w:val="1"/>
        </w:numPr>
        <w:spacing w:after="80" w:line="312"/>
      </w:pPr>
      <w:r>
        <w:rPr>
          <w:rFonts w:ascii="Times New Roman" w:eastAsia="Microsoft YaHei"/>
          <w:color w:val="2C3E50"/>
          <w:sz w:val="24"/>
          <w:szCs w:val="24"/>
        </w:rPr>
        <w:t xml:space="preserve">Tier qualification is evaluated annually based on the trailing 12-month spend; tier downgrade occurs only after a grace period of 3 months.</w:t>
      </w:r>
    </w:p>
    <w:p>
      <w:pPr>
        <w:pStyle w:val="ListParagraph"/>
        <w:numPr>
          <w:ilvl w:val="0"/>
          <w:numId w:val="1"/>
        </w:numPr>
        <w:spacing w:after="80" w:line="312"/>
      </w:pPr>
      <w:r>
        <w:rPr>
          <w:rFonts w:ascii="Times New Roman" w:eastAsia="Microsoft YaHei"/>
          <w:color w:val="2C3E50"/>
          <w:sz w:val="24"/>
          <w:szCs w:val="24"/>
        </w:rPr>
        <w:t xml:space="preserve">Cashiers cannot manually adjust points balances; all adjustments require manager approval and are audit-logged.</w:t>
      </w:r>
    </w:p>
    <w:p>
      <w:pPr>
        <w:pStyle w:val="ListParagraph"/>
        <w:numPr>
          <w:ilvl w:val="0"/>
          <w:numId w:val="1"/>
        </w:numPr>
        <w:spacing w:after="80" w:line="312"/>
      </w:pPr>
      <w:r>
        <w:rPr>
          <w:rFonts w:ascii="Times New Roman" w:eastAsia="Microsoft YaHei"/>
          <w:color w:val="2C3E50"/>
          <w:sz w:val="24"/>
          <w:szCs w:val="24"/>
        </w:rPr>
        <w:t xml:space="preserve">Customer data is subject to Kenya Data Protection Act (DPA) 2019; explicit consent is required for marketing communications.</w:t>
      </w:r>
    </w:p>
    <w:p>
      <w:pPr>
        <w:pStyle w:val="ListParagraph"/>
        <w:numPr>
          <w:ilvl w:val="0"/>
          <w:numId w:val="1"/>
        </w:numPr>
        <w:spacing w:after="80" w:line="312"/>
      </w:pPr>
      <w:r>
        <w:rPr>
          <w:rFonts w:ascii="Times New Roman" w:eastAsia="Microsoft YaHei"/>
          <w:color w:val="2C3E50"/>
          <w:sz w:val="24"/>
          <w:szCs w:val="24"/>
        </w:rPr>
        <w:t xml:space="preserve">Points accrued from voided or refunded transactions are automatically reversed.</w:t>
      </w:r>
    </w:p>
    <w:p>
      <w:pPr>
        <w:pStyle w:val="Heading1"/>
        <w:spacing w:after="200" w:before="480"/>
      </w:pPr>
      <w:bookmarkStart w:id="100052" w:name="_Toc100052"/>
      <w:r>
        <w:rPr>
          <w:rFonts w:ascii="Times New Roman" w:eastAsia="SimHei"/>
          <w:b/>
          <w:bCs/>
          <w:color w:val="1A2330"/>
          <w:sz w:val="32"/>
          <w:szCs w:val="32"/>
        </w:rPr>
        <w:t xml:space="preserve">Module 6: Multi-Store Management</w:t>
      </w:r>
      <w:bookmarkEnd w:id="100052"/>
    </w:p>
    <w:p>
      <w:pPr>
        <w:pStyle w:val="Heading2"/>
        <w:spacing w:after="160" w:before="360"/>
      </w:pPr>
      <w:bookmarkStart w:id="100053" w:name="_Toc100053"/>
      <w:r>
        <w:rPr>
          <w:rFonts w:ascii="Times New Roman" w:eastAsia="SimHei"/>
          <w:b/>
          <w:bCs/>
          <w:color w:val="1A2330"/>
          <w:sz w:val="28"/>
          <w:szCs w:val="28"/>
        </w:rPr>
        <w:t xml:space="preserve">Overview</w:t>
      </w:r>
      <w:bookmarkEnd w:id="100053"/>
    </w:p>
    <w:p>
      <w:pPr>
        <w:spacing w:after="120" w:line="312"/>
        <w:jc w:val="both"/>
      </w:pPr>
      <w:r>
        <w:rPr>
          <w:rFonts w:ascii="Times New Roman" w:eastAsia="Microsoft YaHei"/>
          <w:color w:val="2C3E50"/>
          <w:sz w:val="24"/>
          <w:szCs w:val="24"/>
        </w:rPr>
        <w:t xml:space="preserve">The Multi-Store Management module enables the operation of multiple retail locations under a unified system, with centralized control and reporting while preserving store-level autonomy for day-to-day operations. It manages store definitions, inter-store stock transfers, cross-store customer recognition, and consolidated financial reporting. The module is built on the offline-first architecture principle, where each store operates independently on a local SQLite database during network outages and synchronizes with the central PostgreSQL server when connectivity is available.</w:t>
      </w:r>
    </w:p>
    <w:p>
      <w:pPr>
        <w:pStyle w:val="Heading2"/>
        <w:spacing w:after="160" w:before="360"/>
      </w:pPr>
      <w:bookmarkStart w:id="100054" w:name="_Toc100054"/>
      <w:r>
        <w:rPr>
          <w:rFonts w:ascii="Times New Roman" w:eastAsia="SimHei"/>
          <w:b/>
          <w:bCs/>
          <w:color w:val="1A2330"/>
          <w:sz w:val="28"/>
          <w:szCs w:val="28"/>
        </w:rPr>
        <w:t xml:space="preserve">Store Configuration</w:t>
      </w:r>
      <w:bookmarkEnd w:id="100054"/>
    </w:p>
    <w:p>
      <w:pPr>
        <w:spacing w:after="120" w:line="312"/>
        <w:jc w:val="both"/>
      </w:pPr>
      <w:r>
        <w:rPr>
          <w:rFonts w:ascii="Times New Roman" w:eastAsia="Microsoft YaHei"/>
          <w:color w:val="2C3E50"/>
          <w:sz w:val="24"/>
          <w:szCs w:val="24"/>
        </w:rPr>
        <w:t xml:space="preserve">Each store is defined by a unique identifier, name, physical address, contact details, operating hours, and tax registration information. Store-specific configurations include the default payment methods accepted, receipt printer settings, price rounding rules, and the store prefix used in transaction numbering. The system supports multiple store types: retail stores (standard POS operations), warehouses (goods receipt and distribution without POS), and combined locations (both warehouse and retail functions). Store-level permissions allow each store manager to control their own staffing and operations while the Super Admin maintains oversight across all locations.</w:t>
      </w:r>
    </w:p>
    <w:p>
      <w:pPr>
        <w:pStyle w:val="Heading2"/>
        <w:spacing w:after="160" w:before="360"/>
      </w:pPr>
      <w:bookmarkStart w:id="100055" w:name="_Toc100055"/>
      <w:r>
        <w:rPr>
          <w:rFonts w:ascii="Times New Roman" w:eastAsia="SimHei"/>
          <w:b/>
          <w:bCs/>
          <w:color w:val="1A2330"/>
          <w:sz w:val="28"/>
          <w:szCs w:val="28"/>
        </w:rPr>
        <w:t xml:space="preserve">Inter-Store Transfers</w:t>
      </w:r>
      <w:bookmarkEnd w:id="100055"/>
    </w:p>
    <w:p>
      <w:pPr>
        <w:spacing w:after="120" w:line="312"/>
        <w:jc w:val="both"/>
      </w:pPr>
      <w:r>
        <w:rPr>
          <w:rFonts w:ascii="Times New Roman" w:eastAsia="Microsoft YaHei"/>
          <w:color w:val="2C3E50"/>
          <w:sz w:val="24"/>
          <w:szCs w:val="24"/>
        </w:rPr>
        <w:t xml:space="preserve">The inter-store transfer workflow manages the movement of inventory between locations with full tracking and accountability. The process involves the source store creating a transfer request, the system reserving the requested quantity at the source, physical dispatch of the goods with a transfer note, in-transit tracking, and receipt at the destination store with quantity verification. Discrepancies between shipped and received quantities are flagged for investigation and can be resolved through partial receipts, damage reports, or re-shipment. All transfers maintain a complete audit trail including the initiating user, approving manager, dispatch and receipt timestamps, and any discrepancy notes.</w:t>
      </w:r>
    </w:p>
    <w:p>
      <w:pPr>
        <w:pStyle w:val="Heading2"/>
        <w:spacing w:after="160" w:before="360"/>
      </w:pPr>
      <w:bookmarkStart w:id="100056" w:name="_Toc100056"/>
      <w:r>
        <w:rPr>
          <w:rFonts w:ascii="Times New Roman" w:eastAsia="SimHei"/>
          <w:b/>
          <w:bCs/>
          <w:color w:val="1A2330"/>
          <w:sz w:val="28"/>
          <w:szCs w:val="28"/>
        </w:rPr>
        <w:t xml:space="preserve">Data Synchronization</w:t>
      </w:r>
      <w:bookmarkEnd w:id="100056"/>
    </w:p>
    <w:p>
      <w:pPr>
        <w:pStyle w:val="Heading3"/>
        <w:spacing w:after="120" w:before="240"/>
      </w:pPr>
      <w:bookmarkStart w:id="100057" w:name="_Toc100057"/>
      <w:r>
        <w:rPr>
          <w:rFonts w:ascii="Times New Roman" w:eastAsia="SimHei"/>
          <w:b/>
          <w:bCs/>
          <w:color w:val="1A2330"/>
          <w:sz w:val="24"/>
          <w:szCs w:val="24"/>
        </w:rPr>
        <w:t xml:space="preserve">Sync Architecture</w:t>
      </w:r>
      <w:bookmarkEnd w:id="100057"/>
    </w:p>
    <w:p>
      <w:pPr>
        <w:spacing w:after="120" w:line="312"/>
        <w:jc w:val="both"/>
      </w:pPr>
      <w:r>
        <w:rPr>
          <w:rFonts w:ascii="Times New Roman" w:eastAsia="Microsoft YaHei"/>
          <w:color w:val="2C3E50"/>
          <w:sz w:val="24"/>
          <w:szCs w:val="24"/>
        </w:rPr>
        <w:t xml:space="preserve">The synchronization system operates on a queue-based model where each store maintains a local event queue of all data changes. When network connectivity is available, the store sync service pushes local changes to the central server and pulls changes from other stores. The sync process is incremental, transferring only the changes since the last successful sync to minimize bandwidth usage. The central server maintains the authoritative version of all records and resolves conflicts using configurable strategies: last-writer-wins for non-critical fields, business-rule-based resolution for inventory quantities (preferring physical count data over transaction estimates), and manual resolution for high-value conflicts that require human judgment.</w:t>
      </w:r>
    </w:p>
    <w:p>
      <w:pPr>
        <w:pStyle w:val="Heading3"/>
        <w:spacing w:after="120" w:before="240"/>
      </w:pPr>
      <w:bookmarkStart w:id="100058" w:name="_Toc100058"/>
      <w:r>
        <w:rPr>
          <w:rFonts w:ascii="Times New Roman" w:eastAsia="SimHei"/>
          <w:b/>
          <w:bCs/>
          <w:color w:val="1A2330"/>
          <w:sz w:val="24"/>
          <w:szCs w:val="24"/>
        </w:rPr>
        <w:t xml:space="preserve">Conflict Resolution</w:t>
      </w:r>
      <w:bookmarkEnd w:id="10005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Data Type</w:t>
            </w:r>
          </w:p>
        </w:tc>
        <w:tc>
          <w:tcPr>
            <w:tcW w:type="pct" w:w="30%"/>
            <w:shd w:fill="D4875A" w:val="clear"/>
            <w:tcMar>
              <w:top w:type="dxa" w:w="60"/>
              <w:left w:type="dxa" w:w="120"/>
              <w:bottom w:type="dxa" w:w="60"/>
              <w:right w:type="dxa" w:w="120"/>
            </w:tcMar>
          </w:tcPr>
          <w:p>
            <w:r>
              <w:rPr>
                <w:rFonts w:ascii="Times New Roman" w:eastAsia="SimHei"/>
                <w:b/>
                <w:bCs/>
                <w:color w:val="FFFFFF"/>
                <w:sz w:val="21"/>
                <w:szCs w:val="21"/>
              </w:rPr>
              <w:t xml:space="preserve">Conflict Strategy</w:t>
            </w:r>
          </w:p>
        </w:tc>
        <w:tc>
          <w:tcPr>
            <w:tcW w:type="pct" w:w="45%"/>
            <w:shd w:fill="D4875A" w:val="clear"/>
            <w:tcMar>
              <w:top w:type="dxa" w:w="60"/>
              <w:left w:type="dxa" w:w="120"/>
              <w:bottom w:type="dxa" w:w="60"/>
              <w:right w:type="dxa" w:w="120"/>
            </w:tcMar>
          </w:tcPr>
          <w:p>
            <w:r>
              <w:rPr>
                <w:rFonts w:ascii="Times New Roman" w:eastAsia="SimHei"/>
                <w:b/>
                <w:bCs/>
                <w:color w:val="FFFFFF"/>
                <w:sz w:val="21"/>
                <w:szCs w:val="21"/>
              </w:rPr>
              <w:t xml:space="preserve">Rationale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2C3E50"/>
                <w:sz w:val="21"/>
                <w:szCs w:val="21"/>
              </w:rPr>
              <w:t xml:space="preserve">Product prices</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Last writer wins with audit</w:t>
            </w:r>
          </w:p>
        </w:tc>
        <w:tc>
          <w:tcPr>
            <w:tcW w:type="pct" w:w="45%"/>
            <w:shd w:fill="F8F0EB" w:val="clear"/>
            <w:tcMar>
              <w:top w:type="dxa" w:w="60"/>
              <w:left w:type="dxa" w:w="120"/>
              <w:bottom w:type="dxa" w:w="60"/>
              <w:right w:type="dxa" w:w="120"/>
            </w:tcMar>
          </w:tcPr>
          <w:p>
            <w:r>
              <w:rPr>
                <w:rFonts w:ascii="Times New Roman" w:eastAsia="Microsoft YaHei"/>
                <w:color w:val="2C3E50"/>
                <w:sz w:val="21"/>
                <w:szCs w:val="21"/>
              </w:rPr>
              <w:t xml:space="preserve">Price changes are deliberate and should propagate quickly</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2C3E50"/>
                <w:sz w:val="21"/>
                <w:szCs w:val="21"/>
              </w:rPr>
              <w:t xml:space="preserve">Inventory quantities</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Physical count preference</w:t>
            </w:r>
          </w:p>
        </w:tc>
        <w:tc>
          <w:tcPr>
            <w:tcW w:type="pct" w:w="45%"/>
            <w:shd w:fill="FFFFFF" w:val="clear"/>
            <w:tcMar>
              <w:top w:type="dxa" w:w="60"/>
              <w:left w:type="dxa" w:w="120"/>
              <w:bottom w:type="dxa" w:w="60"/>
              <w:right w:type="dxa" w:w="120"/>
            </w:tcMar>
          </w:tcPr>
          <w:p>
            <w:r>
              <w:rPr>
                <w:rFonts w:ascii="Times New Roman" w:eastAsia="Microsoft YaHei"/>
                <w:color w:val="2C3E50"/>
                <w:sz w:val="21"/>
                <w:szCs w:val="21"/>
              </w:rPr>
              <w:t xml:space="preserve">Actual counts are more reliable than system estimates</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2C3E50"/>
                <w:sz w:val="21"/>
                <w:szCs w:val="21"/>
              </w:rPr>
              <w:t xml:space="preserve">Customer records</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Field-level merge</w:t>
            </w:r>
          </w:p>
        </w:tc>
        <w:tc>
          <w:tcPr>
            <w:tcW w:type="pct" w:w="45%"/>
            <w:shd w:fill="F8F0EB" w:val="clear"/>
            <w:tcMar>
              <w:top w:type="dxa" w:w="60"/>
              <w:left w:type="dxa" w:w="120"/>
              <w:bottom w:type="dxa" w:w="60"/>
              <w:right w:type="dxa" w:w="120"/>
            </w:tcMar>
          </w:tcPr>
          <w:p>
            <w:r>
              <w:rPr>
                <w:rFonts w:ascii="Times New Roman" w:eastAsia="Microsoft YaHei"/>
                <w:color w:val="2C3E50"/>
                <w:sz w:val="21"/>
                <w:szCs w:val="21"/>
              </w:rPr>
              <w:t xml:space="preserve">Different fields may be updated at different stores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2C3E50"/>
                <w:sz w:val="21"/>
                <w:szCs w:val="21"/>
              </w:rPr>
              <w:t xml:space="preserve">Transaction records</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Never conflict (UUID-based)</w:t>
            </w:r>
          </w:p>
        </w:tc>
        <w:tc>
          <w:tcPr>
            <w:tcW w:type="pct" w:w="45%"/>
            <w:shd w:fill="FFFFFF" w:val="clear"/>
            <w:tcMar>
              <w:top w:type="dxa" w:w="60"/>
              <w:left w:type="dxa" w:w="120"/>
              <w:bottom w:type="dxa" w:w="60"/>
              <w:right w:type="dxa" w:w="120"/>
            </w:tcMar>
          </w:tcPr>
          <w:p>
            <w:r>
              <w:rPr>
                <w:rFonts w:ascii="Times New Roman" w:eastAsia="Microsoft YaHei"/>
                <w:color w:val="2C3E50"/>
                <w:sz w:val="21"/>
                <w:szCs w:val="21"/>
              </w:rPr>
              <w:t xml:space="preserve">Each transaction is unique by design; no overlap possible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2C3E50"/>
                <w:sz w:val="21"/>
                <w:szCs w:val="21"/>
              </w:rPr>
              <w:t xml:space="preserve">Tax configuration</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Central authority wins</w:t>
            </w:r>
          </w:p>
        </w:tc>
        <w:tc>
          <w:tcPr>
            <w:tcW w:type="pct" w:w="45%"/>
            <w:shd w:fill="F8F0EB" w:val="clear"/>
            <w:tcMar>
              <w:top w:type="dxa" w:w="60"/>
              <w:left w:type="dxa" w:w="120"/>
              <w:bottom w:type="dxa" w:w="60"/>
              <w:right w:type="dxa" w:w="120"/>
            </w:tcMar>
          </w:tcPr>
          <w:p>
            <w:r>
              <w:rPr>
                <w:rFonts w:ascii="Times New Roman" w:eastAsia="Microsoft YaHei"/>
                <w:color w:val="2C3E50"/>
                <w:sz w:val="21"/>
                <w:szCs w:val="21"/>
              </w:rPr>
              <w:t xml:space="preserve">Tax rules must be consistent across all stores</w:t>
            </w:r>
          </w:p>
        </w:tc>
      </w:tr>
    </w:tbl>
    <w:p>
      <w:pPr>
        <w:spacing w:after="200" w:before="80"/>
        <w:jc w:val="center"/>
      </w:pPr>
      <w:r>
        <w:rPr>
          <w:rFonts w:ascii="Times New Roman" w:eastAsia="Microsoft YaHei"/>
          <w:i/>
          <w:iCs/>
          <w:color w:val="607080"/>
          <w:sz w:val="20"/>
          <w:szCs w:val="20"/>
        </w:rPr>
        <w:t xml:space="preserve">Table 7: Conflict Resolution Strategies by Data Type</w:t>
      </w:r>
    </w:p>
    <w:p>
      <w:pPr>
        <w:pStyle w:val="Heading2"/>
        <w:spacing w:after="160" w:before="360"/>
      </w:pPr>
      <w:bookmarkStart w:id="100059" w:name="_Toc100059"/>
      <w:r>
        <w:rPr>
          <w:rFonts w:ascii="Times New Roman" w:eastAsia="SimHei"/>
          <w:b/>
          <w:bCs/>
          <w:color w:val="1A2330"/>
          <w:sz w:val="28"/>
          <w:szCs w:val="28"/>
        </w:rPr>
        <w:t xml:space="preserve">Business Rules</w:t>
      </w:r>
      <w:bookmarkEnd w:id="100059"/>
    </w:p>
    <w:p>
      <w:pPr>
        <w:pStyle w:val="ListParagraph"/>
        <w:numPr>
          <w:ilvl w:val="0"/>
          <w:numId w:val="1"/>
        </w:numPr>
        <w:spacing w:after="80" w:line="312"/>
      </w:pPr>
      <w:r>
        <w:rPr>
          <w:rFonts w:ascii="Times New Roman" w:eastAsia="Microsoft YaHei"/>
          <w:color w:val="2C3E50"/>
          <w:sz w:val="24"/>
          <w:szCs w:val="24"/>
        </w:rPr>
        <w:t xml:space="preserve">Store creation and deactivation require Super Admin authorization; stores cannot be deactivated while open transactions exist.</w:t>
      </w:r>
    </w:p>
    <w:p>
      <w:pPr>
        <w:pStyle w:val="ListParagraph"/>
        <w:numPr>
          <w:ilvl w:val="0"/>
          <w:numId w:val="1"/>
        </w:numPr>
        <w:spacing w:after="80" w:line="312"/>
      </w:pPr>
      <w:r>
        <w:rPr>
          <w:rFonts w:ascii="Times New Roman" w:eastAsia="Microsoft YaHei"/>
          <w:color w:val="2C3E50"/>
          <w:sz w:val="24"/>
          <w:szCs w:val="24"/>
        </w:rPr>
        <w:t xml:space="preserve">Transfer requests must be approved by the source store manager before stock is reserved.</w:t>
      </w:r>
    </w:p>
    <w:p>
      <w:pPr>
        <w:pStyle w:val="ListParagraph"/>
        <w:numPr>
          <w:ilvl w:val="0"/>
          <w:numId w:val="1"/>
        </w:numPr>
        <w:spacing w:after="80" w:line="312"/>
      </w:pPr>
      <w:r>
        <w:rPr>
          <w:rFonts w:ascii="Times New Roman" w:eastAsia="Microsoft YaHei"/>
          <w:color w:val="2C3E50"/>
          <w:sz w:val="24"/>
          <w:szCs w:val="24"/>
        </w:rPr>
        <w:t xml:space="preserve">Sync operations are retried with exponential backoff; after 10 consecutive failures, the store is marked as disconnected and alerts are issued.</w:t>
      </w:r>
    </w:p>
    <w:p>
      <w:pPr>
        <w:pStyle w:val="ListParagraph"/>
        <w:numPr>
          <w:ilvl w:val="0"/>
          <w:numId w:val="1"/>
        </w:numPr>
        <w:spacing w:after="80" w:line="312"/>
      </w:pPr>
      <w:r>
        <w:rPr>
          <w:rFonts w:ascii="Times New Roman" w:eastAsia="Microsoft YaHei"/>
          <w:color w:val="2C3E50"/>
          <w:sz w:val="24"/>
          <w:szCs w:val="24"/>
        </w:rPr>
        <w:t xml:space="preserve">All sync conflicts are logged in a dedicated conflict resolution queue accessible to authorized users.</w:t>
      </w:r>
    </w:p>
    <w:p>
      <w:pPr>
        <w:pStyle w:val="ListParagraph"/>
        <w:numPr>
          <w:ilvl w:val="0"/>
          <w:numId w:val="1"/>
        </w:numPr>
        <w:spacing w:after="80" w:line="312"/>
      </w:pPr>
      <w:r>
        <w:rPr>
          <w:rFonts w:ascii="Times New Roman" w:eastAsia="Microsoft YaHei"/>
          <w:color w:val="2C3E50"/>
          <w:sz w:val="24"/>
          <w:szCs w:val="24"/>
        </w:rPr>
        <w:t xml:space="preserve">Consolidated reports automatically exclude duplicate transactions that may appear during sync lag periods.</w:t>
      </w:r>
    </w:p>
    <w:p>
      <w:pPr>
        <w:pStyle w:val="Heading1"/>
        <w:spacing w:after="200" w:before="480"/>
      </w:pPr>
      <w:bookmarkStart w:id="100060" w:name="_Toc100060"/>
      <w:r>
        <w:rPr>
          <w:rFonts w:ascii="Times New Roman" w:eastAsia="SimHei"/>
          <w:b/>
          <w:bCs/>
          <w:color w:val="1A2330"/>
          <w:sz w:val="32"/>
          <w:szCs w:val="32"/>
        </w:rPr>
        <w:t xml:space="preserve">Module 7: Quotes and Invoices</w:t>
      </w:r>
      <w:bookmarkEnd w:id="100060"/>
    </w:p>
    <w:p>
      <w:pPr>
        <w:pStyle w:val="Heading2"/>
        <w:spacing w:after="160" w:before="360"/>
      </w:pPr>
      <w:bookmarkStart w:id="100061" w:name="_Toc100061"/>
      <w:r>
        <w:rPr>
          <w:rFonts w:ascii="Times New Roman" w:eastAsia="SimHei"/>
          <w:b/>
          <w:bCs/>
          <w:color w:val="1A2330"/>
          <w:sz w:val="28"/>
          <w:szCs w:val="28"/>
        </w:rPr>
        <w:t xml:space="preserve">Overview</w:t>
      </w:r>
      <w:bookmarkEnd w:id="100061"/>
    </w:p>
    <w:p>
      <w:pPr>
        <w:spacing w:after="120" w:line="312"/>
        <w:jc w:val="both"/>
      </w:pPr>
      <w:r>
        <w:rPr>
          <w:rFonts w:ascii="Times New Roman" w:eastAsia="Microsoft YaHei"/>
          <w:color w:val="2C3E50"/>
          <w:sz w:val="24"/>
          <w:szCs w:val="24"/>
        </w:rPr>
        <w:t xml:space="preserve">The Quotes and Invoices module manages the pre-sale quotation workflow and the post-sale invoicing process for business-to-business transactions. In the Kenyan hardware market, large orders from contractors, construction companies, and institutional buyers typically follow a quote-negotiate-order-invoice workflow rather than an immediate POS transaction. This module supports that workflow end-to-end, from initial quote creation through revision tracking, conversion to a confirmed order, delivery processing, and final invoicing with eTIMS compliance.</w:t>
      </w:r>
    </w:p>
    <w:p>
      <w:pPr>
        <w:pStyle w:val="Heading2"/>
        <w:spacing w:after="160" w:before="360"/>
      </w:pPr>
      <w:bookmarkStart w:id="100062" w:name="_Toc100062"/>
      <w:r>
        <w:rPr>
          <w:rFonts w:ascii="Times New Roman" w:eastAsia="SimHei"/>
          <w:b/>
          <w:bCs/>
          <w:color w:val="1A2330"/>
          <w:sz w:val="28"/>
          <w:szCs w:val="28"/>
        </w:rPr>
        <w:t xml:space="preserve">Quotation Workflow</w:t>
      </w:r>
      <w:bookmarkEnd w:id="100062"/>
    </w:p>
    <w:p>
      <w:pPr>
        <w:pStyle w:val="Heading3"/>
        <w:spacing w:after="120" w:before="240"/>
      </w:pPr>
      <w:bookmarkStart w:id="100063" w:name="_Toc100063"/>
      <w:r>
        <w:rPr>
          <w:rFonts w:ascii="Times New Roman" w:eastAsia="SimHei"/>
          <w:b/>
          <w:bCs/>
          <w:color w:val="1A2330"/>
          <w:sz w:val="24"/>
          <w:szCs w:val="24"/>
        </w:rPr>
        <w:t xml:space="preserve">Quote Creation</w:t>
      </w:r>
      <w:bookmarkEnd w:id="100063"/>
    </w:p>
    <w:p>
      <w:pPr>
        <w:spacing w:after="120" w:line="312"/>
        <w:jc w:val="both"/>
      </w:pPr>
      <w:r>
        <w:rPr>
          <w:rFonts w:ascii="Times New Roman" w:eastAsia="Microsoft YaHei"/>
          <w:color w:val="2C3E50"/>
          <w:sz w:val="24"/>
          <w:szCs w:val="24"/>
        </w:rPr>
        <w:t xml:space="preserve">Quotations can be created from scratch or generated from a previous quote or sales history. Each quote includes the customer details, line items with product specifications and quantities, quoted prices (which may differ from the standard selling price based on negotiated terms), applicable taxes, delivery terms, payment terms, validity period, and any special conditions or notes. The system supports quotation templates for common product bundles, enabling quick generation of standard quotes for recurring customer requirements. Margins are calculated and displayed internally (not on the customer-facing quote) to help the sales team make informed pricing decisions.</w:t>
      </w:r>
    </w:p>
    <w:p>
      <w:pPr>
        <w:pStyle w:val="Heading3"/>
        <w:spacing w:after="120" w:before="240"/>
      </w:pPr>
      <w:bookmarkStart w:id="100064" w:name="_Toc100064"/>
      <w:r>
        <w:rPr>
          <w:rFonts w:ascii="Times New Roman" w:eastAsia="SimHei"/>
          <w:b/>
          <w:bCs/>
          <w:color w:val="1A2330"/>
          <w:sz w:val="24"/>
          <w:szCs w:val="24"/>
        </w:rPr>
        <w:t xml:space="preserve">Quote Revision and Approval</w:t>
      </w:r>
      <w:bookmarkEnd w:id="100064"/>
    </w:p>
    <w:p>
      <w:pPr>
        <w:spacing w:after="120" w:line="312"/>
        <w:jc w:val="both"/>
      </w:pPr>
      <w:r>
        <w:rPr>
          <w:rFonts w:ascii="Times New Roman" w:eastAsia="Microsoft YaHei"/>
          <w:color w:val="2C3E50"/>
          <w:sz w:val="24"/>
          <w:szCs w:val="24"/>
        </w:rPr>
        <w:t xml:space="preserve">Quotations can be revised multiple times before acceptance, with each revision tracked as a separate version linked to the original quote. The revision history captures what changed between versions, who made the changes, and when. Quotes exceeding a configurable discount threshold (e.g., more than 15% below standard price) require manager approval before being sent to the customer. The approval workflow routes the quote to the appropriate authority based on the total value and discount level, with email notifications to accelerate the review process.</w:t>
      </w:r>
    </w:p>
    <w:p>
      <w:pPr>
        <w:pStyle w:val="Heading3"/>
        <w:spacing w:after="120" w:before="240"/>
      </w:pPr>
      <w:bookmarkStart w:id="100065" w:name="_Toc100065"/>
      <w:r>
        <w:rPr>
          <w:rFonts w:ascii="Times New Roman" w:eastAsia="SimHei"/>
          <w:b/>
          <w:bCs/>
          <w:color w:val="1A2330"/>
          <w:sz w:val="24"/>
          <w:szCs w:val="24"/>
        </w:rPr>
        <w:t xml:space="preserve">Quote-to-Order Conversion</w:t>
      </w:r>
      <w:bookmarkEnd w:id="100065"/>
    </w:p>
    <w:p>
      <w:pPr>
        <w:spacing w:after="120" w:line="312"/>
        <w:jc w:val="both"/>
      </w:pPr>
      <w:r>
        <w:rPr>
          <w:rFonts w:ascii="Times New Roman" w:eastAsia="Microsoft YaHei"/>
          <w:color w:val="2C3E50"/>
          <w:sz w:val="24"/>
          <w:szCs w:val="24"/>
        </w:rPr>
        <w:t xml:space="preserve">When a customer accepts a quotation, it is converted to a confirmed sales order. The conversion process locks the quoted prices and terms, creates reserved stock allocations for the quoted items, and triggers the fulfillment workflow. If stock is insufficient at the quoting store, the system checks availability at other store locations and can initiate inter-store transfers to fulfill the order. The sales order serves as the bridge between the quotation and the final invoice, tracking delivery status, partial shipments, and any changes to the original quoted terms.</w:t>
      </w:r>
    </w:p>
    <w:p>
      <w:pPr>
        <w:pStyle w:val="Heading2"/>
        <w:spacing w:after="160" w:before="360"/>
      </w:pPr>
      <w:bookmarkStart w:id="100066" w:name="_Toc100066"/>
      <w:r>
        <w:rPr>
          <w:rFonts w:ascii="Times New Roman" w:eastAsia="SimHei"/>
          <w:b/>
          <w:bCs/>
          <w:color w:val="1A2330"/>
          <w:sz w:val="28"/>
          <w:szCs w:val="28"/>
        </w:rPr>
        <w:t xml:space="preserve">Invoice Generation</w:t>
      </w:r>
      <w:bookmarkEnd w:id="100066"/>
    </w:p>
    <w:p>
      <w:pPr>
        <w:spacing w:after="120" w:line="312"/>
        <w:jc w:val="both"/>
      </w:pPr>
      <w:r>
        <w:rPr>
          <w:rFonts w:ascii="Times New Roman" w:eastAsia="Microsoft YaHei"/>
          <w:color w:val="2C3E50"/>
          <w:sz w:val="24"/>
          <w:szCs w:val="24"/>
        </w:rPr>
        <w:t xml:space="preserve">Upon delivery and acceptance of goods, the system generates a tax-compliant invoice that includes all mandatory eTIMS fields. The invoice references the original quotation and sales order for traceability, and any deviations from the quoted terms (quantity differences, price adjustments, additional charges) are clearly documented. Invoices for credit customers are automatically posted to the Accounts Receivable module, while cash invoices are marked as paid upon generation. The system supports recurring invoicing for contract customers with scheduled deliveries, generating invoices automatically based on the contract schedule.</w:t>
      </w:r>
    </w:p>
    <w:p>
      <w:pPr>
        <w:pStyle w:val="Heading2"/>
        <w:spacing w:after="160" w:before="360"/>
      </w:pPr>
      <w:bookmarkStart w:id="100067" w:name="_Toc100067"/>
      <w:r>
        <w:rPr>
          <w:rFonts w:ascii="Times New Roman" w:eastAsia="SimHei"/>
          <w:b/>
          <w:bCs/>
          <w:color w:val="1A2330"/>
          <w:sz w:val="28"/>
          <w:szCs w:val="28"/>
        </w:rPr>
        <w:t xml:space="preserve">Business Rules</w:t>
      </w:r>
      <w:bookmarkEnd w:id="100067"/>
    </w:p>
    <w:p>
      <w:pPr>
        <w:pStyle w:val="ListParagraph"/>
        <w:numPr>
          <w:ilvl w:val="0"/>
          <w:numId w:val="1"/>
        </w:numPr>
        <w:spacing w:after="80" w:line="312"/>
      </w:pPr>
      <w:r>
        <w:rPr>
          <w:rFonts w:ascii="Times New Roman" w:eastAsia="Microsoft YaHei"/>
          <w:color w:val="2C3E50"/>
          <w:sz w:val="24"/>
          <w:szCs w:val="24"/>
        </w:rPr>
        <w:t xml:space="preserve">Quotation validity periods are enforced; expired quotes cannot be converted to orders without re-validation.</w:t>
      </w:r>
    </w:p>
    <w:p>
      <w:pPr>
        <w:pStyle w:val="ListParagraph"/>
        <w:numPr>
          <w:ilvl w:val="0"/>
          <w:numId w:val="1"/>
        </w:numPr>
        <w:spacing w:after="80" w:line="312"/>
      </w:pPr>
      <w:r>
        <w:rPr>
          <w:rFonts w:ascii="Times New Roman" w:eastAsia="Microsoft YaHei"/>
          <w:color w:val="2C3E50"/>
          <w:sz w:val="24"/>
          <w:szCs w:val="24"/>
        </w:rPr>
        <w:t xml:space="preserve">Price overrides on quotations exceeding the configured threshold require manager approval.</w:t>
      </w:r>
    </w:p>
    <w:p>
      <w:pPr>
        <w:pStyle w:val="ListParagraph"/>
        <w:numPr>
          <w:ilvl w:val="0"/>
          <w:numId w:val="1"/>
        </w:numPr>
        <w:spacing w:after="80" w:line="312"/>
      </w:pPr>
      <w:r>
        <w:rPr>
          <w:rFonts w:ascii="Times New Roman" w:eastAsia="Microsoft YaHei"/>
          <w:color w:val="2C3E50"/>
          <w:sz w:val="24"/>
          <w:szCs w:val="24"/>
        </w:rPr>
        <w:t xml:space="preserve">Reserved stock for confirmed orders is excluded from available stock at POS to prevent overselling.</w:t>
      </w:r>
    </w:p>
    <w:p>
      <w:pPr>
        <w:pStyle w:val="ListParagraph"/>
        <w:numPr>
          <w:ilvl w:val="0"/>
          <w:numId w:val="1"/>
        </w:numPr>
        <w:spacing w:after="80" w:line="312"/>
      </w:pPr>
      <w:r>
        <w:rPr>
          <w:rFonts w:ascii="Times New Roman" w:eastAsia="Microsoft YaHei"/>
          <w:color w:val="2C3E50"/>
          <w:sz w:val="24"/>
          <w:szCs w:val="24"/>
        </w:rPr>
        <w:t xml:space="preserve">Invoices cannot be generated for sales orders with incomplete delivery records.</w:t>
      </w:r>
    </w:p>
    <w:p>
      <w:pPr>
        <w:pStyle w:val="ListParagraph"/>
        <w:numPr>
          <w:ilvl w:val="0"/>
          <w:numId w:val="1"/>
        </w:numPr>
        <w:spacing w:after="80" w:line="312"/>
      </w:pPr>
      <w:r>
        <w:rPr>
          <w:rFonts w:ascii="Times New Roman" w:eastAsia="Microsoft YaHei"/>
          <w:color w:val="2C3E50"/>
          <w:sz w:val="24"/>
          <w:szCs w:val="24"/>
        </w:rPr>
        <w:t xml:space="preserve">All eTIMS-compliant invoices are immutable after generation; corrections require credit notes and re-invoicing.</w:t>
      </w:r>
    </w:p>
    <w:p>
      <w:pPr>
        <w:pStyle w:val="Heading1"/>
        <w:spacing w:after="200" w:before="480"/>
      </w:pPr>
      <w:bookmarkStart w:id="100068" w:name="_Toc100068"/>
      <w:r>
        <w:rPr>
          <w:rFonts w:ascii="Times New Roman" w:eastAsia="SimHei"/>
          <w:b/>
          <w:bCs/>
          <w:color w:val="1A2330"/>
          <w:sz w:val="32"/>
          <w:szCs w:val="32"/>
        </w:rPr>
        <w:t xml:space="preserve">Module 8: Tax Management (eTIMS/TIMS)</w:t>
      </w:r>
      <w:bookmarkEnd w:id="100068"/>
    </w:p>
    <w:p>
      <w:pPr>
        <w:pStyle w:val="Heading2"/>
        <w:spacing w:after="160" w:before="360"/>
      </w:pPr>
      <w:bookmarkStart w:id="100069" w:name="_Toc100069"/>
      <w:r>
        <w:rPr>
          <w:rFonts w:ascii="Times New Roman" w:eastAsia="SimHei"/>
          <w:b/>
          <w:bCs/>
          <w:color w:val="1A2330"/>
          <w:sz w:val="28"/>
          <w:szCs w:val="28"/>
        </w:rPr>
        <w:t xml:space="preserve">Overview</w:t>
      </w:r>
      <w:bookmarkEnd w:id="100069"/>
    </w:p>
    <w:p>
      <w:pPr>
        <w:spacing w:after="120" w:line="312"/>
        <w:jc w:val="both"/>
      </w:pPr>
      <w:r>
        <w:rPr>
          <w:rFonts w:ascii="Times New Roman" w:eastAsia="Microsoft YaHei"/>
          <w:color w:val="2C3E50"/>
          <w:sz w:val="24"/>
          <w:szCs w:val="24"/>
        </w:rPr>
        <w:t xml:space="preserve">The Tax Management module is one of the most critical components of the system, ensuring complete compliance with Kenya Revenue Authority regulations including the electronic Tax Invoice Management System (eTIMS) and the earlier Tax Invoice Management System (TIMS). The Kenya tax landscape for hardware retailers involves multiple tax types and rates: Value Added Tax (VAT) at 16% (standard rate), 8% (reduced rate for certain items), and 0% (zero-rated exports), as well as withholding tax on certain supplier payments. This module automates tax calculations, generates compliant invoices and credit notes, manages tax returns, and integrates with the KRA eTIMS API for real-time invoice validation and submission.</w:t>
      </w:r>
    </w:p>
    <w:p>
      <w:pPr>
        <w:pStyle w:val="Heading2"/>
        <w:spacing w:after="160" w:before="360"/>
      </w:pPr>
      <w:bookmarkStart w:id="100070" w:name="_Toc100070"/>
      <w:r>
        <w:rPr>
          <w:rFonts w:ascii="Times New Roman" w:eastAsia="SimHei"/>
          <w:b/>
          <w:bCs/>
          <w:color w:val="1A2330"/>
          <w:sz w:val="28"/>
          <w:szCs w:val="28"/>
        </w:rPr>
        <w:t xml:space="preserve">Tax Configuration</w:t>
      </w:r>
      <w:bookmarkEnd w:id="100070"/>
    </w:p>
    <w:p>
      <w:pPr>
        <w:pStyle w:val="Heading3"/>
        <w:spacing w:after="120" w:before="240"/>
      </w:pPr>
      <w:bookmarkStart w:id="100071" w:name="_Toc100071"/>
      <w:r>
        <w:rPr>
          <w:rFonts w:ascii="Times New Roman" w:eastAsia="SimHei"/>
          <w:b/>
          <w:bCs/>
          <w:color w:val="1A2330"/>
          <w:sz w:val="24"/>
          <w:szCs w:val="24"/>
        </w:rPr>
        <w:t xml:space="preserve">Tax Categories and Rates</w:t>
      </w:r>
      <w:bookmarkEnd w:id="10007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2%"/>
            <w:shd w:fill="D4875A" w:val="clear"/>
            <w:tcMar>
              <w:top w:type="dxa" w:w="60"/>
              <w:left w:type="dxa" w:w="120"/>
              <w:bottom w:type="dxa" w:w="60"/>
              <w:right w:type="dxa" w:w="120"/>
            </w:tcMar>
          </w:tcPr>
          <w:p>
            <w:r>
              <w:rPr>
                <w:rFonts w:ascii="Times New Roman" w:eastAsia="SimHei"/>
                <w:b/>
                <w:bCs/>
                <w:color w:val="FFFFFF"/>
                <w:sz w:val="21"/>
                <w:szCs w:val="21"/>
              </w:rPr>
              <w:t xml:space="preserve">Category</w:t>
            </w:r>
          </w:p>
        </w:tc>
        <w:tc>
          <w:tcPr>
            <w:tcW w:type="pct" w:w="12%"/>
            <w:shd w:fill="D4875A" w:val="clear"/>
            <w:tcMar>
              <w:top w:type="dxa" w:w="60"/>
              <w:left w:type="dxa" w:w="120"/>
              <w:bottom w:type="dxa" w:w="60"/>
              <w:right w:type="dxa" w:w="120"/>
            </w:tcMar>
          </w:tcPr>
          <w:p>
            <w:r>
              <w:rPr>
                <w:rFonts w:ascii="Times New Roman" w:eastAsia="SimHei"/>
                <w:b/>
                <w:bCs/>
                <w:color w:val="FFFFFF"/>
                <w:sz w:val="21"/>
                <w:szCs w:val="21"/>
              </w:rPr>
              <w:t xml:space="preserve">Rate</w:t>
            </w:r>
          </w:p>
        </w:tc>
        <w:tc>
          <w:tcPr>
            <w:tcW w:type="pct" w:w="38%"/>
            <w:shd w:fill="D4875A" w:val="clear"/>
            <w:tcMar>
              <w:top w:type="dxa" w:w="60"/>
              <w:left w:type="dxa" w:w="120"/>
              <w:bottom w:type="dxa" w:w="60"/>
              <w:right w:type="dxa" w:w="120"/>
            </w:tcMar>
          </w:tcPr>
          <w:p>
            <w:r>
              <w:rPr>
                <w:rFonts w:ascii="Times New Roman" w:eastAsia="SimHei"/>
                <w:b/>
                <w:bCs/>
                <w:color w:val="FFFFFF"/>
                <w:sz w:val="21"/>
                <w:szCs w:val="21"/>
              </w:rPr>
              <w:t xml:space="preserve">Applicable Products</w:t>
            </w:r>
          </w:p>
        </w:tc>
        <w:tc>
          <w:tcPr>
            <w:tcW w:type="pct" w:w="28%"/>
            <w:shd w:fill="D4875A" w:val="clear"/>
            <w:tcMar>
              <w:top w:type="dxa" w:w="60"/>
              <w:left w:type="dxa" w:w="120"/>
              <w:bottom w:type="dxa" w:w="60"/>
              <w:right w:type="dxa" w:w="120"/>
            </w:tcMar>
          </w:tcPr>
          <w:p>
            <w:r>
              <w:rPr>
                <w:rFonts w:ascii="Times New Roman" w:eastAsia="SimHei"/>
                <w:b/>
                <w:bCs/>
                <w:color w:val="FFFFFF"/>
                <w:sz w:val="21"/>
                <w:szCs w:val="21"/>
              </w:rPr>
              <w:t xml:space="preserve">eTIMS Code</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Standard VAT</w:t>
            </w:r>
          </w:p>
        </w:tc>
        <w:tc>
          <w:tcPr>
            <w:tcW w:type="pct" w:w="12%"/>
            <w:shd w:fill="F8F0EB" w:val="clear"/>
            <w:tcMar>
              <w:top w:type="dxa" w:w="60"/>
              <w:left w:type="dxa" w:w="120"/>
              <w:bottom w:type="dxa" w:w="60"/>
              <w:right w:type="dxa" w:w="120"/>
            </w:tcMar>
          </w:tcPr>
          <w:p>
            <w:r>
              <w:rPr>
                <w:rFonts w:ascii="Times New Roman" w:eastAsia="Microsoft YaHei"/>
                <w:color w:val="2C3E50"/>
                <w:sz w:val="21"/>
                <w:szCs w:val="21"/>
              </w:rPr>
              <w:t xml:space="preserve">16%</w:t>
            </w:r>
          </w:p>
        </w:tc>
        <w:tc>
          <w:tcPr>
            <w:tcW w:type="pct" w:w="38%"/>
            <w:shd w:fill="F8F0EB" w:val="clear"/>
            <w:tcMar>
              <w:top w:type="dxa" w:w="60"/>
              <w:left w:type="dxa" w:w="120"/>
              <w:bottom w:type="dxa" w:w="60"/>
              <w:right w:type="dxa" w:w="120"/>
            </w:tcMar>
          </w:tcPr>
          <w:p>
            <w:r>
              <w:rPr>
                <w:rFonts w:ascii="Times New Roman" w:eastAsia="Microsoft YaHei"/>
                <w:color w:val="2C3E50"/>
                <w:sz w:val="21"/>
                <w:szCs w:val="21"/>
              </w:rPr>
              <w:t xml:space="preserve">Most hardware goods, tools, fixtures</w:t>
            </w:r>
          </w:p>
        </w:tc>
        <w:tc>
          <w:tcPr>
            <w:tcW w:type="pct" w:w="28%"/>
            <w:shd w:fill="F8F0EB" w:val="clear"/>
            <w:tcMar>
              <w:top w:type="dxa" w:w="60"/>
              <w:left w:type="dxa" w:w="120"/>
              <w:bottom w:type="dxa" w:w="60"/>
              <w:right w:type="dxa" w:w="120"/>
            </w:tcMar>
          </w:tcPr>
          <w:p>
            <w:r>
              <w:rPr>
                <w:rFonts w:ascii="Times New Roman" w:eastAsia="Microsoft YaHei"/>
                <w:color w:val="2C3E50"/>
                <w:sz w:val="21"/>
                <w:szCs w:val="21"/>
              </w:rPr>
              <w:t xml:space="preserve">VAT-16</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Reduced VAT</w:t>
            </w:r>
          </w:p>
        </w:tc>
        <w:tc>
          <w:tcPr>
            <w:tcW w:type="pct" w:w="12%"/>
            <w:shd w:fill="FFFFFF" w:val="clear"/>
            <w:tcMar>
              <w:top w:type="dxa" w:w="60"/>
              <w:left w:type="dxa" w:w="120"/>
              <w:bottom w:type="dxa" w:w="60"/>
              <w:right w:type="dxa" w:w="120"/>
            </w:tcMar>
          </w:tcPr>
          <w:p>
            <w:r>
              <w:rPr>
                <w:rFonts w:ascii="Times New Roman" w:eastAsia="Microsoft YaHei"/>
                <w:color w:val="2C3E50"/>
                <w:sz w:val="21"/>
                <w:szCs w:val="21"/>
              </w:rPr>
              <w:t xml:space="preserve">8%</w:t>
            </w:r>
          </w:p>
        </w:tc>
        <w:tc>
          <w:tcPr>
            <w:tcW w:type="pct" w:w="38%"/>
            <w:shd w:fill="FFFFFF" w:val="clear"/>
            <w:tcMar>
              <w:top w:type="dxa" w:w="60"/>
              <w:left w:type="dxa" w:w="120"/>
              <w:bottom w:type="dxa" w:w="60"/>
              <w:right w:type="dxa" w:w="120"/>
            </w:tcMar>
          </w:tcPr>
          <w:p>
            <w:r>
              <w:rPr>
                <w:rFonts w:ascii="Times New Roman" w:eastAsia="Microsoft YaHei"/>
                <w:color w:val="2C3E50"/>
                <w:sz w:val="21"/>
                <w:szCs w:val="21"/>
              </w:rPr>
              <w:t xml:space="preserve">Certain building materials as gazetted</w:t>
            </w:r>
          </w:p>
        </w:tc>
        <w:tc>
          <w:tcPr>
            <w:tcW w:type="pct" w:w="28%"/>
            <w:shd w:fill="FFFFFF" w:val="clear"/>
            <w:tcMar>
              <w:top w:type="dxa" w:w="60"/>
              <w:left w:type="dxa" w:w="120"/>
              <w:bottom w:type="dxa" w:w="60"/>
              <w:right w:type="dxa" w:w="120"/>
            </w:tcMar>
          </w:tcPr>
          <w:p>
            <w:r>
              <w:rPr>
                <w:rFonts w:ascii="Times New Roman" w:eastAsia="Microsoft YaHei"/>
                <w:color w:val="2C3E50"/>
                <w:sz w:val="21"/>
                <w:szCs w:val="21"/>
              </w:rPr>
              <w:t xml:space="preserve">VAT-8</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Zero-Rated</w:t>
            </w:r>
          </w:p>
        </w:tc>
        <w:tc>
          <w:tcPr>
            <w:tcW w:type="pct" w:w="12%"/>
            <w:shd w:fill="F8F0EB" w:val="clear"/>
            <w:tcMar>
              <w:top w:type="dxa" w:w="60"/>
              <w:left w:type="dxa" w:w="120"/>
              <w:bottom w:type="dxa" w:w="60"/>
              <w:right w:type="dxa" w:w="120"/>
            </w:tcMar>
          </w:tcPr>
          <w:p>
            <w:r>
              <w:rPr>
                <w:rFonts w:ascii="Times New Roman" w:eastAsia="Microsoft YaHei"/>
                <w:color w:val="2C3E50"/>
                <w:sz w:val="21"/>
                <w:szCs w:val="21"/>
              </w:rPr>
              <w:t xml:space="preserve">0%</w:t>
            </w:r>
          </w:p>
        </w:tc>
        <w:tc>
          <w:tcPr>
            <w:tcW w:type="pct" w:w="38%"/>
            <w:shd w:fill="F8F0EB" w:val="clear"/>
            <w:tcMar>
              <w:top w:type="dxa" w:w="60"/>
              <w:left w:type="dxa" w:w="120"/>
              <w:bottom w:type="dxa" w:w="60"/>
              <w:right w:type="dxa" w:w="120"/>
            </w:tcMar>
          </w:tcPr>
          <w:p>
            <w:r>
              <w:rPr>
                <w:rFonts w:ascii="Times New Roman" w:eastAsia="Microsoft YaHei"/>
                <w:color w:val="2C3E50"/>
                <w:sz w:val="21"/>
                <w:szCs w:val="21"/>
              </w:rPr>
              <w:t xml:space="preserve">Export sales, specific agricultural inputs</w:t>
            </w:r>
          </w:p>
        </w:tc>
        <w:tc>
          <w:tcPr>
            <w:tcW w:type="pct" w:w="28%"/>
            <w:shd w:fill="F8F0EB" w:val="clear"/>
            <w:tcMar>
              <w:top w:type="dxa" w:w="60"/>
              <w:left w:type="dxa" w:w="120"/>
              <w:bottom w:type="dxa" w:w="60"/>
              <w:right w:type="dxa" w:w="120"/>
            </w:tcMar>
          </w:tcPr>
          <w:p>
            <w:r>
              <w:rPr>
                <w:rFonts w:ascii="Times New Roman" w:eastAsia="Microsoft YaHei"/>
                <w:color w:val="2C3E50"/>
                <w:sz w:val="21"/>
                <w:szCs w:val="21"/>
              </w:rPr>
              <w:t xml:space="preserve">VAT-0</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Exempt</w:t>
            </w:r>
          </w:p>
        </w:tc>
        <w:tc>
          <w:tcPr>
            <w:tcW w:type="pct" w:w="12%"/>
            <w:shd w:fill="FFFFFF" w:val="clear"/>
            <w:tcMar>
              <w:top w:type="dxa" w:w="60"/>
              <w:left w:type="dxa" w:w="120"/>
              <w:bottom w:type="dxa" w:w="60"/>
              <w:right w:type="dxa" w:w="120"/>
            </w:tcMar>
          </w:tcPr>
          <w:p>
            <w:r>
              <w:rPr>
                <w:rFonts w:ascii="Times New Roman" w:eastAsia="Microsoft YaHei"/>
                <w:color w:val="2C3E50"/>
                <w:sz w:val="21"/>
                <w:szCs w:val="21"/>
              </w:rPr>
              <w:t xml:space="preserve">N/A</w:t>
            </w:r>
          </w:p>
        </w:tc>
        <w:tc>
          <w:tcPr>
            <w:tcW w:type="pct" w:w="38%"/>
            <w:shd w:fill="FFFFFF" w:val="clear"/>
            <w:tcMar>
              <w:top w:type="dxa" w:w="60"/>
              <w:left w:type="dxa" w:w="120"/>
              <w:bottom w:type="dxa" w:w="60"/>
              <w:right w:type="dxa" w:w="120"/>
            </w:tcMar>
          </w:tcPr>
          <w:p>
            <w:r>
              <w:rPr>
                <w:rFonts w:ascii="Times New Roman" w:eastAsia="Microsoft YaHei"/>
                <w:color w:val="2C3E50"/>
                <w:sz w:val="21"/>
                <w:szCs w:val="21"/>
              </w:rPr>
              <w:t xml:space="preserve">Exempt supplies per VAT Act Schedule</w:t>
            </w:r>
          </w:p>
        </w:tc>
        <w:tc>
          <w:tcPr>
            <w:tcW w:type="pct" w:w="28%"/>
            <w:shd w:fill="FFFFFF" w:val="clear"/>
            <w:tcMar>
              <w:top w:type="dxa" w:w="60"/>
              <w:left w:type="dxa" w:w="120"/>
              <w:bottom w:type="dxa" w:w="60"/>
              <w:right w:type="dxa" w:w="120"/>
            </w:tcMar>
          </w:tcPr>
          <w:p>
            <w:r>
              <w:rPr>
                <w:rFonts w:ascii="Times New Roman" w:eastAsia="Microsoft YaHei"/>
                <w:color w:val="2C3E50"/>
                <w:sz w:val="21"/>
                <w:szCs w:val="21"/>
              </w:rPr>
              <w:t xml:space="preserve">EXEMPT</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Withholding Tax (WHT)</w:t>
            </w:r>
          </w:p>
        </w:tc>
        <w:tc>
          <w:tcPr>
            <w:tcW w:type="pct" w:w="12%"/>
            <w:shd w:fill="F8F0EB" w:val="clear"/>
            <w:tcMar>
              <w:top w:type="dxa" w:w="60"/>
              <w:left w:type="dxa" w:w="120"/>
              <w:bottom w:type="dxa" w:w="60"/>
              <w:right w:type="dxa" w:w="120"/>
            </w:tcMar>
          </w:tcPr>
          <w:p>
            <w:r>
              <w:rPr>
                <w:rFonts w:ascii="Times New Roman" w:eastAsia="Microsoft YaHei"/>
                <w:color w:val="2C3E50"/>
                <w:sz w:val="21"/>
                <w:szCs w:val="21"/>
              </w:rPr>
              <w:t xml:space="preserve">5% / 3%</w:t>
            </w:r>
          </w:p>
        </w:tc>
        <w:tc>
          <w:tcPr>
            <w:tcW w:type="pct" w:w="38%"/>
            <w:shd w:fill="F8F0EB" w:val="clear"/>
            <w:tcMar>
              <w:top w:type="dxa" w:w="60"/>
              <w:left w:type="dxa" w:w="120"/>
              <w:bottom w:type="dxa" w:w="60"/>
              <w:right w:type="dxa" w:w="120"/>
            </w:tcMar>
          </w:tcPr>
          <w:p>
            <w:r>
              <w:rPr>
                <w:rFonts w:ascii="Times New Roman" w:eastAsia="Microsoft YaHei"/>
                <w:color w:val="2C3E50"/>
                <w:sz w:val="21"/>
                <w:szCs w:val="21"/>
              </w:rPr>
              <w:t xml:space="preserve">Qualifying supplier payments</w:t>
            </w:r>
          </w:p>
        </w:tc>
        <w:tc>
          <w:tcPr>
            <w:tcW w:type="pct" w:w="28%"/>
            <w:shd w:fill="F8F0EB" w:val="clear"/>
            <w:tcMar>
              <w:top w:type="dxa" w:w="60"/>
              <w:left w:type="dxa" w:w="120"/>
              <w:bottom w:type="dxa" w:w="60"/>
              <w:right w:type="dxa" w:w="120"/>
            </w:tcMar>
          </w:tcPr>
          <w:p>
            <w:r>
              <w:rPr>
                <w:rFonts w:ascii="Times New Roman" w:eastAsia="Microsoft YaHei"/>
                <w:color w:val="2C3E50"/>
                <w:sz w:val="21"/>
                <w:szCs w:val="21"/>
              </w:rPr>
              <w:t xml:space="preserve">WHT-5 / WHT-3</w:t>
            </w:r>
          </w:p>
        </w:tc>
      </w:tr>
    </w:tbl>
    <w:p>
      <w:pPr>
        <w:spacing w:after="200" w:before="80"/>
        <w:jc w:val="center"/>
      </w:pPr>
      <w:r>
        <w:rPr>
          <w:rFonts w:ascii="Times New Roman" w:eastAsia="Microsoft YaHei"/>
          <w:i/>
          <w:iCs/>
          <w:color w:val="607080"/>
          <w:sz w:val="20"/>
          <w:szCs w:val="20"/>
        </w:rPr>
        <w:t xml:space="preserve">Table 8: Tax Categories and Applicable Rates</w:t>
      </w:r>
    </w:p>
    <w:p>
      <w:pPr>
        <w:pStyle w:val="Heading3"/>
        <w:spacing w:after="120" w:before="240"/>
      </w:pPr>
      <w:bookmarkStart w:id="100072" w:name="_Toc100072"/>
      <w:r>
        <w:rPr>
          <w:rFonts w:ascii="Times New Roman" w:eastAsia="SimHei"/>
          <w:b/>
          <w:bCs/>
          <w:color w:val="1A2330"/>
          <w:sz w:val="24"/>
          <w:szCs w:val="24"/>
        </w:rPr>
        <w:t xml:space="preserve">Tax Mapping</w:t>
      </w:r>
      <w:bookmarkEnd w:id="100072"/>
    </w:p>
    <w:p>
      <w:pPr>
        <w:spacing w:after="120" w:line="312"/>
        <w:jc w:val="both"/>
      </w:pPr>
      <w:r>
        <w:rPr>
          <w:rFonts w:ascii="Times New Roman" w:eastAsia="Microsoft YaHei"/>
          <w:color w:val="2C3E50"/>
          <w:sz w:val="24"/>
          <w:szCs w:val="24"/>
        </w:rPr>
        <w:t xml:space="preserve">Each product is assigned a tax category that determines the applicable VAT rate for sales and purchases. The tax mapping is hierarchical: product-level assignments override category-level defaults, which in turn override system-level defaults. This hierarchy allows fine-grained control where specific products have different tax treatments than their category peers, such as when a KRA gazette notice changes the VAT rate for a particular item. Tax category changes are versioned with effective dates, ensuring that historical transactions retain their original tax treatment while new transactions apply the updated rates automatically.</w:t>
      </w:r>
    </w:p>
    <w:p>
      <w:pPr>
        <w:pStyle w:val="Heading2"/>
        <w:spacing w:after="160" w:before="360"/>
      </w:pPr>
      <w:bookmarkStart w:id="100073" w:name="_Toc100073"/>
      <w:r>
        <w:rPr>
          <w:rFonts w:ascii="Times New Roman" w:eastAsia="SimHei"/>
          <w:b/>
          <w:bCs/>
          <w:color w:val="1A2330"/>
          <w:sz w:val="28"/>
          <w:szCs w:val="28"/>
        </w:rPr>
        <w:t xml:space="preserve">eTIMS Integration</w:t>
      </w:r>
      <w:bookmarkEnd w:id="100073"/>
    </w:p>
    <w:p>
      <w:pPr>
        <w:pStyle w:val="Heading3"/>
        <w:spacing w:after="120" w:before="240"/>
      </w:pPr>
      <w:bookmarkStart w:id="100074" w:name="_Toc100074"/>
      <w:r>
        <w:rPr>
          <w:rFonts w:ascii="Times New Roman" w:eastAsia="SimHei"/>
          <w:b/>
          <w:bCs/>
          <w:color w:val="1A2330"/>
          <w:sz w:val="24"/>
          <w:szCs w:val="24"/>
        </w:rPr>
        <w:t xml:space="preserve">Invoice Submission</w:t>
      </w:r>
      <w:bookmarkEnd w:id="100074"/>
    </w:p>
    <w:p>
      <w:pPr>
        <w:spacing w:after="120" w:line="312"/>
        <w:jc w:val="both"/>
      </w:pPr>
      <w:r>
        <w:rPr>
          <w:rFonts w:ascii="Times New Roman" w:eastAsia="Microsoft YaHei"/>
          <w:color w:val="2C3E50"/>
          <w:sz w:val="24"/>
          <w:szCs w:val="24"/>
        </w:rPr>
        <w:t xml:space="preserve">Every sales invoice generated by the system is submitted to the KRA eTIMS API in real-time (when connectivity is available) or queued for batch submission when offline. The eTIMS API validates the invoice data, assigns a unique invoice number (the eTIMS reference), and returns a digital signature that is stored with the invoice record. This signature serves as proof that the invoice was submitted to KRA and is displayed on the printed and electronic receipt. The system supports both the eTIMS REST API for direct integration and the eTIMS SD (Supplier Device) for scenarios where the retailer prefers to use a dedicated hardware device for invoice signing.</w:t>
      </w:r>
    </w:p>
    <w:p>
      <w:pPr>
        <w:pStyle w:val="Heading3"/>
        <w:spacing w:after="120" w:before="240"/>
      </w:pPr>
      <w:bookmarkStart w:id="100075" w:name="_Toc100075"/>
      <w:r>
        <w:rPr>
          <w:rFonts w:ascii="Times New Roman" w:eastAsia="SimHei"/>
          <w:b/>
          <w:bCs/>
          <w:color w:val="1A2330"/>
          <w:sz w:val="24"/>
          <w:szCs w:val="24"/>
        </w:rPr>
        <w:t xml:space="preserve">Credit Notes and Refunds</w:t>
      </w:r>
      <w:bookmarkEnd w:id="100075"/>
    </w:p>
    <w:p>
      <w:pPr>
        <w:spacing w:after="120" w:line="312"/>
        <w:jc w:val="both"/>
      </w:pPr>
      <w:r>
        <w:rPr>
          <w:rFonts w:ascii="Times New Roman" w:eastAsia="Microsoft YaHei"/>
          <w:color w:val="2C3E50"/>
          <w:sz w:val="24"/>
          <w:szCs w:val="24"/>
        </w:rPr>
        <w:t xml:space="preserve">Credit notes for returned goods or price adjustments are also submitted to eTIMS, referencing the original invoice number. The eTIMS system validates that the credit note does not exceed the original invoice amount and tracks the net tax liability. The system generates credit notes automatically for full refunds and supports manual credit note creation for partial refunds or price adjustments. All credit notes include the same mandatory fields as invoices and carry their own eTIMS reference numbers.</w:t>
      </w:r>
    </w:p>
    <w:p>
      <w:pPr>
        <w:pStyle w:val="Heading3"/>
        <w:spacing w:after="120" w:before="240"/>
      </w:pPr>
      <w:bookmarkStart w:id="100076" w:name="_Toc100076"/>
      <w:r>
        <w:rPr>
          <w:rFonts w:ascii="Times New Roman" w:eastAsia="SimHei"/>
          <w:b/>
          <w:bCs/>
          <w:color w:val="1A2330"/>
          <w:sz w:val="24"/>
          <w:szCs w:val="24"/>
        </w:rPr>
        <w:t xml:space="preserve">Offline eTIMS Handling</w:t>
      </w:r>
      <w:bookmarkEnd w:id="100076"/>
    </w:p>
    <w:p>
      <w:pPr>
        <w:spacing w:after="120" w:line="312"/>
        <w:jc w:val="both"/>
      </w:pPr>
      <w:r>
        <w:rPr>
          <w:rFonts w:ascii="Times New Roman" w:eastAsia="Microsoft YaHei"/>
          <w:color w:val="2C3E50"/>
          <w:sz w:val="24"/>
          <w:szCs w:val="24"/>
        </w:rPr>
        <w:t xml:space="preserve">When the store is operating offline, invoices are generated with a local temporary invoice number and queued for eTIMS submission. The system maintains a submission queue that processes invoices in chronological order when connectivity is restored. Invoices that fail eTIMS validation (e.g., due to data format errors or duplicate submissions) are moved to an error queue with detailed error messages for manual resolution. The system provides a dashboard showing the current sync status, pending submissions, and any validation errors that require attention.</w:t>
      </w:r>
    </w:p>
    <w:p>
      <w:pPr>
        <w:pStyle w:val="Heading2"/>
        <w:spacing w:after="160" w:before="360"/>
      </w:pPr>
      <w:bookmarkStart w:id="100077" w:name="_Toc100077"/>
      <w:r>
        <w:rPr>
          <w:rFonts w:ascii="Times New Roman" w:eastAsia="SimHei"/>
          <w:b/>
          <w:bCs/>
          <w:color w:val="1A2330"/>
          <w:sz w:val="28"/>
          <w:szCs w:val="28"/>
        </w:rPr>
        <w:t xml:space="preserve">Tax Reporting</w:t>
      </w:r>
      <w:bookmarkEnd w:id="100077"/>
    </w:p>
    <w:p>
      <w:pPr>
        <w:spacing w:after="120" w:line="312"/>
        <w:jc w:val="both"/>
      </w:pPr>
      <w:r>
        <w:rPr>
          <w:rFonts w:ascii="Times New Roman" w:eastAsia="Microsoft YaHei"/>
          <w:color w:val="2C3E50"/>
          <w:sz w:val="24"/>
          <w:szCs w:val="24"/>
        </w:rPr>
        <w:t xml:space="preserve">The module generates all statutory tax reports required by KRA, including the VAT return (Form VAT 3), withholding tax certificates, and tax computation schedules. Reports can be generated for any period and filtered by store or across all locations. The VAT return automatically aggregates all taxable sales, input tax from purchases, and adjustments to calculate the net VAT payable or refundable. The system also generates the purchase and sales registers required for KRA audits, with full transaction detail linking each line to the underlying invoice or receipt.</w:t>
      </w:r>
    </w:p>
    <w:p>
      <w:pPr>
        <w:pStyle w:val="Heading2"/>
        <w:spacing w:after="160" w:before="360"/>
      </w:pPr>
      <w:bookmarkStart w:id="100078" w:name="_Toc100078"/>
      <w:r>
        <w:rPr>
          <w:rFonts w:ascii="Times New Roman" w:eastAsia="SimHei"/>
          <w:b/>
          <w:bCs/>
          <w:color w:val="1A2330"/>
          <w:sz w:val="28"/>
          <w:szCs w:val="28"/>
        </w:rPr>
        <w:t xml:space="preserve">Business Rules</w:t>
      </w:r>
      <w:bookmarkEnd w:id="100078"/>
    </w:p>
    <w:p>
      <w:pPr>
        <w:pStyle w:val="ListParagraph"/>
        <w:numPr>
          <w:ilvl w:val="0"/>
          <w:numId w:val="1"/>
        </w:numPr>
        <w:spacing w:after="80" w:line="312"/>
      </w:pPr>
      <w:r>
        <w:rPr>
          <w:rFonts w:ascii="Times New Roman" w:eastAsia="Microsoft YaHei"/>
          <w:color w:val="2C3E50"/>
          <w:sz w:val="24"/>
          <w:szCs w:val="24"/>
        </w:rPr>
        <w:t xml:space="preserve">All sales invoices must be submitted to eTIMS within 24 hours of generation; late submissions trigger compliance alerts.</w:t>
      </w:r>
    </w:p>
    <w:p>
      <w:pPr>
        <w:pStyle w:val="ListParagraph"/>
        <w:numPr>
          <w:ilvl w:val="0"/>
          <w:numId w:val="1"/>
        </w:numPr>
        <w:spacing w:after="80" w:line="312"/>
      </w:pPr>
      <w:r>
        <w:rPr>
          <w:rFonts w:ascii="Times New Roman" w:eastAsia="Microsoft YaHei"/>
          <w:color w:val="2C3E50"/>
          <w:sz w:val="24"/>
          <w:szCs w:val="24"/>
        </w:rPr>
        <w:t xml:space="preserve">Credit notes cannot exceed the value of the referenced original invoice.</w:t>
      </w:r>
    </w:p>
    <w:p>
      <w:pPr>
        <w:pStyle w:val="ListParagraph"/>
        <w:numPr>
          <w:ilvl w:val="0"/>
          <w:numId w:val="1"/>
        </w:numPr>
        <w:spacing w:after="80" w:line="312"/>
      </w:pPr>
      <w:r>
        <w:rPr>
          <w:rFonts w:ascii="Times New Roman" w:eastAsia="Microsoft YaHei"/>
          <w:color w:val="2C3E50"/>
          <w:sz w:val="24"/>
          <w:szCs w:val="24"/>
        </w:rPr>
        <w:t xml:space="preserve">Tax category changes take effect from the configured effective date and do not retroactively affect existing transactions.</w:t>
      </w:r>
    </w:p>
    <w:p>
      <w:pPr>
        <w:pStyle w:val="ListParagraph"/>
        <w:numPr>
          <w:ilvl w:val="0"/>
          <w:numId w:val="1"/>
        </w:numPr>
        <w:spacing w:after="80" w:line="312"/>
      </w:pPr>
      <w:r>
        <w:rPr>
          <w:rFonts w:ascii="Times New Roman" w:eastAsia="Microsoft YaHei"/>
          <w:color w:val="2C3E50"/>
          <w:sz w:val="24"/>
          <w:szCs w:val="24"/>
        </w:rPr>
        <w:t xml:space="preserve">Withholding tax is automatically deducted from qualifying supplier payments based on the supplier's tax status and the product category.</w:t>
      </w:r>
    </w:p>
    <w:p>
      <w:pPr>
        <w:pStyle w:val="ListParagraph"/>
        <w:numPr>
          <w:ilvl w:val="0"/>
          <w:numId w:val="1"/>
        </w:numPr>
        <w:spacing w:after="80" w:line="312"/>
      </w:pPr>
      <w:r>
        <w:rPr>
          <w:rFonts w:ascii="Times New Roman" w:eastAsia="Microsoft YaHei"/>
          <w:color w:val="2C3E50"/>
          <w:sz w:val="24"/>
          <w:szCs w:val="24"/>
        </w:rPr>
        <w:t xml:space="preserve">The system performs a daily reconciliation of eTIMS submissions against generated invoices to identify any gaps.</w:t>
      </w:r>
    </w:p>
    <w:p>
      <w:pPr>
        <w:pStyle w:val="ListParagraph"/>
        <w:numPr>
          <w:ilvl w:val="0"/>
          <w:numId w:val="1"/>
        </w:numPr>
        <w:spacing w:after="80" w:line="312"/>
      </w:pPr>
      <w:r>
        <w:rPr>
          <w:rFonts w:ascii="Times New Roman" w:eastAsia="Microsoft YaHei"/>
          <w:color w:val="2C3E50"/>
          <w:sz w:val="24"/>
          <w:szCs w:val="24"/>
        </w:rPr>
        <w:t xml:space="preserve">All tax reports are immutable once generated and retained for the statutory minimum of 7 years.</w:t>
      </w:r>
    </w:p>
    <w:p>
      <w:pPr>
        <w:pStyle w:val="Heading1"/>
        <w:spacing w:after="200" w:before="480"/>
      </w:pPr>
      <w:bookmarkStart w:id="100079" w:name="_Toc100079"/>
      <w:r>
        <w:rPr>
          <w:rFonts w:ascii="Times New Roman" w:eastAsia="SimHei"/>
          <w:b/>
          <w:bCs/>
          <w:color w:val="1A2330"/>
          <w:sz w:val="32"/>
          <w:szCs w:val="32"/>
        </w:rPr>
        <w:t xml:space="preserve">Module 9: Expense Management</w:t>
      </w:r>
      <w:bookmarkEnd w:id="100079"/>
    </w:p>
    <w:p>
      <w:pPr>
        <w:pStyle w:val="Heading2"/>
        <w:spacing w:after="160" w:before="360"/>
      </w:pPr>
      <w:bookmarkStart w:id="100080" w:name="_Toc100080"/>
      <w:r>
        <w:rPr>
          <w:rFonts w:ascii="Times New Roman" w:eastAsia="SimHei"/>
          <w:b/>
          <w:bCs/>
          <w:color w:val="1A2330"/>
          <w:sz w:val="28"/>
          <w:szCs w:val="28"/>
        </w:rPr>
        <w:t xml:space="preserve">Overview</w:t>
      </w:r>
      <w:bookmarkEnd w:id="100080"/>
    </w:p>
    <w:p>
      <w:pPr>
        <w:spacing w:after="120" w:line="312"/>
        <w:jc w:val="both"/>
      </w:pPr>
      <w:r>
        <w:rPr>
          <w:rFonts w:ascii="Times New Roman" w:eastAsia="Microsoft YaHei"/>
          <w:color w:val="2C3E50"/>
          <w:sz w:val="24"/>
          <w:szCs w:val="24"/>
        </w:rPr>
        <w:t xml:space="preserve">The Expense Management module tracks all business expenditures beyond the standard procurement of inventory, including operational expenses such as rent, utilities, salaries, transport, maintenance, and miscellaneous costs. It provides a structured workflow for expense recording, categorization, approval, and payment that integrates with the Accounts module for accurate financial reporting. The module is designed to give management visibility into where money is being spent, enforce spending policies through approval workflows, and provide the data needed for budget control and cost optimization.</w:t>
      </w:r>
    </w:p>
    <w:p>
      <w:pPr>
        <w:pStyle w:val="Heading2"/>
        <w:spacing w:after="160" w:before="360"/>
      </w:pPr>
      <w:bookmarkStart w:id="100081" w:name="_Toc100081"/>
      <w:r>
        <w:rPr>
          <w:rFonts w:ascii="Times New Roman" w:eastAsia="SimHei"/>
          <w:b/>
          <w:bCs/>
          <w:color w:val="1A2330"/>
          <w:sz w:val="28"/>
          <w:szCs w:val="28"/>
        </w:rPr>
        <w:t xml:space="preserve">Expense Categories and Budgets</w:t>
      </w:r>
      <w:bookmarkEnd w:id="100081"/>
    </w:p>
    <w:p>
      <w:pPr>
        <w:spacing w:after="120" w:line="312"/>
        <w:jc w:val="both"/>
      </w:pPr>
      <w:r>
        <w:rPr>
          <w:rFonts w:ascii="Times New Roman" w:eastAsia="Microsoft YaHei"/>
          <w:color w:val="2C3E50"/>
          <w:sz w:val="24"/>
          <w:szCs w:val="24"/>
        </w:rPr>
        <w:t xml:space="preserve">Expenses are organized into a configurable category hierarchy that mirrors the business's chart of accounts. Each category can have an assigned annual or monthly budget, and the system tracks actual spending against budget in real-time. Budget alerts are triggered when spending approaches or exceeds the allocated amount, with configurable thresholds (e.g., alert at 80%, block at 100%). Budget periods can be configured per category, allowing some categories to follow a monthly cycle (e.g., utilities) while others follow an annual cycle (e.g., insurance premiums).</w:t>
      </w:r>
    </w:p>
    <w:p>
      <w:pPr>
        <w:pStyle w:val="Heading2"/>
        <w:spacing w:after="160" w:before="360"/>
      </w:pPr>
      <w:bookmarkStart w:id="100082" w:name="_Toc100082"/>
      <w:r>
        <w:rPr>
          <w:rFonts w:ascii="Times New Roman" w:eastAsia="SimHei"/>
          <w:b/>
          <w:bCs/>
          <w:color w:val="1A2330"/>
          <w:sz w:val="28"/>
          <w:szCs w:val="28"/>
        </w:rPr>
        <w:t xml:space="preserve">Expense Workflow</w:t>
      </w:r>
      <w:bookmarkEnd w:id="100082"/>
    </w:p>
    <w:p>
      <w:pPr>
        <w:pStyle w:val="Heading3"/>
        <w:spacing w:after="120" w:before="240"/>
      </w:pPr>
      <w:bookmarkStart w:id="100083" w:name="_Toc100083"/>
      <w:r>
        <w:rPr>
          <w:rFonts w:ascii="Times New Roman" w:eastAsia="SimHei"/>
          <w:b/>
          <w:bCs/>
          <w:color w:val="1A2330"/>
          <w:sz w:val="24"/>
          <w:szCs w:val="24"/>
        </w:rPr>
        <w:t xml:space="preserve">Expense Entry</w:t>
      </w:r>
      <w:bookmarkEnd w:id="100083"/>
    </w:p>
    <w:p>
      <w:pPr>
        <w:spacing w:after="120" w:line="312"/>
        <w:jc w:val="both"/>
      </w:pPr>
      <w:r>
        <w:rPr>
          <w:rFonts w:ascii="Times New Roman" w:eastAsia="Microsoft YaHei"/>
          <w:color w:val="2C3E50"/>
          <w:sz w:val="24"/>
          <w:szCs w:val="24"/>
        </w:rPr>
        <w:t xml:space="preserve">Expenses can be entered by any authorized user and are categorized by type, cost center (store or department), payment method, and supporting documentation (receipts, invoices, delivery notes). The system supports both cash expenses (paid immediately from petty cash) and invoice-based expenses (billed by the vendor with payment through the Accounts module). For petty cash expenses, the system tracks the petty cash float balance and triggers replenishment requests when the balance falls below a configurable threshold.</w:t>
      </w:r>
    </w:p>
    <w:p>
      <w:pPr>
        <w:pStyle w:val="Heading3"/>
        <w:spacing w:after="120" w:before="240"/>
      </w:pPr>
      <w:bookmarkStart w:id="100084" w:name="_Toc100084"/>
      <w:r>
        <w:rPr>
          <w:rFonts w:ascii="Times New Roman" w:eastAsia="SimHei"/>
          <w:b/>
          <w:bCs/>
          <w:color w:val="1A2330"/>
          <w:sz w:val="24"/>
          <w:szCs w:val="24"/>
        </w:rPr>
        <w:t xml:space="preserve">Approval Workflow</w:t>
      </w:r>
      <w:bookmarkEnd w:id="100084"/>
    </w:p>
    <w:p>
      <w:pPr>
        <w:spacing w:after="120" w:line="312"/>
        <w:jc w:val="both"/>
      </w:pPr>
      <w:r>
        <w:rPr>
          <w:rFonts w:ascii="Times New Roman" w:eastAsia="Microsoft YaHei"/>
          <w:color w:val="2C3E50"/>
          <w:sz w:val="24"/>
          <w:szCs w:val="24"/>
        </w:rPr>
        <w:t xml:space="preserve">Expense submissions are routed through an approval workflow based on the expense amount, category, and the submitter's role. The approval chain is configurable, typically requiring direct supervisor approval for amounts below a threshold and finance manager or director approval for larger amounts. Approved expenses are automatically posted to the Accounts module as journal entries. Rejected expenses are returned to the submitter with reasons, and the system tracks the full history of each expense through its lifecycle.</w:t>
      </w:r>
    </w:p>
    <w:p>
      <w:pPr>
        <w:pStyle w:val="Heading2"/>
        <w:spacing w:after="160" w:before="360"/>
      </w:pPr>
      <w:bookmarkStart w:id="100085" w:name="_Toc100085"/>
      <w:r>
        <w:rPr>
          <w:rFonts w:ascii="Times New Roman" w:eastAsia="SimHei"/>
          <w:b/>
          <w:bCs/>
          <w:color w:val="1A2330"/>
          <w:sz w:val="28"/>
          <w:szCs w:val="28"/>
        </w:rPr>
        <w:t xml:space="preserve">Business Rules</w:t>
      </w:r>
      <w:bookmarkEnd w:id="100085"/>
    </w:p>
    <w:p>
      <w:pPr>
        <w:pStyle w:val="ListParagraph"/>
        <w:numPr>
          <w:ilvl w:val="0"/>
          <w:numId w:val="1"/>
        </w:numPr>
        <w:spacing w:after="80" w:line="312"/>
      </w:pPr>
      <w:r>
        <w:rPr>
          <w:rFonts w:ascii="Times New Roman" w:eastAsia="Microsoft YaHei"/>
          <w:color w:val="2C3E50"/>
          <w:sz w:val="24"/>
          <w:szCs w:val="24"/>
        </w:rPr>
        <w:t xml:space="preserve">Expenses exceeding the category budget require director-level approval regardless of the standard approval chain.</w:t>
      </w:r>
    </w:p>
    <w:p>
      <w:pPr>
        <w:pStyle w:val="ListParagraph"/>
        <w:numPr>
          <w:ilvl w:val="0"/>
          <w:numId w:val="1"/>
        </w:numPr>
        <w:spacing w:after="80" w:line="312"/>
      </w:pPr>
      <w:r>
        <w:rPr>
          <w:rFonts w:ascii="Times New Roman" w:eastAsia="Microsoft YaHei"/>
          <w:color w:val="2C3E50"/>
          <w:sz w:val="24"/>
          <w:szCs w:val="24"/>
        </w:rPr>
        <w:t xml:space="preserve">All expenses above KES 10,000 must include supporting documentation (receipt or invoice attachment).</w:t>
      </w:r>
    </w:p>
    <w:p>
      <w:pPr>
        <w:pStyle w:val="ListParagraph"/>
        <w:numPr>
          <w:ilvl w:val="0"/>
          <w:numId w:val="1"/>
        </w:numPr>
        <w:spacing w:after="80" w:line="312"/>
      </w:pPr>
      <w:r>
        <w:rPr>
          <w:rFonts w:ascii="Times New Roman" w:eastAsia="Microsoft YaHei"/>
          <w:color w:val="2C3E50"/>
          <w:sz w:val="24"/>
          <w:szCs w:val="24"/>
        </w:rPr>
        <w:t xml:space="preserve">Petty cash expenses are limited to KES 50,000 per transaction; larger amounts must be processed through the Accounts module.</w:t>
      </w:r>
    </w:p>
    <w:p>
      <w:pPr>
        <w:pStyle w:val="ListParagraph"/>
        <w:numPr>
          <w:ilvl w:val="0"/>
          <w:numId w:val="1"/>
        </w:numPr>
        <w:spacing w:after="80" w:line="312"/>
      </w:pPr>
      <w:r>
        <w:rPr>
          <w:rFonts w:ascii="Times New Roman" w:eastAsia="Microsoft YaHei"/>
          <w:color w:val="2C3E50"/>
          <w:sz w:val="24"/>
          <w:szCs w:val="24"/>
        </w:rPr>
        <w:t xml:space="preserve">Expense categories are linked to the chart of accounts; changes to the mapping require Super Admin approval.</w:t>
      </w:r>
    </w:p>
    <w:p>
      <w:pPr>
        <w:pStyle w:val="ListParagraph"/>
        <w:numPr>
          <w:ilvl w:val="0"/>
          <w:numId w:val="1"/>
        </w:numPr>
        <w:spacing w:after="80" w:line="312"/>
      </w:pPr>
      <w:r>
        <w:rPr>
          <w:rFonts w:ascii="Times New Roman" w:eastAsia="Microsoft YaHei"/>
          <w:color w:val="2C3E50"/>
          <w:sz w:val="24"/>
          <w:szCs w:val="24"/>
        </w:rPr>
        <w:t xml:space="preserve">Monthly expense reports are auto-generated and distributed to store managers and finance by the 5th of each month.</w:t>
      </w:r>
    </w:p>
    <w:p>
      <w:pPr>
        <w:pStyle w:val="Heading1"/>
        <w:spacing w:after="200" w:before="480"/>
      </w:pPr>
      <w:bookmarkStart w:id="100086" w:name="_Toc100086"/>
      <w:r>
        <w:rPr>
          <w:rFonts w:ascii="Times New Roman" w:eastAsia="SimHei"/>
          <w:b/>
          <w:bCs/>
          <w:color w:val="1A2330"/>
          <w:sz w:val="32"/>
          <w:szCs w:val="32"/>
        </w:rPr>
        <w:t xml:space="preserve">Module 10: Voucher Management</w:t>
      </w:r>
      <w:bookmarkEnd w:id="100086"/>
    </w:p>
    <w:p>
      <w:pPr>
        <w:pStyle w:val="Heading2"/>
        <w:spacing w:after="160" w:before="360"/>
      </w:pPr>
      <w:bookmarkStart w:id="100087" w:name="_Toc100087"/>
      <w:r>
        <w:rPr>
          <w:rFonts w:ascii="Times New Roman" w:eastAsia="SimHei"/>
          <w:b/>
          <w:bCs/>
          <w:color w:val="1A2330"/>
          <w:sz w:val="28"/>
          <w:szCs w:val="28"/>
        </w:rPr>
        <w:t xml:space="preserve">Overview</w:t>
      </w:r>
      <w:bookmarkEnd w:id="100087"/>
    </w:p>
    <w:p>
      <w:pPr>
        <w:spacing w:after="120" w:line="312"/>
        <w:jc w:val="both"/>
      </w:pPr>
      <w:r>
        <w:rPr>
          <w:rFonts w:ascii="Times New Roman" w:eastAsia="Microsoft YaHei"/>
          <w:color w:val="2C3E50"/>
          <w:sz w:val="24"/>
          <w:szCs w:val="24"/>
        </w:rPr>
        <w:t xml:space="preserve">The Voucher Management module handles the creation, distribution, and redemption of discount vouchers and promotional codes. Vouchers are a key marketing tool in the competitive Kenyan hardware market, used to attract new customers, reward loyal buyers, clear slow-moving inventory, and drive sales during promotional periods. The module supports multiple voucher types, flexible rules for applicability, and comprehensive tracking of voucher usage for campaign effectiveness analysis.</w:t>
      </w:r>
    </w:p>
    <w:p>
      <w:pPr>
        <w:pStyle w:val="Heading2"/>
        <w:spacing w:after="160" w:before="360"/>
      </w:pPr>
      <w:bookmarkStart w:id="100088" w:name="_Toc100088"/>
      <w:r>
        <w:rPr>
          <w:rFonts w:ascii="Times New Roman" w:eastAsia="SimHei"/>
          <w:b/>
          <w:bCs/>
          <w:color w:val="1A2330"/>
          <w:sz w:val="28"/>
          <w:szCs w:val="28"/>
        </w:rPr>
        <w:t xml:space="preserve">Voucher Types and Rules</w:t>
      </w:r>
      <w:bookmarkEnd w:id="10008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2%"/>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tcW w:type="pct" w:w="40%"/>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38%"/>
            <w:shd w:fill="D4875A" w:val="clear"/>
            <w:tcMar>
              <w:top w:type="dxa" w:w="60"/>
              <w:left w:type="dxa" w:w="120"/>
              <w:bottom w:type="dxa" w:w="60"/>
              <w:right w:type="dxa" w:w="120"/>
            </w:tcMar>
          </w:tcPr>
          <w:p>
            <w:r>
              <w:rPr>
                <w:rFonts w:ascii="Times New Roman" w:eastAsia="SimHei"/>
                <w:b/>
                <w:bCs/>
                <w:color w:val="FFFFFF"/>
                <w:sz w:val="21"/>
                <w:szCs w:val="21"/>
              </w:rPr>
              <w:t xml:space="preserve">Example</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Fixed Amount Discount</w:t>
            </w:r>
          </w:p>
        </w:tc>
        <w:tc>
          <w:tcPr>
            <w:tcW w:type="pct" w:w="40%"/>
            <w:shd w:fill="F8F0EB" w:val="clear"/>
            <w:tcMar>
              <w:top w:type="dxa" w:w="60"/>
              <w:left w:type="dxa" w:w="120"/>
              <w:bottom w:type="dxa" w:w="60"/>
              <w:right w:type="dxa" w:w="120"/>
            </w:tcMar>
          </w:tcPr>
          <w:p>
            <w:r>
              <w:rPr>
                <w:rFonts w:ascii="Times New Roman" w:eastAsia="Microsoft YaHei"/>
                <w:color w:val="2C3E50"/>
                <w:sz w:val="21"/>
                <w:szCs w:val="21"/>
              </w:rPr>
              <w:t xml:space="preserve">Reduces the transaction total by a fixed amount in KES</w:t>
            </w:r>
          </w:p>
        </w:tc>
        <w:tc>
          <w:tcPr>
            <w:tcW w:type="pct" w:w="38%"/>
            <w:shd w:fill="F8F0EB" w:val="clear"/>
            <w:tcMar>
              <w:top w:type="dxa" w:w="60"/>
              <w:left w:type="dxa" w:w="120"/>
              <w:bottom w:type="dxa" w:w="60"/>
              <w:right w:type="dxa" w:w="120"/>
            </w:tcMar>
          </w:tcPr>
          <w:p>
            <w:r>
              <w:rPr>
                <w:rFonts w:ascii="Times New Roman" w:eastAsia="Microsoft YaHei"/>
                <w:color w:val="2C3E50"/>
                <w:sz w:val="21"/>
                <w:szCs w:val="21"/>
              </w:rPr>
              <w:t xml:space="preserve">KES 500 off purchases over KES 5,000</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Percentage Discount</w:t>
            </w:r>
          </w:p>
        </w:tc>
        <w:tc>
          <w:tcPr>
            <w:tcW w:type="pct" w:w="40%"/>
            <w:shd w:fill="FFFFFF" w:val="clear"/>
            <w:tcMar>
              <w:top w:type="dxa" w:w="60"/>
              <w:left w:type="dxa" w:w="120"/>
              <w:bottom w:type="dxa" w:w="60"/>
              <w:right w:type="dxa" w:w="120"/>
            </w:tcMar>
          </w:tcPr>
          <w:p>
            <w:r>
              <w:rPr>
                <w:rFonts w:ascii="Times New Roman" w:eastAsia="Microsoft YaHei"/>
                <w:color w:val="2C3E50"/>
                <w:sz w:val="21"/>
                <w:szCs w:val="21"/>
              </w:rPr>
              <w:t xml:space="preserve">Reduces the transaction total by a percentage</w:t>
            </w:r>
          </w:p>
        </w:tc>
        <w:tc>
          <w:tcPr>
            <w:tcW w:type="pct" w:w="38%"/>
            <w:shd w:fill="FFFFFF" w:val="clear"/>
            <w:tcMar>
              <w:top w:type="dxa" w:w="60"/>
              <w:left w:type="dxa" w:w="120"/>
              <w:bottom w:type="dxa" w:w="60"/>
              <w:right w:type="dxa" w:w="120"/>
            </w:tcMar>
          </w:tcPr>
          <w:p>
            <w:r>
              <w:rPr>
                <w:rFonts w:ascii="Times New Roman" w:eastAsia="Microsoft YaHei"/>
                <w:color w:val="2C3E50"/>
                <w:sz w:val="21"/>
                <w:szCs w:val="21"/>
              </w:rPr>
              <w:t xml:space="preserve">15% off all paint products this weekend</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Free Product</w:t>
            </w:r>
          </w:p>
        </w:tc>
        <w:tc>
          <w:tcPr>
            <w:tcW w:type="pct" w:w="40%"/>
            <w:shd w:fill="F8F0EB" w:val="clear"/>
            <w:tcMar>
              <w:top w:type="dxa" w:w="60"/>
              <w:left w:type="dxa" w:w="120"/>
              <w:bottom w:type="dxa" w:w="60"/>
              <w:right w:type="dxa" w:w="120"/>
            </w:tcMar>
          </w:tcPr>
          <w:p>
            <w:r>
              <w:rPr>
                <w:rFonts w:ascii="Times New Roman" w:eastAsia="Microsoft YaHei"/>
                <w:color w:val="2C3E50"/>
                <w:sz w:val="21"/>
                <w:szCs w:val="21"/>
              </w:rPr>
              <w:t xml:space="preserve">Adds a free item to the transaction when conditions are met</w:t>
            </w:r>
          </w:p>
        </w:tc>
        <w:tc>
          <w:tcPr>
            <w:tcW w:type="pct" w:w="38%"/>
            <w:shd w:fill="F8F0EB" w:val="clear"/>
            <w:tcMar>
              <w:top w:type="dxa" w:w="60"/>
              <w:left w:type="dxa" w:w="120"/>
              <w:bottom w:type="dxa" w:w="60"/>
              <w:right w:type="dxa" w:w="120"/>
            </w:tcMar>
          </w:tcPr>
          <w:p>
            <w:r>
              <w:rPr>
                <w:rFonts w:ascii="Times New Roman" w:eastAsia="Microsoft YaHei"/>
                <w:color w:val="2C3E50"/>
                <w:sz w:val="21"/>
                <w:szCs w:val="21"/>
              </w:rPr>
              <w:t xml:space="preserve">Buy 10 bags of cement, get 1 free</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Category Discount</w:t>
            </w:r>
          </w:p>
        </w:tc>
        <w:tc>
          <w:tcPr>
            <w:tcW w:type="pct" w:w="40%"/>
            <w:shd w:fill="FFFFFF" w:val="clear"/>
            <w:tcMar>
              <w:top w:type="dxa" w:w="60"/>
              <w:left w:type="dxa" w:w="120"/>
              <w:bottom w:type="dxa" w:w="60"/>
              <w:right w:type="dxa" w:w="120"/>
            </w:tcMar>
          </w:tcPr>
          <w:p>
            <w:r>
              <w:rPr>
                <w:rFonts w:ascii="Times New Roman" w:eastAsia="Microsoft YaHei"/>
                <w:color w:val="2C3E50"/>
                <w:sz w:val="21"/>
                <w:szCs w:val="21"/>
              </w:rPr>
              <w:t xml:space="preserve">Applies a discount to all items in a specified category</w:t>
            </w:r>
          </w:p>
        </w:tc>
        <w:tc>
          <w:tcPr>
            <w:tcW w:type="pct" w:w="38%"/>
            <w:shd w:fill="FFFFFF" w:val="clear"/>
            <w:tcMar>
              <w:top w:type="dxa" w:w="60"/>
              <w:left w:type="dxa" w:w="120"/>
              <w:bottom w:type="dxa" w:w="60"/>
              <w:right w:type="dxa" w:w="120"/>
            </w:tcMar>
          </w:tcPr>
          <w:p>
            <w:r>
              <w:rPr>
                <w:rFonts w:ascii="Times New Roman" w:eastAsia="Microsoft YaHei"/>
                <w:color w:val="2C3E50"/>
                <w:sz w:val="21"/>
                <w:szCs w:val="21"/>
              </w:rPr>
              <w:t xml:space="preserve">20% off all hand tools during December</w:t>
            </w:r>
          </w:p>
        </w:tc>
      </w:tr>
      <w:tr>
        <w:trPr>
          <w:cantSplit/>
        </w:trPr>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Bundle Deal</w:t>
            </w:r>
          </w:p>
        </w:tc>
        <w:tc>
          <w:tcPr>
            <w:tcW w:type="pct" w:w="40%"/>
            <w:shd w:fill="F8F0EB" w:val="clear"/>
            <w:tcMar>
              <w:top w:type="dxa" w:w="60"/>
              <w:left w:type="dxa" w:w="120"/>
              <w:bottom w:type="dxa" w:w="60"/>
              <w:right w:type="dxa" w:w="120"/>
            </w:tcMar>
          </w:tcPr>
          <w:p>
            <w:r>
              <w:rPr>
                <w:rFonts w:ascii="Times New Roman" w:eastAsia="Microsoft YaHei"/>
                <w:color w:val="2C3E50"/>
                <w:sz w:val="21"/>
                <w:szCs w:val="21"/>
              </w:rPr>
              <w:t xml:space="preserve">Special pricing when a combination of items is purchased together</w:t>
            </w:r>
          </w:p>
        </w:tc>
        <w:tc>
          <w:tcPr>
            <w:tcW w:type="pct" w:w="38%"/>
            <w:shd w:fill="F8F0EB" w:val="clear"/>
            <w:tcMar>
              <w:top w:type="dxa" w:w="60"/>
              <w:left w:type="dxa" w:w="120"/>
              <w:bottom w:type="dxa" w:w="60"/>
              <w:right w:type="dxa" w:w="120"/>
            </w:tcMar>
          </w:tcPr>
          <w:p>
            <w:r>
              <w:rPr>
                <w:rFonts w:ascii="Times New Roman" w:eastAsia="Microsoft YaHei"/>
                <w:color w:val="2C3E50"/>
                <w:sz w:val="21"/>
                <w:szCs w:val="21"/>
              </w:rPr>
              <w:t xml:space="preserve">Drill + bit set combo for KES 8,500 (was KES 10,000)</w:t>
            </w:r>
          </w:p>
        </w:tc>
      </w:tr>
    </w:tbl>
    <w:p>
      <w:pPr>
        <w:spacing w:after="200" w:before="80"/>
        <w:jc w:val="center"/>
      </w:pPr>
      <w:r>
        <w:rPr>
          <w:rFonts w:ascii="Times New Roman" w:eastAsia="Microsoft YaHei"/>
          <w:i/>
          <w:iCs/>
          <w:color w:val="607080"/>
          <w:sz w:val="20"/>
          <w:szCs w:val="20"/>
        </w:rPr>
        <w:t xml:space="preserve">Table 9: Voucher Types and Examples</w:t>
      </w:r>
    </w:p>
    <w:p>
      <w:pPr>
        <w:pStyle w:val="Heading2"/>
        <w:spacing w:after="160" w:before="360"/>
      </w:pPr>
      <w:bookmarkStart w:id="100089" w:name="_Toc100089"/>
      <w:r>
        <w:rPr>
          <w:rFonts w:ascii="Times New Roman" w:eastAsia="SimHei"/>
          <w:b/>
          <w:bCs/>
          <w:color w:val="1A2330"/>
          <w:sz w:val="28"/>
          <w:szCs w:val="28"/>
        </w:rPr>
        <w:t xml:space="preserve">Voucher Lifecycle</w:t>
      </w:r>
      <w:bookmarkEnd w:id="100089"/>
    </w:p>
    <w:p>
      <w:pPr>
        <w:spacing w:after="120" w:line="312"/>
        <w:jc w:val="both"/>
      </w:pPr>
      <w:r>
        <w:rPr>
          <w:rFonts w:ascii="Times New Roman" w:eastAsia="Microsoft YaHei"/>
          <w:color w:val="2C3E50"/>
          <w:sz w:val="24"/>
          <w:szCs w:val="24"/>
        </w:rPr>
        <w:t xml:space="preserve">Each voucher follows a defined lifecycle from creation through distribution, redemption, and expiration. Vouchers are created with a set of rules including the discount value or percentage, minimum purchase amount, applicable product categories or specific products, valid date range, maximum usage limit (total and per customer), and the stores where the voucher can be redeemed. The system generates unique voucher codes for each voucher, which can be printed on marketing materials, sent via SMS or email, or displayed on the customer's mobile app. Redemption is validated at POS against all configured rules, and the system prevents double-redemption, expired voucher usage, and application to ineligible products.</w:t>
      </w:r>
    </w:p>
    <w:p>
      <w:pPr>
        <w:pStyle w:val="Heading2"/>
        <w:spacing w:after="160" w:before="360"/>
      </w:pPr>
      <w:bookmarkStart w:id="100090" w:name="_Toc100090"/>
      <w:r>
        <w:rPr>
          <w:rFonts w:ascii="Times New Roman" w:eastAsia="SimHei"/>
          <w:b/>
          <w:bCs/>
          <w:color w:val="1A2330"/>
          <w:sz w:val="28"/>
          <w:szCs w:val="28"/>
        </w:rPr>
        <w:t xml:space="preserve">Campaign Management</w:t>
      </w:r>
      <w:bookmarkEnd w:id="100090"/>
    </w:p>
    <w:p>
      <w:pPr>
        <w:spacing w:after="120" w:line="312"/>
        <w:jc w:val="both"/>
      </w:pPr>
      <w:r>
        <w:rPr>
          <w:rFonts w:ascii="Times New Roman" w:eastAsia="Microsoft YaHei"/>
          <w:color w:val="2C3E50"/>
          <w:sz w:val="24"/>
          <w:szCs w:val="24"/>
        </w:rPr>
        <w:t xml:space="preserve">Vouchers are organized into campaigns that group related promotional offers with common objectives, timelines, and target audiences. Campaign management provides a dashboard showing the total vouchers issued, redeemed, and outstanding, the total discount value given, the incremental revenue generated (compared to the same period without the campaign), and the cost-effectiveness ratio. This data enables marketing teams to evaluate which campaigns deliver the best return on investment and adjust future promotional strategies accordingly.</w:t>
      </w:r>
    </w:p>
    <w:p>
      <w:pPr>
        <w:pStyle w:val="Heading2"/>
        <w:spacing w:after="160" w:before="360"/>
      </w:pPr>
      <w:bookmarkStart w:id="100091" w:name="_Toc100091"/>
      <w:r>
        <w:rPr>
          <w:rFonts w:ascii="Times New Roman" w:eastAsia="SimHei"/>
          <w:b/>
          <w:bCs/>
          <w:color w:val="1A2330"/>
          <w:sz w:val="28"/>
          <w:szCs w:val="28"/>
        </w:rPr>
        <w:t xml:space="preserve">Business Rules</w:t>
      </w:r>
      <w:bookmarkEnd w:id="100091"/>
    </w:p>
    <w:p>
      <w:pPr>
        <w:pStyle w:val="ListParagraph"/>
        <w:numPr>
          <w:ilvl w:val="0"/>
          <w:numId w:val="1"/>
        </w:numPr>
        <w:spacing w:after="80" w:line="312"/>
      </w:pPr>
      <w:r>
        <w:rPr>
          <w:rFonts w:ascii="Times New Roman" w:eastAsia="Microsoft YaHei"/>
          <w:color w:val="2C3E50"/>
          <w:sz w:val="24"/>
          <w:szCs w:val="24"/>
        </w:rPr>
        <w:t xml:space="preserve">Voucher codes are unique across the entire system; duplicate codes are rejected at creation.</w:t>
      </w:r>
    </w:p>
    <w:p>
      <w:pPr>
        <w:pStyle w:val="ListParagraph"/>
        <w:numPr>
          <w:ilvl w:val="0"/>
          <w:numId w:val="1"/>
        </w:numPr>
        <w:spacing w:after="80" w:line="312"/>
      </w:pPr>
      <w:r>
        <w:rPr>
          <w:rFonts w:ascii="Times New Roman" w:eastAsia="Microsoft YaHei"/>
          <w:color w:val="2C3E50"/>
          <w:sz w:val="24"/>
          <w:szCs w:val="24"/>
        </w:rPr>
        <w:t xml:space="preserve">Expired vouchers cannot be redeemed; the POS enforces the validity date range strictly.</w:t>
      </w:r>
    </w:p>
    <w:p>
      <w:pPr>
        <w:pStyle w:val="ListParagraph"/>
        <w:numPr>
          <w:ilvl w:val="0"/>
          <w:numId w:val="1"/>
        </w:numPr>
        <w:spacing w:after="80" w:line="312"/>
      </w:pPr>
      <w:r>
        <w:rPr>
          <w:rFonts w:ascii="Times New Roman" w:eastAsia="Microsoft YaHei"/>
          <w:color w:val="2C3E50"/>
          <w:sz w:val="24"/>
          <w:szCs w:val="24"/>
        </w:rPr>
        <w:t xml:space="preserve">Per-customer usage limits are enforced by tracking voucher redemptions against the customer's phone number or loyalty account.</w:t>
      </w:r>
    </w:p>
    <w:p>
      <w:pPr>
        <w:pStyle w:val="ListParagraph"/>
        <w:numPr>
          <w:ilvl w:val="0"/>
          <w:numId w:val="1"/>
        </w:numPr>
        <w:spacing w:after="80" w:line="312"/>
      </w:pPr>
      <w:r>
        <w:rPr>
          <w:rFonts w:ascii="Times New Roman" w:eastAsia="Microsoft YaHei"/>
          <w:color w:val="2C3E50"/>
          <w:sz w:val="24"/>
          <w:szCs w:val="24"/>
        </w:rPr>
        <w:t xml:space="preserve">Vouchers cannot be combined unless the campaign explicitly allows stacking.</w:t>
      </w:r>
    </w:p>
    <w:p>
      <w:pPr>
        <w:pStyle w:val="ListParagraph"/>
        <w:numPr>
          <w:ilvl w:val="0"/>
          <w:numId w:val="1"/>
        </w:numPr>
        <w:spacing w:after="80" w:line="312"/>
      </w:pPr>
      <w:r>
        <w:rPr>
          <w:rFonts w:ascii="Times New Roman" w:eastAsia="Microsoft YaHei"/>
          <w:color w:val="2C3E50"/>
          <w:sz w:val="24"/>
          <w:szCs w:val="24"/>
        </w:rPr>
        <w:t xml:space="preserve">All voucher redemptions are recorded in the audit trail with the transaction reference, customer, and discount amount.</w:t>
      </w:r>
    </w:p>
    <w:p>
      <w:pPr>
        <w:pStyle w:val="Heading1"/>
        <w:spacing w:after="200" w:before="480"/>
      </w:pPr>
      <w:bookmarkStart w:id="100092" w:name="_Toc100092"/>
      <w:r>
        <w:rPr>
          <w:rFonts w:ascii="Times New Roman" w:eastAsia="SimHei"/>
          <w:b/>
          <w:bCs/>
          <w:color w:val="1A2330"/>
          <w:sz w:val="32"/>
          <w:szCs w:val="32"/>
        </w:rPr>
        <w:t xml:space="preserve">Module 11: Accounts and Accounting</w:t>
      </w:r>
      <w:bookmarkEnd w:id="100092"/>
    </w:p>
    <w:p>
      <w:pPr>
        <w:pStyle w:val="Heading2"/>
        <w:spacing w:after="160" w:before="360"/>
      </w:pPr>
      <w:bookmarkStart w:id="100093" w:name="_Toc100093"/>
      <w:r>
        <w:rPr>
          <w:rFonts w:ascii="Times New Roman" w:eastAsia="SimHei"/>
          <w:b/>
          <w:bCs/>
          <w:color w:val="1A2330"/>
          <w:sz w:val="28"/>
          <w:szCs w:val="28"/>
        </w:rPr>
        <w:t xml:space="preserve">Overview</w:t>
      </w:r>
      <w:bookmarkEnd w:id="100093"/>
    </w:p>
    <w:p>
      <w:pPr>
        <w:spacing w:after="120" w:line="312"/>
        <w:jc w:val="both"/>
      </w:pPr>
      <w:r>
        <w:rPr>
          <w:rFonts w:ascii="Times New Roman" w:eastAsia="Microsoft YaHei"/>
          <w:color w:val="2C3E50"/>
          <w:sz w:val="24"/>
          <w:szCs w:val="24"/>
        </w:rPr>
        <w:t xml:space="preserve">The Accounts and Accounting module implements a full double-entry bookkeeping system that serves as the financial backbone of the POS system. It maintains the chart of accounts, records all financial transactions as journal entries, generates financial statements (income statement, balance sheet, cash flow statement), and provides the data foundation for tax compliance reporting and business performance analysis. The module automatically generates journal entries from operational transactions (sales, purchases, expenses, payments), eliminating manual bookkeeping and reducing the risk of data entry errors while maintaining the flexibility to record manual adjustments when needed.</w:t>
      </w:r>
    </w:p>
    <w:p>
      <w:pPr>
        <w:pStyle w:val="Heading2"/>
        <w:spacing w:after="160" w:before="360"/>
      </w:pPr>
      <w:bookmarkStart w:id="100094" w:name="_Toc100094"/>
      <w:r>
        <w:rPr>
          <w:rFonts w:ascii="Times New Roman" w:eastAsia="SimHei"/>
          <w:b/>
          <w:bCs/>
          <w:color w:val="1A2330"/>
          <w:sz w:val="28"/>
          <w:szCs w:val="28"/>
        </w:rPr>
        <w:t xml:space="preserve">Chart of Accounts</w:t>
      </w:r>
      <w:bookmarkEnd w:id="100094"/>
    </w:p>
    <w:p>
      <w:pPr>
        <w:spacing w:after="120" w:line="312"/>
        <w:jc w:val="both"/>
      </w:pPr>
      <w:r>
        <w:rPr>
          <w:rFonts w:ascii="Times New Roman" w:eastAsia="Microsoft YaHei"/>
          <w:color w:val="2C3E50"/>
          <w:sz w:val="24"/>
          <w:szCs w:val="24"/>
        </w:rPr>
        <w:t xml:space="preserve">The chart of accounts is structured according to standard accounting principles with Kenyan regulatory requirements, organized into asset accounts (current assets, fixed assets), liability accounts (current liabilities, long-term liabilities), equity accounts (share capital, retained earnings), revenue accounts (sales revenue, other income), and expense accounts (cost of goods sold, operating expenses). Each account has a unique code, descriptive name, account type classification, and a flag indicating whether it is a control account (automatically updated by sub-ledger transactions) or a manual account (requiring manual journal entries). The chart of accounts is pre-configured for hardware retail operations but can be customized to match the specific needs of each business.</w:t>
      </w:r>
    </w:p>
    <w:p>
      <w:pPr>
        <w:pStyle w:val="Heading2"/>
        <w:spacing w:after="160" w:before="360"/>
      </w:pPr>
      <w:bookmarkStart w:id="100095" w:name="_Toc100095"/>
      <w:r>
        <w:rPr>
          <w:rFonts w:ascii="Times New Roman" w:eastAsia="SimHei"/>
          <w:b/>
          <w:bCs/>
          <w:color w:val="1A2330"/>
          <w:sz w:val="28"/>
          <w:szCs w:val="28"/>
        </w:rPr>
        <w:t xml:space="preserve">Journal Entry Processing</w:t>
      </w:r>
      <w:bookmarkEnd w:id="100095"/>
    </w:p>
    <w:p>
      <w:pPr>
        <w:pStyle w:val="Heading3"/>
        <w:spacing w:after="120" w:before="240"/>
      </w:pPr>
      <w:bookmarkStart w:id="100096" w:name="_Toc100096"/>
      <w:r>
        <w:rPr>
          <w:rFonts w:ascii="Times New Roman" w:eastAsia="SimHei"/>
          <w:b/>
          <w:bCs/>
          <w:color w:val="1A2330"/>
          <w:sz w:val="24"/>
          <w:szCs w:val="24"/>
        </w:rPr>
        <w:t xml:space="preserve">Automatic Journal Entries</w:t>
      </w:r>
      <w:bookmarkEnd w:id="100096"/>
    </w:p>
    <w:p>
      <w:pPr>
        <w:spacing w:after="120" w:line="312"/>
        <w:jc w:val="both"/>
      </w:pPr>
      <w:r>
        <w:rPr>
          <w:rFonts w:ascii="Times New Roman" w:eastAsia="Microsoft YaHei"/>
          <w:color w:val="2C3E50"/>
          <w:sz w:val="24"/>
          <w:szCs w:val="24"/>
        </w:rPr>
        <w:t xml:space="preserve">The system automatically generates journal entries for all operational transactions. A completed sale creates entries debiting cash or accounts receivable and crediting sales revenue and VAT output; the corresponding cost of goods sold is debited and inventory credited. A purchase receipt debits inventory and VAT input and credits accounts payable. An expense approval debits the expense account and credits cash or accounts payable. These automatic entries ensure that the general ledger is always up-to-date with operational activity, and the double-entry nature of the system ensures that the books always balance.</w:t>
      </w:r>
    </w:p>
    <w:p>
      <w:pPr>
        <w:pStyle w:val="Heading3"/>
        <w:spacing w:after="120" w:before="240"/>
      </w:pPr>
      <w:bookmarkStart w:id="100097" w:name="_Toc100097"/>
      <w:r>
        <w:rPr>
          <w:rFonts w:ascii="Times New Roman" w:eastAsia="SimHei"/>
          <w:b/>
          <w:bCs/>
          <w:color w:val="1A2330"/>
          <w:sz w:val="24"/>
          <w:szCs w:val="24"/>
        </w:rPr>
        <w:t xml:space="preserve">Manual Journal Entries</w:t>
      </w:r>
      <w:bookmarkEnd w:id="100097"/>
    </w:p>
    <w:p>
      <w:pPr>
        <w:spacing w:after="120" w:line="312"/>
        <w:jc w:val="both"/>
      </w:pPr>
      <w:r>
        <w:rPr>
          <w:rFonts w:ascii="Times New Roman" w:eastAsia="Microsoft YaHei"/>
          <w:color w:val="2C3E50"/>
          <w:sz w:val="24"/>
          <w:szCs w:val="24"/>
        </w:rPr>
        <w:t xml:space="preserve">For adjustments, corrections, and transactions that do not originate from operational modules, the system supports manual journal entry creation. Manual entries require at least two line items (debit and credit) that balance, a narrative description, supporting documentation, and approval from an Accountant or Super Admin. Common uses of manual entries include depreciation calculations, year-end adjustments, correction of errors discovered during reconciliation, and recording of non-operational income or expenses.</w:t>
      </w:r>
    </w:p>
    <w:p>
      <w:pPr>
        <w:pStyle w:val="Heading2"/>
        <w:spacing w:after="160" w:before="360"/>
      </w:pPr>
      <w:bookmarkStart w:id="100098" w:name="_Toc100098"/>
      <w:r>
        <w:rPr>
          <w:rFonts w:ascii="Times New Roman" w:eastAsia="SimHei"/>
          <w:b/>
          <w:bCs/>
          <w:color w:val="1A2330"/>
          <w:sz w:val="28"/>
          <w:szCs w:val="28"/>
        </w:rPr>
        <w:t xml:space="preserve">Financial Reporting</w:t>
      </w:r>
      <w:bookmarkEnd w:id="100098"/>
    </w:p>
    <w:p>
      <w:pPr>
        <w:spacing w:after="120" w:line="312"/>
        <w:jc w:val="both"/>
      </w:pPr>
      <w:r>
        <w:rPr>
          <w:rFonts w:ascii="Times New Roman" w:eastAsia="Microsoft YaHei"/>
          <w:color w:val="2C3E50"/>
          <w:sz w:val="24"/>
          <w:szCs w:val="24"/>
        </w:rPr>
        <w:t xml:space="preserve">The module generates standard financial statements on demand for any period: the Income Statement (Profit and Loss) showing revenue, cost of goods sold, gross profit, operating expenses, and net profit; the Balance Sheet showing assets, liabilities, and equity at a point in time; and the Cash Flow Statement showing operating, investing, and financing cash flows. All reports can be generated at the individual store level or consolidated across all locations. Comparative reports showing current period versus prior period or budget versus actual are also available, providing management with the insights needed for informed decision-making.</w:t>
      </w:r>
    </w:p>
    <w:p>
      <w:pPr>
        <w:pStyle w:val="Heading2"/>
        <w:spacing w:after="160" w:before="360"/>
      </w:pPr>
      <w:bookmarkStart w:id="100099" w:name="_Toc100099"/>
      <w:r>
        <w:rPr>
          <w:rFonts w:ascii="Times New Roman" w:eastAsia="SimHei"/>
          <w:b/>
          <w:bCs/>
          <w:color w:val="1A2330"/>
          <w:sz w:val="28"/>
          <w:szCs w:val="28"/>
        </w:rPr>
        <w:t xml:space="preserve">Business Rules</w:t>
      </w:r>
      <w:bookmarkEnd w:id="100099"/>
    </w:p>
    <w:p>
      <w:pPr>
        <w:pStyle w:val="ListParagraph"/>
        <w:numPr>
          <w:ilvl w:val="0"/>
          <w:numId w:val="1"/>
        </w:numPr>
        <w:spacing w:after="80" w:line="312"/>
      </w:pPr>
      <w:r>
        <w:rPr>
          <w:rFonts w:ascii="Times New Roman" w:eastAsia="Microsoft YaHei"/>
          <w:color w:val="2C3E50"/>
          <w:sz w:val="24"/>
          <w:szCs w:val="24"/>
        </w:rPr>
        <w:t xml:space="preserve">All journal entries must balance (total debits equal total credits) before they can be posted.</w:t>
      </w:r>
    </w:p>
    <w:p>
      <w:pPr>
        <w:pStyle w:val="ListParagraph"/>
        <w:numPr>
          <w:ilvl w:val="0"/>
          <w:numId w:val="1"/>
        </w:numPr>
        <w:spacing w:after="80" w:line="312"/>
      </w:pPr>
      <w:r>
        <w:rPr>
          <w:rFonts w:ascii="Times New Roman" w:eastAsia="Microsoft YaHei"/>
          <w:color w:val="2C3E50"/>
          <w:sz w:val="24"/>
          <w:szCs w:val="24"/>
        </w:rPr>
        <w:t xml:space="preserve">Automatic journal entries cannot be modified directly; corrections must be made through reversing entries.</w:t>
      </w:r>
    </w:p>
    <w:p>
      <w:pPr>
        <w:pStyle w:val="ListParagraph"/>
        <w:numPr>
          <w:ilvl w:val="0"/>
          <w:numId w:val="1"/>
        </w:numPr>
        <w:spacing w:after="80" w:line="312"/>
      </w:pPr>
      <w:r>
        <w:rPr>
          <w:rFonts w:ascii="Times New Roman" w:eastAsia="Microsoft YaHei"/>
          <w:color w:val="2C3E50"/>
          <w:sz w:val="24"/>
          <w:szCs w:val="24"/>
        </w:rPr>
        <w:t xml:space="preserve">Financial periods can be locked to prevent further postings after the period-end close process is complete.</w:t>
      </w:r>
    </w:p>
    <w:p>
      <w:pPr>
        <w:pStyle w:val="ListParagraph"/>
        <w:numPr>
          <w:ilvl w:val="0"/>
          <w:numId w:val="1"/>
        </w:numPr>
        <w:spacing w:after="80" w:line="312"/>
      </w:pPr>
      <w:r>
        <w:rPr>
          <w:rFonts w:ascii="Times New Roman" w:eastAsia="Microsoft YaHei"/>
          <w:color w:val="2C3E50"/>
          <w:sz w:val="24"/>
          <w:szCs w:val="24"/>
        </w:rPr>
        <w:t xml:space="preserve">The chart of accounts structure cannot be modified while open transactions exist for the affected accounts.</w:t>
      </w:r>
    </w:p>
    <w:p>
      <w:pPr>
        <w:pStyle w:val="ListParagraph"/>
        <w:numPr>
          <w:ilvl w:val="0"/>
          <w:numId w:val="1"/>
        </w:numPr>
        <w:spacing w:after="80" w:line="312"/>
      </w:pPr>
      <w:r>
        <w:rPr>
          <w:rFonts w:ascii="Times New Roman" w:eastAsia="Microsoft YaHei"/>
          <w:color w:val="2C3E50"/>
          <w:sz w:val="24"/>
          <w:szCs w:val="24"/>
        </w:rPr>
        <w:t xml:space="preserve">Retained earnings are automatically calculated and posted at year-end based on the net income for the year.</w:t>
      </w:r>
    </w:p>
    <w:p>
      <w:pPr>
        <w:pStyle w:val="Heading1"/>
        <w:spacing w:after="200" w:before="480"/>
      </w:pPr>
      <w:bookmarkStart w:id="100100" w:name="_Toc100100"/>
      <w:r>
        <w:rPr>
          <w:rFonts w:ascii="Times New Roman" w:eastAsia="SimHei"/>
          <w:b/>
          <w:bCs/>
          <w:color w:val="1A2330"/>
          <w:sz w:val="32"/>
          <w:szCs w:val="32"/>
        </w:rPr>
        <w:t xml:space="preserve">Module 12: Banking and Reconciliation</w:t>
      </w:r>
      <w:bookmarkEnd w:id="100100"/>
    </w:p>
    <w:p>
      <w:pPr>
        <w:pStyle w:val="Heading2"/>
        <w:spacing w:after="160" w:before="360"/>
      </w:pPr>
      <w:bookmarkStart w:id="100101" w:name="_Toc100101"/>
      <w:r>
        <w:rPr>
          <w:rFonts w:ascii="Times New Roman" w:eastAsia="SimHei"/>
          <w:b/>
          <w:bCs/>
          <w:color w:val="1A2330"/>
          <w:sz w:val="28"/>
          <w:szCs w:val="28"/>
        </w:rPr>
        <w:t xml:space="preserve">Overview</w:t>
      </w:r>
      <w:bookmarkEnd w:id="100101"/>
    </w:p>
    <w:p>
      <w:pPr>
        <w:spacing w:after="120" w:line="312"/>
        <w:jc w:val="both"/>
      </w:pPr>
      <w:r>
        <w:rPr>
          <w:rFonts w:ascii="Times New Roman" w:eastAsia="Microsoft YaHei"/>
          <w:color w:val="2C3E50"/>
          <w:sz w:val="24"/>
          <w:szCs w:val="24"/>
        </w:rPr>
        <w:t xml:space="preserve">The Banking and Reconciliation module manages the relationship between the system's internal financial records and the external bank accounts where the business's funds are held. It supports multiple bank accounts (including KES and USD accounts), records all banking transactions (deposits, withdrawals, transfers, bank charges, interest), and provides a structured bank reconciliation process that ensures the cash book balance matches the bank statement balance. Integration with the M-Pesa float account and mobile money platforms used for business transactions is a key feature, as a significant proportion of Kenyan retail payments flow through mobile money rather than traditional banking channels.</w:t>
      </w:r>
    </w:p>
    <w:p>
      <w:pPr>
        <w:pStyle w:val="Heading2"/>
        <w:spacing w:after="160" w:before="360"/>
      </w:pPr>
      <w:bookmarkStart w:id="100102" w:name="_Toc100102"/>
      <w:r>
        <w:rPr>
          <w:rFonts w:ascii="Times New Roman" w:eastAsia="SimHei"/>
          <w:b/>
          <w:bCs/>
          <w:color w:val="1A2330"/>
          <w:sz w:val="28"/>
          <w:szCs w:val="28"/>
        </w:rPr>
        <w:t xml:space="preserve">Bank Account Management</w:t>
      </w:r>
      <w:bookmarkEnd w:id="100102"/>
    </w:p>
    <w:p>
      <w:pPr>
        <w:spacing w:after="120" w:line="312"/>
        <w:jc w:val="both"/>
      </w:pPr>
      <w:r>
        <w:rPr>
          <w:rFonts w:ascii="Times New Roman" w:eastAsia="Microsoft YaHei"/>
          <w:color w:val="2C3E50"/>
          <w:sz w:val="24"/>
          <w:szCs w:val="24"/>
        </w:rPr>
        <w:t xml:space="preserve">The system maintains records for each bank account held by the business, including the bank name, branch, account number, account type (current, savings, fixed deposit), currency, and opening balance. Each bank account is linked to a corresponding general ledger account in the chart of accounts. The system supports multiple bank accounts per store and shared accounts across stores, with appropriate access controls that restrict viewing and transaction entry to authorized users. Bank account details are encrypted at rest and access is logged for security audit purposes.</w:t>
      </w:r>
    </w:p>
    <w:p>
      <w:pPr>
        <w:pStyle w:val="Heading2"/>
        <w:spacing w:after="160" w:before="360"/>
      </w:pPr>
      <w:bookmarkStart w:id="100103" w:name="_Toc100103"/>
      <w:r>
        <w:rPr>
          <w:rFonts w:ascii="Times New Roman" w:eastAsia="SimHei"/>
          <w:b/>
          <w:bCs/>
          <w:color w:val="1A2330"/>
          <w:sz w:val="28"/>
          <w:szCs w:val="28"/>
        </w:rPr>
        <w:t xml:space="preserve">Bank Reconciliation</w:t>
      </w:r>
      <w:bookmarkEnd w:id="100103"/>
    </w:p>
    <w:p>
      <w:pPr>
        <w:pStyle w:val="Heading3"/>
        <w:spacing w:after="120" w:before="240"/>
      </w:pPr>
      <w:bookmarkStart w:id="100104" w:name="_Toc100104"/>
      <w:r>
        <w:rPr>
          <w:rFonts w:ascii="Times New Roman" w:eastAsia="SimHei"/>
          <w:b/>
          <w:bCs/>
          <w:color w:val="1A2330"/>
          <w:sz w:val="24"/>
          <w:szCs w:val="24"/>
        </w:rPr>
        <w:t xml:space="preserve">Reconciliation Process</w:t>
      </w:r>
      <w:bookmarkEnd w:id="100104"/>
    </w:p>
    <w:p>
      <w:pPr>
        <w:spacing w:after="120" w:line="312"/>
        <w:jc w:val="both"/>
      </w:pPr>
      <w:r>
        <w:rPr>
          <w:rFonts w:ascii="Times New Roman" w:eastAsia="Microsoft YaHei"/>
          <w:color w:val="2C3E50"/>
          <w:sz w:val="24"/>
          <w:szCs w:val="24"/>
        </w:rPr>
        <w:t xml:space="preserve">The bank reconciliation workflow matches transactions recorded in the system against entries on the bank statement. The process begins with the system's cash book balance for the bank account, adds deposits in transit (system deposits not yet reflected on the bank statement), subtracts outstanding cheques and payments (system payments not yet cleared by the bank), and adjusts for bank charges and interest not yet recorded in the system. The adjusted cash book balance should equal the bank statement balance; any remaining difference indicates an error or unrecorded transaction that must be investigated. The reconciliation process can be performed manually by matching individual transactions or semi-automatically using amount and date matching algorithms.</w:t>
      </w:r>
    </w:p>
    <w:p>
      <w:pPr>
        <w:pStyle w:val="Heading3"/>
        <w:spacing w:after="120" w:before="240"/>
      </w:pPr>
      <w:bookmarkStart w:id="100105" w:name="_Toc100105"/>
      <w:r>
        <w:rPr>
          <w:rFonts w:ascii="Times New Roman" w:eastAsia="SimHei"/>
          <w:b/>
          <w:bCs/>
          <w:color w:val="1A2330"/>
          <w:sz w:val="24"/>
          <w:szCs w:val="24"/>
        </w:rPr>
        <w:t xml:space="preserve">M-Pesa Reconciliation</w:t>
      </w:r>
      <w:bookmarkEnd w:id="100105"/>
    </w:p>
    <w:p>
      <w:pPr>
        <w:spacing w:after="120" w:line="312"/>
        <w:jc w:val="both"/>
      </w:pPr>
      <w:r>
        <w:rPr>
          <w:rFonts w:ascii="Times New Roman" w:eastAsia="Microsoft YaHei"/>
          <w:color w:val="2C3E50"/>
          <w:sz w:val="24"/>
          <w:szCs w:val="24"/>
        </w:rPr>
        <w:t xml:space="preserve">Given the volume of M-Pesa transactions in Kenyan retail, the module includes dedicated M-Pesa reconciliation functionality. The system imports M-Pesa statement data (either via API integration with the Daraja portal or manual CSV upload) and matches each M-Pesa payment against the corresponding POS transaction using the M-Pesa transaction reference. Unmatched entries are flagged for investigation, common causes being customer-initiated payments without a corresponding POS transaction, delayed callbacks from the Daraja API, and paybill deposits that cannot be automatically linked to a customer account. The reconciliation dashboard provides real-time visibility into the M-Pesa float position, pending reconciliations, and any discrepancies requiring attention.</w:t>
      </w:r>
    </w:p>
    <w:p>
      <w:pPr>
        <w:pStyle w:val="Heading2"/>
        <w:spacing w:after="160" w:before="360"/>
      </w:pPr>
      <w:bookmarkStart w:id="100106" w:name="_Toc100106"/>
      <w:r>
        <w:rPr>
          <w:rFonts w:ascii="Times New Roman" w:eastAsia="SimHei"/>
          <w:b/>
          <w:bCs/>
          <w:color w:val="1A2330"/>
          <w:sz w:val="28"/>
          <w:szCs w:val="28"/>
        </w:rPr>
        <w:t xml:space="preserve">Business Rules</w:t>
      </w:r>
      <w:bookmarkEnd w:id="100106"/>
    </w:p>
    <w:p>
      <w:pPr>
        <w:pStyle w:val="ListParagraph"/>
        <w:numPr>
          <w:ilvl w:val="0"/>
          <w:numId w:val="1"/>
        </w:numPr>
        <w:spacing w:after="80" w:line="312"/>
      </w:pPr>
      <w:r>
        <w:rPr>
          <w:rFonts w:ascii="Times New Roman" w:eastAsia="Microsoft YaHei"/>
          <w:color w:val="2C3E50"/>
          <w:sz w:val="24"/>
          <w:szCs w:val="24"/>
        </w:rPr>
        <w:t xml:space="preserve">Bank reconciliation must be completed at least monthly; the system prevents period closure until reconciliation is done.</w:t>
      </w:r>
    </w:p>
    <w:p>
      <w:pPr>
        <w:pStyle w:val="ListParagraph"/>
        <w:numPr>
          <w:ilvl w:val="0"/>
          <w:numId w:val="1"/>
        </w:numPr>
        <w:spacing w:after="80" w:line="312"/>
      </w:pPr>
      <w:r>
        <w:rPr>
          <w:rFonts w:ascii="Times New Roman" w:eastAsia="Microsoft YaHei"/>
          <w:color w:val="2C3E50"/>
          <w:sz w:val="24"/>
          <w:szCs w:val="24"/>
        </w:rPr>
        <w:t xml:space="preserve">Unreconciled transactions older than 30 days are escalated to the finance manager for investigation.</w:t>
      </w:r>
    </w:p>
    <w:p>
      <w:pPr>
        <w:pStyle w:val="ListParagraph"/>
        <w:numPr>
          <w:ilvl w:val="0"/>
          <w:numId w:val="1"/>
        </w:numPr>
        <w:spacing w:after="80" w:line="312"/>
      </w:pPr>
      <w:r>
        <w:rPr>
          <w:rFonts w:ascii="Times New Roman" w:eastAsia="Microsoft YaHei"/>
          <w:color w:val="2C3E50"/>
          <w:sz w:val="24"/>
          <w:szCs w:val="24"/>
        </w:rPr>
        <w:t xml:space="preserve">M-Pesa float shortfalls exceeding KES 10,000 trigger immediate alerts to the store manager and finance team.</w:t>
      </w:r>
    </w:p>
    <w:p>
      <w:pPr>
        <w:pStyle w:val="ListParagraph"/>
        <w:numPr>
          <w:ilvl w:val="0"/>
          <w:numId w:val="1"/>
        </w:numPr>
        <w:spacing w:after="80" w:line="312"/>
      </w:pPr>
      <w:r>
        <w:rPr>
          <w:rFonts w:ascii="Times New Roman" w:eastAsia="Microsoft YaHei"/>
          <w:color w:val="2C3E50"/>
          <w:sz w:val="24"/>
          <w:szCs w:val="24"/>
        </w:rPr>
        <w:t xml:space="preserve">Bank account access is restricted to Accountant and Super Admin roles; cashiers can only view their own store's float balance.</w:t>
      </w:r>
    </w:p>
    <w:p>
      <w:pPr>
        <w:pStyle w:val="ListParagraph"/>
        <w:numPr>
          <w:ilvl w:val="0"/>
          <w:numId w:val="1"/>
        </w:numPr>
        <w:spacing w:after="80" w:line="312"/>
      </w:pPr>
      <w:r>
        <w:rPr>
          <w:rFonts w:ascii="Times New Roman" w:eastAsia="Microsoft YaHei"/>
          <w:color w:val="2C3E50"/>
          <w:sz w:val="24"/>
          <w:szCs w:val="24"/>
        </w:rPr>
        <w:t xml:space="preserve">All bank transactions are posted to the general ledger automatically as part of the reconciliation process.</w:t>
      </w:r>
    </w:p>
    <w:p>
      <w:pPr>
        <w:pStyle w:val="Heading1"/>
        <w:spacing w:after="200" w:before="480"/>
      </w:pPr>
      <w:bookmarkStart w:id="100107" w:name="_Toc100107"/>
      <w:r>
        <w:rPr>
          <w:rFonts w:ascii="Times New Roman" w:eastAsia="SimHei"/>
          <w:b/>
          <w:bCs/>
          <w:color w:val="1A2330"/>
          <w:sz w:val="32"/>
          <w:szCs w:val="32"/>
        </w:rPr>
        <w:t xml:space="preserve">Module 13: User Management and Security</w:t>
      </w:r>
      <w:bookmarkEnd w:id="100107"/>
    </w:p>
    <w:p>
      <w:pPr>
        <w:pStyle w:val="Heading2"/>
        <w:spacing w:after="160" w:before="360"/>
      </w:pPr>
      <w:bookmarkStart w:id="100108" w:name="_Toc100108"/>
      <w:r>
        <w:rPr>
          <w:rFonts w:ascii="Times New Roman" w:eastAsia="SimHei"/>
          <w:b/>
          <w:bCs/>
          <w:color w:val="1A2330"/>
          <w:sz w:val="28"/>
          <w:szCs w:val="28"/>
        </w:rPr>
        <w:t xml:space="preserve">Overview</w:t>
      </w:r>
      <w:bookmarkEnd w:id="100108"/>
    </w:p>
    <w:p>
      <w:pPr>
        <w:spacing w:after="120" w:line="312"/>
        <w:jc w:val="both"/>
      </w:pPr>
      <w:r>
        <w:rPr>
          <w:rFonts w:ascii="Times New Roman" w:eastAsia="Microsoft YaHei"/>
          <w:color w:val="2C3E50"/>
          <w:sz w:val="24"/>
          <w:szCs w:val="24"/>
        </w:rPr>
        <w:t xml:space="preserve">The User Management and Security module provides the authentication, authorization, and audit infrastructure that protects the system and its data from unauthorized access and ensures accountability for all actions performed within the system. In a multi-store retail environment where multiple users access shared data from different locations, robust access control is essential not only for data security but also for operational integrity, preventing unauthorized price changes, fraudulent voids, and inappropriate data access. The module implements role-based access control (RBAC) with granular permissions, comprehensive audit logging, and security features aligned with Kenya's data protection requirements.</w:t>
      </w:r>
    </w:p>
    <w:p>
      <w:pPr>
        <w:pStyle w:val="Heading2"/>
        <w:spacing w:after="160" w:before="360"/>
      </w:pPr>
      <w:bookmarkStart w:id="100109" w:name="_Toc100109"/>
      <w:r>
        <w:rPr>
          <w:rFonts w:ascii="Times New Roman" w:eastAsia="SimHei"/>
          <w:b/>
          <w:bCs/>
          <w:color w:val="1A2330"/>
          <w:sz w:val="28"/>
          <w:szCs w:val="28"/>
        </w:rPr>
        <w:t xml:space="preserve">Role-Based Access Control</w:t>
      </w:r>
      <w:bookmarkEnd w:id="100109"/>
    </w:p>
    <w:p>
      <w:pPr>
        <w:pStyle w:val="Heading3"/>
        <w:spacing w:after="120" w:before="240"/>
      </w:pPr>
      <w:bookmarkStart w:id="100110" w:name="_Toc100110"/>
      <w:r>
        <w:rPr>
          <w:rFonts w:ascii="Times New Roman" w:eastAsia="SimHei"/>
          <w:b/>
          <w:bCs/>
          <w:color w:val="1A2330"/>
          <w:sz w:val="24"/>
          <w:szCs w:val="24"/>
        </w:rPr>
        <w:t xml:space="preserve">Role Definitions</w:t>
      </w:r>
      <w:bookmarkEnd w:id="10011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8%"/>
            <w:shd w:fill="D4875A" w:val="clear"/>
            <w:tcMar>
              <w:top w:type="dxa" w:w="60"/>
              <w:left w:type="dxa" w:w="120"/>
              <w:bottom w:type="dxa" w:w="60"/>
              <w:right w:type="dxa" w:w="120"/>
            </w:tcMar>
          </w:tcPr>
          <w:p>
            <w:r>
              <w:rPr>
                <w:rFonts w:ascii="Times New Roman" w:eastAsia="SimHei"/>
                <w:b/>
                <w:bCs/>
                <w:color w:val="FFFFFF"/>
                <w:sz w:val="21"/>
                <w:szCs w:val="21"/>
              </w:rPr>
              <w:t xml:space="preserve">Role</w:t>
            </w:r>
          </w:p>
        </w:tc>
        <w:tc>
          <w:tcPr>
            <w:tcW w:type="pct" w:w="22%"/>
            <w:shd w:fill="D4875A" w:val="clear"/>
            <w:tcMar>
              <w:top w:type="dxa" w:w="60"/>
              <w:left w:type="dxa" w:w="120"/>
              <w:bottom w:type="dxa" w:w="60"/>
              <w:right w:type="dxa" w:w="120"/>
            </w:tcMar>
          </w:tcPr>
          <w:p>
            <w:r>
              <w:rPr>
                <w:rFonts w:ascii="Times New Roman" w:eastAsia="SimHei"/>
                <w:b/>
                <w:bCs/>
                <w:color w:val="FFFFFF"/>
                <w:sz w:val="21"/>
                <w:szCs w:val="21"/>
              </w:rPr>
              <w:t xml:space="preserve">Scope</w:t>
            </w:r>
          </w:p>
        </w:tc>
        <w:tc>
          <w:tcPr>
            <w:tcW w:type="pct" w:w="60%"/>
            <w:shd w:fill="D4875A" w:val="clear"/>
            <w:tcMar>
              <w:top w:type="dxa" w:w="60"/>
              <w:left w:type="dxa" w:w="120"/>
              <w:bottom w:type="dxa" w:w="60"/>
              <w:right w:type="dxa" w:w="120"/>
            </w:tcMar>
          </w:tcPr>
          <w:p>
            <w:r>
              <w:rPr>
                <w:rFonts w:ascii="Times New Roman" w:eastAsia="SimHei"/>
                <w:b/>
                <w:bCs/>
                <w:color w:val="FFFFFF"/>
                <w:sz w:val="21"/>
                <w:szCs w:val="21"/>
              </w:rPr>
              <w:t xml:space="preserve">Key Permissions</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Super Admin</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All stores</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Full system access, user management, configuration, cross-store reporting</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Store Manager</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Assigned store(s)</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Store operations, staff oversight, inventory management, expense approval, reports</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Cashier</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Assigned store</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POS transactions, customer lookup, receipt reprint, end-of-day reconciliation</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Accountant</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All stores (financial)</w:t>
            </w:r>
          </w:p>
        </w:tc>
        <w:tc>
          <w:tcPr>
            <w:tcW w:type="pct" w:w="60%"/>
            <w:shd w:fill="FFFFFF" w:val="clear"/>
            <w:tcMar>
              <w:top w:type="dxa" w:w="60"/>
              <w:left w:type="dxa" w:w="120"/>
              <w:bottom w:type="dxa" w:w="60"/>
              <w:right w:type="dxa" w:w="120"/>
            </w:tcMar>
          </w:tcPr>
          <w:p>
            <w:r>
              <w:rPr>
                <w:rFonts w:ascii="Times New Roman" w:eastAsia="Microsoft YaHei"/>
                <w:color w:val="2C3E50"/>
                <w:sz w:val="21"/>
                <w:szCs w:val="21"/>
              </w:rPr>
              <w:t xml:space="preserve">GL entries, bank reconciliation, tax reports, financial statements, payment processing</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Warehouse Staff</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Assigned store</w:t>
            </w:r>
          </w:p>
        </w:tc>
        <w:tc>
          <w:tcPr>
            <w:tcW w:type="pct" w:w="60%"/>
            <w:shd w:fill="F8F0EB" w:val="clear"/>
            <w:tcMar>
              <w:top w:type="dxa" w:w="60"/>
              <w:left w:type="dxa" w:w="120"/>
              <w:bottom w:type="dxa" w:w="60"/>
              <w:right w:type="dxa" w:w="120"/>
            </w:tcMar>
          </w:tcPr>
          <w:p>
            <w:r>
              <w:rPr>
                <w:rFonts w:ascii="Times New Roman" w:eastAsia="Microsoft YaHei"/>
                <w:color w:val="2C3E50"/>
                <w:sz w:val="21"/>
                <w:szCs w:val="21"/>
              </w:rPr>
              <w:t xml:space="preserve">Goods receipt, stock adjustments, physical counts, transfer processing</w:t>
            </w:r>
          </w:p>
        </w:tc>
      </w:tr>
    </w:tbl>
    <w:p>
      <w:pPr>
        <w:spacing w:after="200" w:before="80"/>
        <w:jc w:val="center"/>
      </w:pPr>
      <w:r>
        <w:rPr>
          <w:rFonts w:ascii="Times New Roman" w:eastAsia="Microsoft YaHei"/>
          <w:i/>
          <w:iCs/>
          <w:color w:val="607080"/>
          <w:sz w:val="20"/>
          <w:szCs w:val="20"/>
        </w:rPr>
        <w:t xml:space="preserve">Table 10: Role Definitions and Key Permissions</w:t>
      </w:r>
    </w:p>
    <w:p>
      <w:pPr>
        <w:pStyle w:val="Heading3"/>
        <w:spacing w:after="120" w:before="240"/>
      </w:pPr>
      <w:bookmarkStart w:id="100111" w:name="_Toc100111"/>
      <w:r>
        <w:rPr>
          <w:rFonts w:ascii="Times New Roman" w:eastAsia="SimHei"/>
          <w:b/>
          <w:bCs/>
          <w:color w:val="1A2330"/>
          <w:sz w:val="24"/>
          <w:szCs w:val="24"/>
        </w:rPr>
        <w:t xml:space="preserve">Permission Granularity</w:t>
      </w:r>
      <w:bookmarkEnd w:id="100111"/>
    </w:p>
    <w:p>
      <w:pPr>
        <w:spacing w:after="120" w:line="312"/>
        <w:jc w:val="both"/>
      </w:pPr>
      <w:r>
        <w:rPr>
          <w:rFonts w:ascii="Times New Roman" w:eastAsia="Microsoft YaHei"/>
          <w:color w:val="2C3E50"/>
          <w:sz w:val="24"/>
          <w:szCs w:val="24"/>
        </w:rPr>
        <w:t xml:space="preserve">Permissions are defined at the module-entity-action level, enabling fine-grained control over what each role can do. For example, a Cashier role may have read access to Products (to search and scan items at POS), create and update access to Sales (to process transactions), but no access to Accounts or Supplier records. Permissions can be further scoped by store, so a Store Manager at Store A cannot access operational data for Store B unless explicitly granted cross-store permissions. Custom roles can be created by combining individual permissions, allowing the system to accommodate unique organizational structures and job functions.</w:t>
      </w:r>
    </w:p>
    <w:p>
      <w:pPr>
        <w:pStyle w:val="Heading2"/>
        <w:spacing w:after="160" w:before="360"/>
      </w:pPr>
      <w:bookmarkStart w:id="100112" w:name="_Toc100112"/>
      <w:r>
        <w:rPr>
          <w:rFonts w:ascii="Times New Roman" w:eastAsia="SimHei"/>
          <w:b/>
          <w:bCs/>
          <w:color w:val="1A2330"/>
          <w:sz w:val="28"/>
          <w:szCs w:val="28"/>
        </w:rPr>
        <w:t xml:space="preserve">Authentication</w:t>
      </w:r>
      <w:bookmarkEnd w:id="100112"/>
    </w:p>
    <w:p>
      <w:pPr>
        <w:spacing w:after="120" w:line="312"/>
        <w:jc w:val="both"/>
      </w:pPr>
      <w:r>
        <w:rPr>
          <w:rFonts w:ascii="Times New Roman" w:eastAsia="Microsoft YaHei"/>
          <w:color w:val="2C3E50"/>
          <w:sz w:val="24"/>
          <w:szCs w:val="24"/>
        </w:rPr>
        <w:t xml:space="preserve">Users authenticate with a username and password, with support for multi-factor authentication (MFA) via SMS or authenticator app for high-privilege roles (Super Admin, Accountant). Passwords are stored using bcrypt hashing with a minimum complexity requirement of 8 characters including uppercase, lowercase, digit, and special character. Session management includes configurable timeout periods (default 30 minutes of inactivity), automatic logout, and session invalidation on password change. The system supports both individual user accounts and shared shift accounts (where multiple cashiers use a single POS terminal with shift-level identification), a common requirement in Kenyan retail where terminals are shared across work shifts.</w:t>
      </w:r>
    </w:p>
    <w:p>
      <w:pPr>
        <w:pStyle w:val="Heading2"/>
        <w:spacing w:after="160" w:before="360"/>
      </w:pPr>
      <w:bookmarkStart w:id="100113" w:name="_Toc100113"/>
      <w:r>
        <w:rPr>
          <w:rFonts w:ascii="Times New Roman" w:eastAsia="SimHei"/>
          <w:b/>
          <w:bCs/>
          <w:color w:val="1A2330"/>
          <w:sz w:val="28"/>
          <w:szCs w:val="28"/>
        </w:rPr>
        <w:t xml:space="preserve">Audit Logging</w:t>
      </w:r>
      <w:bookmarkEnd w:id="100113"/>
    </w:p>
    <w:p>
      <w:pPr>
        <w:spacing w:after="120" w:line="312"/>
        <w:jc w:val="both"/>
      </w:pPr>
      <w:r>
        <w:rPr>
          <w:rFonts w:ascii="Times New Roman" w:eastAsia="Microsoft YaHei"/>
          <w:color w:val="2C3E50"/>
          <w:sz w:val="24"/>
          <w:szCs w:val="24"/>
        </w:rPr>
        <w:t xml:space="preserve">Every significant action in the system is recorded in an immutable audit log, including user login/logout, data creation/modification/deletion, approval actions, price overrides, voids, refunds, and configuration changes. Each audit entry captures the timestamp, user ID, action type, affected entity, previous and new values (for modifications), and the IP address or terminal identifier. Audit logs are retained for a minimum of 7 years in compliance with KRA record-keeping requirements and are accessible only to Super Admin and Accountant roles. The system provides audit log search and filtering capabilities to support investigation of specific incidents and periodic compliance reviews.</w:t>
      </w:r>
    </w:p>
    <w:p>
      <w:pPr>
        <w:pStyle w:val="Heading2"/>
        <w:spacing w:after="160" w:before="360"/>
      </w:pPr>
      <w:bookmarkStart w:id="100114" w:name="_Toc100114"/>
      <w:r>
        <w:rPr>
          <w:rFonts w:ascii="Times New Roman" w:eastAsia="SimHei"/>
          <w:b/>
          <w:bCs/>
          <w:color w:val="1A2330"/>
          <w:sz w:val="28"/>
          <w:szCs w:val="28"/>
        </w:rPr>
        <w:t xml:space="preserve">Data Protection</w:t>
      </w:r>
      <w:bookmarkEnd w:id="100114"/>
    </w:p>
    <w:p>
      <w:pPr>
        <w:spacing w:after="120" w:line="312"/>
        <w:jc w:val="both"/>
      </w:pPr>
      <w:r>
        <w:rPr>
          <w:rFonts w:ascii="Times New Roman" w:eastAsia="Microsoft YaHei"/>
          <w:color w:val="2C3E50"/>
          <w:sz w:val="24"/>
          <w:szCs w:val="24"/>
        </w:rPr>
        <w:t xml:space="preserve">The system implements data protection measures aligned with the Kenya Data Protection Act (DPA) 2019. Customer personal data (names, phone numbers, ID numbers) is encrypted at rest using AES-256 encryption and in transit using TLS 1.3. Access to personal data is logged and restricted to authorized roles. The system supports data subject rights including the right to access, rectification, and erasure of personal data, with workflows for processing such requests. Data retention policies are configurable per data type, and the system can automatically purge data that has exceeded its retention period, subject to legal hold requirements for tax and audit purposes.</w:t>
      </w:r>
    </w:p>
    <w:p>
      <w:pPr>
        <w:pStyle w:val="Heading2"/>
        <w:spacing w:after="160" w:before="360"/>
      </w:pPr>
      <w:bookmarkStart w:id="100115" w:name="_Toc100115"/>
      <w:r>
        <w:rPr>
          <w:rFonts w:ascii="Times New Roman" w:eastAsia="SimHei"/>
          <w:b/>
          <w:bCs/>
          <w:color w:val="1A2330"/>
          <w:sz w:val="28"/>
          <w:szCs w:val="28"/>
        </w:rPr>
        <w:t xml:space="preserve">Business Rules</w:t>
      </w:r>
      <w:bookmarkEnd w:id="100115"/>
    </w:p>
    <w:p>
      <w:pPr>
        <w:pStyle w:val="ListParagraph"/>
        <w:numPr>
          <w:ilvl w:val="0"/>
          <w:numId w:val="1"/>
        </w:numPr>
        <w:spacing w:after="80" w:line="312"/>
      </w:pPr>
      <w:r>
        <w:rPr>
          <w:rFonts w:ascii="Times New Roman" w:eastAsia="Microsoft YaHei"/>
          <w:color w:val="2C3E50"/>
          <w:sz w:val="24"/>
          <w:szCs w:val="24"/>
        </w:rPr>
        <w:t xml:space="preserve">Passwords must be changed every 90 days; the system enforces a history of 12 previous passwords to prevent reuse.</w:t>
      </w:r>
    </w:p>
    <w:p>
      <w:pPr>
        <w:pStyle w:val="ListParagraph"/>
        <w:numPr>
          <w:ilvl w:val="0"/>
          <w:numId w:val="1"/>
        </w:numPr>
        <w:spacing w:after="80" w:line="312"/>
      </w:pPr>
      <w:r>
        <w:rPr>
          <w:rFonts w:ascii="Times New Roman" w:eastAsia="Microsoft YaHei"/>
          <w:color w:val="2C3E50"/>
          <w:sz w:val="24"/>
          <w:szCs w:val="24"/>
        </w:rPr>
        <w:t xml:space="preserve">User accounts are locked after 5 consecutive failed login attempts; unlocking requires Super Admin action.</w:t>
      </w:r>
    </w:p>
    <w:p>
      <w:pPr>
        <w:pStyle w:val="ListParagraph"/>
        <w:numPr>
          <w:ilvl w:val="0"/>
          <w:numId w:val="1"/>
        </w:numPr>
        <w:spacing w:after="80" w:line="312"/>
      </w:pPr>
      <w:r>
        <w:rPr>
          <w:rFonts w:ascii="Times New Roman" w:eastAsia="Microsoft YaHei"/>
          <w:color w:val="2C3E50"/>
          <w:sz w:val="24"/>
          <w:szCs w:val="24"/>
        </w:rPr>
        <w:t xml:space="preserve">All financial transactions above KES 100,000 require two-factor authentication regardless of the user's role.</w:t>
      </w:r>
    </w:p>
    <w:p>
      <w:pPr>
        <w:pStyle w:val="ListParagraph"/>
        <w:numPr>
          <w:ilvl w:val="0"/>
          <w:numId w:val="1"/>
        </w:numPr>
        <w:spacing w:after="80" w:line="312"/>
      </w:pPr>
      <w:r>
        <w:rPr>
          <w:rFonts w:ascii="Times New Roman" w:eastAsia="Microsoft YaHei"/>
          <w:color w:val="2C3E50"/>
          <w:sz w:val="24"/>
          <w:szCs w:val="24"/>
        </w:rPr>
        <w:t xml:space="preserve">Audit logs cannot be deleted or modified by any user, including Super Admin; they are append-only.</w:t>
      </w:r>
    </w:p>
    <w:p>
      <w:pPr>
        <w:pStyle w:val="ListParagraph"/>
        <w:numPr>
          <w:ilvl w:val="0"/>
          <w:numId w:val="1"/>
        </w:numPr>
        <w:spacing w:after="80" w:line="312"/>
      </w:pPr>
      <w:r>
        <w:rPr>
          <w:rFonts w:ascii="Times New Roman" w:eastAsia="Microsoft YaHei"/>
          <w:color w:val="2C3E50"/>
          <w:sz w:val="24"/>
          <w:szCs w:val="24"/>
        </w:rPr>
        <w:t xml:space="preserve">User deactivation does not delete the account; it disables login access while preserving the audit history.</w:t>
      </w:r>
    </w:p>
    <w:p>
      <w:pPr>
        <w:pStyle w:val="ListParagraph"/>
        <w:numPr>
          <w:ilvl w:val="0"/>
          <w:numId w:val="1"/>
        </w:numPr>
        <w:spacing w:after="80" w:line="312"/>
      </w:pPr>
      <w:r>
        <w:rPr>
          <w:rFonts w:ascii="Times New Roman" w:eastAsia="Microsoft YaHei"/>
          <w:color w:val="2C3E50"/>
          <w:sz w:val="24"/>
          <w:szCs w:val="24"/>
        </w:rPr>
        <w:t xml:space="preserve">Personal data exports for DPA subject access requests must be completed within 30 days of the request.</w:t>
      </w:r>
    </w:p>
    <w:p>
      <w:pPr>
        <w:pStyle w:val="Heading1"/>
        <w:spacing w:after="200" w:before="480"/>
      </w:pPr>
      <w:bookmarkStart w:id="100116" w:name="_Toc100116"/>
      <w:r>
        <w:rPr>
          <w:rFonts w:ascii="Times New Roman" w:eastAsia="SimHei"/>
          <w:b/>
          <w:bCs/>
          <w:color w:val="1A2330"/>
          <w:sz w:val="32"/>
          <w:szCs w:val="32"/>
        </w:rPr>
        <w:t xml:space="preserve">Cross-Module Integration and Data Flow</w:t>
      </w:r>
      <w:bookmarkEnd w:id="100116"/>
    </w:p>
    <w:p>
      <w:pPr>
        <w:pStyle w:val="Heading2"/>
        <w:spacing w:after="160" w:before="360"/>
      </w:pPr>
      <w:bookmarkStart w:id="100117" w:name="_Toc100117"/>
      <w:r>
        <w:rPr>
          <w:rFonts w:ascii="Times New Roman" w:eastAsia="SimHei"/>
          <w:b/>
          <w:bCs/>
          <w:color w:val="1A2330"/>
          <w:sz w:val="28"/>
          <w:szCs w:val="28"/>
        </w:rPr>
        <w:t xml:space="preserve">Integration Architecture</w:t>
      </w:r>
      <w:bookmarkEnd w:id="100117"/>
    </w:p>
    <w:p>
      <w:pPr>
        <w:spacing w:after="120" w:line="312"/>
        <w:jc w:val="both"/>
      </w:pPr>
      <w:r>
        <w:rPr>
          <w:rFonts w:ascii="Times New Roman" w:eastAsia="Microsoft YaHei"/>
          <w:color w:val="2C3E50"/>
          <w:sz w:val="24"/>
          <w:szCs w:val="24"/>
        </w:rPr>
        <w:t xml:space="preserve">The thirteen modules of the Kenyan Hardware POS System are designed as semi-independent components connected through a well-defined integration layer. Each module exposes its data and operations through internal APIs, and cross-module communication follows an event-driven architecture where significant state changes emit events that other modules can subscribe to. This design ensures loose coupling between modules, enabling independent development, testing, and deployment while maintaining the data consistency required for a cohesive business system.</w:t>
      </w:r>
    </w:p>
    <w:p>
      <w:pPr>
        <w:pStyle w:val="Heading2"/>
        <w:spacing w:after="160" w:before="360"/>
      </w:pPr>
      <w:bookmarkStart w:id="100118" w:name="_Toc100118"/>
      <w:r>
        <w:rPr>
          <w:rFonts w:ascii="Times New Roman" w:eastAsia="SimHei"/>
          <w:b/>
          <w:bCs/>
          <w:color w:val="1A2330"/>
          <w:sz w:val="28"/>
          <w:szCs w:val="28"/>
        </w:rPr>
        <w:t xml:space="preserve">Key Integration Points</w:t>
      </w:r>
      <w:bookmarkEnd w:id="10011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8%"/>
            <w:shd w:fill="D4875A" w:val="clear"/>
            <w:tcMar>
              <w:top w:type="dxa" w:w="60"/>
              <w:left w:type="dxa" w:w="120"/>
              <w:bottom w:type="dxa" w:w="60"/>
              <w:right w:type="dxa" w:w="120"/>
            </w:tcMar>
          </w:tcPr>
          <w:p>
            <w:r>
              <w:rPr>
                <w:rFonts w:ascii="Times New Roman" w:eastAsia="SimHei"/>
                <w:b/>
                <w:bCs/>
                <w:color w:val="FFFFFF"/>
                <w:sz w:val="21"/>
                <w:szCs w:val="21"/>
              </w:rPr>
              <w:t xml:space="preserve">Source Module</w:t>
            </w:r>
          </w:p>
        </w:tc>
        <w:tc>
          <w:tcPr>
            <w:tcW w:type="pct" w:w="22%"/>
            <w:shd w:fill="D4875A" w:val="clear"/>
            <w:tcMar>
              <w:top w:type="dxa" w:w="60"/>
              <w:left w:type="dxa" w:w="120"/>
              <w:bottom w:type="dxa" w:w="60"/>
              <w:right w:type="dxa" w:w="120"/>
            </w:tcMar>
          </w:tcPr>
          <w:p>
            <w:r>
              <w:rPr>
                <w:rFonts w:ascii="Times New Roman" w:eastAsia="SimHei"/>
                <w:b/>
                <w:bCs/>
                <w:color w:val="FFFFFF"/>
                <w:sz w:val="21"/>
                <w:szCs w:val="21"/>
              </w:rPr>
              <w:t xml:space="preserve">Target Module(s)</w:t>
            </w:r>
          </w:p>
        </w:tc>
        <w:tc>
          <w:tcPr>
            <w:tcW w:type="pct" w:w="30%"/>
            <w:shd w:fill="D4875A" w:val="clear"/>
            <w:tcMar>
              <w:top w:type="dxa" w:w="60"/>
              <w:left w:type="dxa" w:w="120"/>
              <w:bottom w:type="dxa" w:w="60"/>
              <w:right w:type="dxa" w:w="120"/>
            </w:tcMar>
          </w:tcPr>
          <w:p>
            <w:r>
              <w:rPr>
                <w:rFonts w:ascii="Times New Roman" w:eastAsia="SimHei"/>
                <w:b/>
                <w:bCs/>
                <w:color w:val="FFFFFF"/>
                <w:sz w:val="21"/>
                <w:szCs w:val="21"/>
              </w:rPr>
              <w:t xml:space="preserve">Data Flow</w:t>
            </w:r>
          </w:p>
        </w:tc>
        <w:tc>
          <w:tcPr>
            <w:tcW w:type="pct" w:w="30%"/>
            <w:shd w:fill="D4875A" w:val="clear"/>
            <w:tcMar>
              <w:top w:type="dxa" w:w="60"/>
              <w:left w:type="dxa" w:w="120"/>
              <w:bottom w:type="dxa" w:w="60"/>
              <w:right w:type="dxa" w:w="120"/>
            </w:tcMar>
          </w:tcPr>
          <w:p>
            <w:r>
              <w:rPr>
                <w:rFonts w:ascii="Times New Roman" w:eastAsia="SimHei"/>
                <w:b/>
                <w:bCs/>
                <w:color w:val="FFFFFF"/>
                <w:sz w:val="21"/>
                <w:szCs w:val="21"/>
              </w:rPr>
              <w:t xml:space="preserve">Trigger</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Sales</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Product/Inventory</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Stock deduction, price lookup</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Transaction completion</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Sales</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Tax Management</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VAT calculation, eTIMS submission</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Invoice generation</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Sales</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Customer Loyalty</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Points accrual, tier updates</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Transaction completion</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Sales</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Accounts</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Revenue posting, receivable creation</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Transaction completion</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Sales</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Banking</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M-Pesa payment recording</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Payment confirmation</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Purchase</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Product/Inventory</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Stock addition, cost price update</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Goods receipt</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Purchase</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Supplier</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Performance metric update</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Delivery completion</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Purchase</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Tax Management</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Input VAT, withholding tax</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Invoice matching</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Purchase</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Accounts</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Payable creation</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Invoice approval</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Quotes/Invoices</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Sales</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Order creation from quote</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Quote acceptance</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Quotes/Invoices</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Product/Inventory</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Stock reservation</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Order confirmation</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Multi-Store</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Product/Inventory</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Transfer stock adjustments</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Transfer receipt</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Expenses</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Accounts</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Expense journal entries</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Expense approval</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Voucher</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Sales</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Discount application</w:t>
            </w:r>
          </w:p>
        </w:tc>
        <w:tc>
          <w:tcPr>
            <w:tcW w:type="pct" w:w="30%"/>
            <w:shd w:fill="FFFFFF" w:val="clear"/>
            <w:tcMar>
              <w:top w:type="dxa" w:w="60"/>
              <w:left w:type="dxa" w:w="120"/>
              <w:bottom w:type="dxa" w:w="60"/>
              <w:right w:type="dxa" w:w="120"/>
            </w:tcMar>
          </w:tcPr>
          <w:p>
            <w:r>
              <w:rPr>
                <w:rFonts w:ascii="Times New Roman" w:eastAsia="Microsoft YaHei"/>
                <w:color w:val="2C3E50"/>
                <w:sz w:val="21"/>
                <w:szCs w:val="21"/>
              </w:rPr>
              <w:t xml:space="preserve">Voucher redemption at POS</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Banking</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Accounts</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Bank transaction posting</w:t>
            </w:r>
          </w:p>
        </w:tc>
        <w:tc>
          <w:tcPr>
            <w:tcW w:type="pct" w:w="30%"/>
            <w:shd w:fill="F8F0EB" w:val="clear"/>
            <w:tcMar>
              <w:top w:type="dxa" w:w="60"/>
              <w:left w:type="dxa" w:w="120"/>
              <w:bottom w:type="dxa" w:w="60"/>
              <w:right w:type="dxa" w:w="120"/>
            </w:tcMar>
          </w:tcPr>
          <w:p>
            <w:r>
              <w:rPr>
                <w:rFonts w:ascii="Times New Roman" w:eastAsia="Microsoft YaHei"/>
                <w:color w:val="2C3E50"/>
                <w:sz w:val="21"/>
                <w:szCs w:val="21"/>
              </w:rPr>
              <w:t xml:space="preserve">Reconciliation completion</w:t>
            </w:r>
          </w:p>
        </w:tc>
      </w:tr>
    </w:tbl>
    <w:p>
      <w:pPr>
        <w:spacing w:after="200" w:before="80"/>
        <w:jc w:val="center"/>
      </w:pPr>
      <w:r>
        <w:rPr>
          <w:rFonts w:ascii="Times New Roman" w:eastAsia="Microsoft YaHei"/>
          <w:i/>
          <w:iCs/>
          <w:color w:val="607080"/>
          <w:sz w:val="20"/>
          <w:szCs w:val="20"/>
        </w:rPr>
        <w:t xml:space="preserve">Table 11: Key Cross-Module Integration Points</w:t>
      </w:r>
    </w:p>
    <w:p>
      <w:pPr>
        <w:pStyle w:val="Heading2"/>
        <w:spacing w:after="160" w:before="360"/>
      </w:pPr>
      <w:bookmarkStart w:id="100119" w:name="_Toc100119"/>
      <w:r>
        <w:rPr>
          <w:rFonts w:ascii="Times New Roman" w:eastAsia="SimHei"/>
          <w:b/>
          <w:bCs/>
          <w:color w:val="1A2330"/>
          <w:sz w:val="28"/>
          <w:szCs w:val="28"/>
        </w:rPr>
        <w:t xml:space="preserve">Data Consistency Guarantees</w:t>
      </w:r>
      <w:bookmarkEnd w:id="100119"/>
    </w:p>
    <w:p>
      <w:pPr>
        <w:spacing w:after="120" w:line="312"/>
        <w:jc w:val="both"/>
      </w:pPr>
      <w:r>
        <w:rPr>
          <w:rFonts w:ascii="Times New Roman" w:eastAsia="Microsoft YaHei"/>
          <w:color w:val="2C3E50"/>
          <w:sz w:val="24"/>
          <w:szCs w:val="24"/>
        </w:rPr>
        <w:t xml:space="preserve">The system provides strong consistency guarantees within a single store (local SQLite transactions) and eventual consistency across stores (asynchronous sync). For cross-module operations within the same store, the system uses ACID transactions that span multiple modules when necessary. For example, completing a sale atomically updates inventory, posts to accounts, accrues loyalty points, and submits to eTIMS within a single database transaction at the local store level. If any step fails, the entire transaction is rolled back, ensuring that the system never reaches an inconsistent state. The sync layer then propagates these changes to the central server as a unit, maintaining consistency across the distributed system.</w:t>
      </w:r>
    </w:p>
    <w:p>
      <w:pPr>
        <w:pStyle w:val="Heading1"/>
        <w:spacing w:after="200" w:before="480"/>
      </w:pPr>
      <w:bookmarkStart w:id="100120" w:name="_Toc100120"/>
      <w:r>
        <w:rPr>
          <w:rFonts w:ascii="Times New Roman" w:eastAsia="SimHei"/>
          <w:b/>
          <w:bCs/>
          <w:color w:val="1A2330"/>
          <w:sz w:val="32"/>
          <w:szCs w:val="32"/>
        </w:rPr>
        <w:t xml:space="preserve">Non-Functional Requirements</w:t>
      </w:r>
      <w:bookmarkEnd w:id="100120"/>
    </w:p>
    <w:p>
      <w:pPr>
        <w:pStyle w:val="Heading2"/>
        <w:spacing w:after="160" w:before="360"/>
      </w:pPr>
      <w:bookmarkStart w:id="100121" w:name="_Toc100121"/>
      <w:r>
        <w:rPr>
          <w:rFonts w:ascii="Times New Roman" w:eastAsia="SimHei"/>
          <w:b/>
          <w:bCs/>
          <w:color w:val="1A2330"/>
          <w:sz w:val="28"/>
          <w:szCs w:val="28"/>
        </w:rPr>
        <w:t xml:space="preserve">Performance</w:t>
      </w:r>
      <w:bookmarkEnd w:id="100121"/>
    </w:p>
    <w:p>
      <w:pPr>
        <w:pStyle w:val="ListParagraph"/>
        <w:numPr>
          <w:ilvl w:val="0"/>
          <w:numId w:val="1"/>
        </w:numPr>
        <w:spacing w:after="80" w:line="312"/>
      </w:pPr>
      <w:r>
        <w:rPr>
          <w:rFonts w:ascii="Times New Roman" w:eastAsia="Microsoft YaHei"/>
          <w:color w:val="2C3E50"/>
          <w:sz w:val="24"/>
          <w:szCs w:val="24"/>
        </w:rPr>
        <w:t xml:space="preserve">POS transaction processing (scan to receipt) must complete within 3 seconds under normal load.</w:t>
      </w:r>
    </w:p>
    <w:p>
      <w:pPr>
        <w:pStyle w:val="ListParagraph"/>
        <w:numPr>
          <w:ilvl w:val="0"/>
          <w:numId w:val="1"/>
        </w:numPr>
        <w:spacing w:after="80" w:line="312"/>
      </w:pPr>
      <w:r>
        <w:rPr>
          <w:rFonts w:ascii="Times New Roman" w:eastAsia="Microsoft YaHei"/>
          <w:color w:val="2C3E50"/>
          <w:sz w:val="24"/>
          <w:szCs w:val="24"/>
        </w:rPr>
        <w:t xml:space="preserve">Product search and lookup must return results within 500 milliseconds for catalogs up to 100,000 items.</w:t>
      </w:r>
    </w:p>
    <w:p>
      <w:pPr>
        <w:pStyle w:val="ListParagraph"/>
        <w:numPr>
          <w:ilvl w:val="0"/>
          <w:numId w:val="1"/>
        </w:numPr>
        <w:spacing w:after="80" w:line="312"/>
      </w:pPr>
      <w:r>
        <w:rPr>
          <w:rFonts w:ascii="Times New Roman" w:eastAsia="Microsoft YaHei"/>
          <w:color w:val="2C3E50"/>
          <w:sz w:val="24"/>
          <w:szCs w:val="24"/>
        </w:rPr>
        <w:t xml:space="preserve">Report generation for standard reports must complete within 30 seconds for up to 12 months of data.</w:t>
      </w:r>
    </w:p>
    <w:p>
      <w:pPr>
        <w:pStyle w:val="ListParagraph"/>
        <w:numPr>
          <w:ilvl w:val="0"/>
          <w:numId w:val="1"/>
        </w:numPr>
        <w:spacing w:after="80" w:line="312"/>
      </w:pPr>
      <w:r>
        <w:rPr>
          <w:rFonts w:ascii="Times New Roman" w:eastAsia="Microsoft YaHei"/>
          <w:color w:val="2C3E50"/>
          <w:sz w:val="24"/>
          <w:szCs w:val="24"/>
        </w:rPr>
        <w:t xml:space="preserve">The system must support at least 20 concurrent POS terminals per store without degradation.</w:t>
      </w:r>
    </w:p>
    <w:p>
      <w:pPr>
        <w:pStyle w:val="ListParagraph"/>
        <w:numPr>
          <w:ilvl w:val="0"/>
          <w:numId w:val="1"/>
        </w:numPr>
        <w:spacing w:after="80" w:line="312"/>
      </w:pPr>
      <w:r>
        <w:rPr>
          <w:rFonts w:ascii="Times New Roman" w:eastAsia="Microsoft YaHei"/>
          <w:color w:val="2C3E50"/>
          <w:sz w:val="24"/>
          <w:szCs w:val="24"/>
        </w:rPr>
        <w:t xml:space="preserve">Database queries for common operations must be optimized with appropriate indexes; explain plans must be reviewed for any query exceeding 100ms.</w:t>
      </w:r>
    </w:p>
    <w:p>
      <w:pPr>
        <w:pStyle w:val="Heading2"/>
        <w:spacing w:after="160" w:before="360"/>
      </w:pPr>
      <w:bookmarkStart w:id="100122" w:name="_Toc100122"/>
      <w:r>
        <w:rPr>
          <w:rFonts w:ascii="Times New Roman" w:eastAsia="SimHei"/>
          <w:b/>
          <w:bCs/>
          <w:color w:val="1A2330"/>
          <w:sz w:val="28"/>
          <w:szCs w:val="28"/>
        </w:rPr>
        <w:t xml:space="preserve">Reliability and Availability</w:t>
      </w:r>
      <w:bookmarkEnd w:id="100122"/>
    </w:p>
    <w:p>
      <w:pPr>
        <w:pStyle w:val="ListParagraph"/>
        <w:numPr>
          <w:ilvl w:val="0"/>
          <w:numId w:val="1"/>
        </w:numPr>
        <w:spacing w:after="80" w:line="312"/>
      </w:pPr>
      <w:r>
        <w:rPr>
          <w:rFonts w:ascii="Times New Roman" w:eastAsia="Microsoft YaHei"/>
          <w:color w:val="2C3E50"/>
          <w:sz w:val="24"/>
          <w:szCs w:val="24"/>
        </w:rPr>
        <w:t xml:space="preserve">The system must operate fully offline for a minimum of 72 hours without data loss.</w:t>
      </w:r>
    </w:p>
    <w:p>
      <w:pPr>
        <w:pStyle w:val="ListParagraph"/>
        <w:numPr>
          <w:ilvl w:val="0"/>
          <w:numId w:val="1"/>
        </w:numPr>
        <w:spacing w:after="80" w:line="312"/>
      </w:pPr>
      <w:r>
        <w:rPr>
          <w:rFonts w:ascii="Times New Roman" w:eastAsia="Microsoft YaHei"/>
          <w:color w:val="2C3E50"/>
          <w:sz w:val="24"/>
          <w:szCs w:val="24"/>
        </w:rPr>
        <w:t xml:space="preserve">Automatic recovery from network outages must complete within 5 minutes of connectivity restoration.</w:t>
      </w:r>
    </w:p>
    <w:p>
      <w:pPr>
        <w:pStyle w:val="ListParagraph"/>
        <w:numPr>
          <w:ilvl w:val="0"/>
          <w:numId w:val="1"/>
        </w:numPr>
        <w:spacing w:after="80" w:line="312"/>
      </w:pPr>
      <w:r>
        <w:rPr>
          <w:rFonts w:ascii="Times New Roman" w:eastAsia="Microsoft YaHei"/>
          <w:color w:val="2C3E50"/>
          <w:sz w:val="24"/>
          <w:szCs w:val="24"/>
        </w:rPr>
        <w:t xml:space="preserve">Data backup must be performed daily with a retention period of 30 days for local backups and 7 years for cloud backups.</w:t>
      </w:r>
    </w:p>
    <w:p>
      <w:pPr>
        <w:pStyle w:val="ListParagraph"/>
        <w:numPr>
          <w:ilvl w:val="0"/>
          <w:numId w:val="1"/>
        </w:numPr>
        <w:spacing w:after="80" w:line="312"/>
      </w:pPr>
      <w:r>
        <w:rPr>
          <w:rFonts w:ascii="Times New Roman" w:eastAsia="Microsoft YaHei"/>
          <w:color w:val="2C3E50"/>
          <w:sz w:val="24"/>
          <w:szCs w:val="24"/>
        </w:rPr>
        <w:t xml:space="preserve">The system must achieve 99.5% uptime during business hours (8:00 AM to 8:00 PM EAT), excluding scheduled maintenance.</w:t>
      </w:r>
    </w:p>
    <w:p>
      <w:pPr>
        <w:pStyle w:val="ListParagraph"/>
        <w:numPr>
          <w:ilvl w:val="0"/>
          <w:numId w:val="1"/>
        </w:numPr>
        <w:spacing w:after="80" w:line="312"/>
      </w:pPr>
      <w:r>
        <w:rPr>
          <w:rFonts w:ascii="Times New Roman" w:eastAsia="Microsoft YaHei"/>
          <w:color w:val="2C3E50"/>
          <w:sz w:val="24"/>
          <w:szCs w:val="24"/>
        </w:rPr>
        <w:t xml:space="preserve">Transaction data integrity must be guaranteed through ACID compliance at the local store level and conflict resolution at the sync level.</w:t>
      </w:r>
    </w:p>
    <w:p>
      <w:pPr>
        <w:pStyle w:val="Heading2"/>
        <w:spacing w:after="160" w:before="360"/>
      </w:pPr>
      <w:bookmarkStart w:id="100123" w:name="_Toc100123"/>
      <w:r>
        <w:rPr>
          <w:rFonts w:ascii="Times New Roman" w:eastAsia="SimHei"/>
          <w:b/>
          <w:bCs/>
          <w:color w:val="1A2330"/>
          <w:sz w:val="28"/>
          <w:szCs w:val="28"/>
        </w:rPr>
        <w:t xml:space="preserve">Security</w:t>
      </w:r>
      <w:bookmarkEnd w:id="100123"/>
    </w:p>
    <w:p>
      <w:pPr>
        <w:pStyle w:val="ListParagraph"/>
        <w:numPr>
          <w:ilvl w:val="0"/>
          <w:numId w:val="1"/>
        </w:numPr>
        <w:spacing w:after="80" w:line="312"/>
      </w:pPr>
      <w:r>
        <w:rPr>
          <w:rFonts w:ascii="Times New Roman" w:eastAsia="Microsoft YaHei"/>
          <w:color w:val="2C3E50"/>
          <w:sz w:val="24"/>
          <w:szCs w:val="24"/>
        </w:rPr>
        <w:t xml:space="preserve">All data in transit must be encrypted using TLS 1.3 or higher.</w:t>
      </w:r>
    </w:p>
    <w:p>
      <w:pPr>
        <w:pStyle w:val="ListParagraph"/>
        <w:numPr>
          <w:ilvl w:val="0"/>
          <w:numId w:val="1"/>
        </w:numPr>
        <w:spacing w:after="80" w:line="312"/>
      </w:pPr>
      <w:r>
        <w:rPr>
          <w:rFonts w:ascii="Times New Roman" w:eastAsia="Microsoft YaHei"/>
          <w:color w:val="2C3E50"/>
          <w:sz w:val="24"/>
          <w:szCs w:val="24"/>
        </w:rPr>
        <w:t xml:space="preserve">Sensitive data at rest (passwords, bank details, personal information) must be encrypted using AES-256.</w:t>
      </w:r>
    </w:p>
    <w:p>
      <w:pPr>
        <w:pStyle w:val="ListParagraph"/>
        <w:numPr>
          <w:ilvl w:val="0"/>
          <w:numId w:val="1"/>
        </w:numPr>
        <w:spacing w:after="80" w:line="312"/>
      </w:pPr>
      <w:r>
        <w:rPr>
          <w:rFonts w:ascii="Times New Roman" w:eastAsia="Microsoft YaHei"/>
          <w:color w:val="2C3E50"/>
          <w:sz w:val="24"/>
          <w:szCs w:val="24"/>
        </w:rPr>
        <w:t xml:space="preserve">The system must comply with the Kenya Data Protection Act (DPA) 2019 for personal data handling.</w:t>
      </w:r>
    </w:p>
    <w:p>
      <w:pPr>
        <w:pStyle w:val="ListParagraph"/>
        <w:numPr>
          <w:ilvl w:val="0"/>
          <w:numId w:val="1"/>
        </w:numPr>
        <w:spacing w:after="80" w:line="312"/>
      </w:pPr>
      <w:r>
        <w:rPr>
          <w:rFonts w:ascii="Times New Roman" w:eastAsia="Microsoft YaHei"/>
          <w:color w:val="2C3E50"/>
          <w:sz w:val="24"/>
          <w:szCs w:val="24"/>
        </w:rPr>
        <w:t xml:space="preserve">Penetration testing must be conducted annually, and critical vulnerabilities must be remediated within 30 days.</w:t>
      </w:r>
    </w:p>
    <w:p>
      <w:pPr>
        <w:pStyle w:val="ListParagraph"/>
        <w:numPr>
          <w:ilvl w:val="0"/>
          <w:numId w:val="1"/>
        </w:numPr>
        <w:spacing w:after="80" w:line="312"/>
      </w:pPr>
      <w:r>
        <w:rPr>
          <w:rFonts w:ascii="Times New Roman" w:eastAsia="Microsoft YaHei"/>
          <w:color w:val="2C3E50"/>
          <w:sz w:val="24"/>
          <w:szCs w:val="24"/>
        </w:rPr>
        <w:t xml:space="preserve">All API endpoints must implement rate limiting and protection against SQL injection, XSS, and CSRF attacks.</w:t>
      </w:r>
    </w:p>
    <w:p>
      <w:pPr>
        <w:pStyle w:val="Heading2"/>
        <w:spacing w:after="160" w:before="360"/>
      </w:pPr>
      <w:bookmarkStart w:id="100124" w:name="_Toc100124"/>
      <w:r>
        <w:rPr>
          <w:rFonts w:ascii="Times New Roman" w:eastAsia="SimHei"/>
          <w:b/>
          <w:bCs/>
          <w:color w:val="1A2330"/>
          <w:sz w:val="28"/>
          <w:szCs w:val="28"/>
        </w:rPr>
        <w:t xml:space="preserve">Scalability</w:t>
      </w:r>
      <w:bookmarkEnd w:id="100124"/>
    </w:p>
    <w:p>
      <w:pPr>
        <w:pStyle w:val="ListParagraph"/>
        <w:numPr>
          <w:ilvl w:val="0"/>
          <w:numId w:val="1"/>
        </w:numPr>
        <w:spacing w:after="80" w:line="312"/>
      </w:pPr>
      <w:r>
        <w:rPr>
          <w:rFonts w:ascii="Times New Roman" w:eastAsia="Microsoft YaHei"/>
          <w:color w:val="2C3E50"/>
          <w:sz w:val="24"/>
          <w:szCs w:val="24"/>
        </w:rPr>
        <w:t xml:space="preserve">The system must support scaling from a single store to 50 stores without architectural changes.</w:t>
      </w:r>
    </w:p>
    <w:p>
      <w:pPr>
        <w:pStyle w:val="ListParagraph"/>
        <w:numPr>
          <w:ilvl w:val="0"/>
          <w:numId w:val="1"/>
        </w:numPr>
        <w:spacing w:after="80" w:line="312"/>
      </w:pPr>
      <w:r>
        <w:rPr>
          <w:rFonts w:ascii="Times New Roman" w:eastAsia="Microsoft YaHei"/>
          <w:color w:val="2C3E50"/>
          <w:sz w:val="24"/>
          <w:szCs w:val="24"/>
        </w:rPr>
        <w:t xml:space="preserve">Database performance must be maintained through horizontal read scaling and connection pooling.</w:t>
      </w:r>
    </w:p>
    <w:p>
      <w:pPr>
        <w:pStyle w:val="ListParagraph"/>
        <w:numPr>
          <w:ilvl w:val="0"/>
          <w:numId w:val="1"/>
        </w:numPr>
        <w:spacing w:after="80" w:line="312"/>
      </w:pPr>
      <w:r>
        <w:rPr>
          <w:rFonts w:ascii="Times New Roman" w:eastAsia="Microsoft YaHei"/>
          <w:color w:val="2C3E50"/>
          <w:sz w:val="24"/>
          <w:szCs w:val="24"/>
        </w:rPr>
        <w:t xml:space="preserve">The sync architecture must support simultaneous sync operations from all connected stores without bottlenecking the central server.</w:t>
      </w:r>
    </w:p>
    <w:p>
      <w:pPr>
        <w:pStyle w:val="Heading2"/>
        <w:spacing w:after="160" w:before="360"/>
      </w:pPr>
      <w:bookmarkStart w:id="100125" w:name="_Toc100125"/>
      <w:r>
        <w:rPr>
          <w:rFonts w:ascii="Times New Roman" w:eastAsia="SimHei"/>
          <w:b/>
          <w:bCs/>
          <w:color w:val="1A2330"/>
          <w:sz w:val="28"/>
          <w:szCs w:val="28"/>
        </w:rPr>
        <w:t xml:space="preserve">Maintainability</w:t>
      </w:r>
      <w:bookmarkEnd w:id="100125"/>
    </w:p>
    <w:p>
      <w:pPr>
        <w:pStyle w:val="ListParagraph"/>
        <w:numPr>
          <w:ilvl w:val="0"/>
          <w:numId w:val="1"/>
        </w:numPr>
        <w:spacing w:after="80" w:line="312"/>
      </w:pPr>
      <w:r>
        <w:rPr>
          <w:rFonts w:ascii="Times New Roman" w:eastAsia="Microsoft YaHei"/>
          <w:color w:val="2C3E50"/>
          <w:sz w:val="24"/>
          <w:szCs w:val="24"/>
        </w:rPr>
        <w:t xml:space="preserve">Code must follow established style guides and include comprehensive unit test coverage of at least 80%.</w:t>
      </w:r>
    </w:p>
    <w:p>
      <w:pPr>
        <w:pStyle w:val="ListParagraph"/>
        <w:numPr>
          <w:ilvl w:val="0"/>
          <w:numId w:val="1"/>
        </w:numPr>
        <w:spacing w:after="80" w:line="312"/>
      </w:pPr>
      <w:r>
        <w:rPr>
          <w:rFonts w:ascii="Times New Roman" w:eastAsia="Microsoft YaHei"/>
          <w:color w:val="2C3E50"/>
          <w:sz w:val="24"/>
          <w:szCs w:val="24"/>
        </w:rPr>
        <w:t xml:space="preserve">All API endpoints must be documented using OpenAPI/Swagger specifications.</w:t>
      </w:r>
    </w:p>
    <w:p>
      <w:pPr>
        <w:pStyle w:val="ListParagraph"/>
        <w:numPr>
          <w:ilvl w:val="0"/>
          <w:numId w:val="1"/>
        </w:numPr>
        <w:spacing w:after="80" w:line="312"/>
      </w:pPr>
      <w:r>
        <w:rPr>
          <w:rFonts w:ascii="Times New Roman" w:eastAsia="Microsoft YaHei"/>
          <w:color w:val="2C3E50"/>
          <w:sz w:val="24"/>
          <w:szCs w:val="24"/>
        </w:rPr>
        <w:t xml:space="preserve">System configuration must be externalized (environment variables, configuration files) to support deployment across environments without code changes.</w:t>
      </w:r>
    </w:p>
    <w:p>
      <w:pPr>
        <w:pStyle w:val="ListParagraph"/>
        <w:numPr>
          <w:ilvl w:val="0"/>
          <w:numId w:val="1"/>
        </w:numPr>
        <w:spacing w:after="80" w:line="312"/>
      </w:pPr>
      <w:r>
        <w:rPr>
          <w:rFonts w:ascii="Times New Roman" w:eastAsia="Microsoft YaHei"/>
          <w:color w:val="2C3E50"/>
          <w:sz w:val="24"/>
          <w:szCs w:val="24"/>
        </w:rPr>
        <w:t xml:space="preserve">Containerized deployment via Docker must be supported for all components.</w:t>
      </w:r>
    </w:p>
    <w:p>
      <w:pPr>
        <w:pStyle w:val="Heading1"/>
        <w:spacing w:after="200" w:before="480"/>
      </w:pPr>
      <w:bookmarkStart w:id="100126" w:name="_Toc100126"/>
      <w:r>
        <w:rPr>
          <w:rFonts w:ascii="Times New Roman" w:eastAsia="SimHei"/>
          <w:b/>
          <w:bCs/>
          <w:color w:val="1A2330"/>
          <w:sz w:val="32"/>
          <w:szCs w:val="32"/>
        </w:rPr>
        <w:t xml:space="preserve">Technology Stack and Architecture</w:t>
      </w:r>
      <w:bookmarkEnd w:id="100126"/>
    </w:p>
    <w:p>
      <w:pPr>
        <w:pStyle w:val="Heading2"/>
        <w:spacing w:after="160" w:before="360"/>
      </w:pPr>
      <w:bookmarkStart w:id="100127" w:name="_Toc100127"/>
      <w:r>
        <w:rPr>
          <w:rFonts w:ascii="Times New Roman" w:eastAsia="SimHei"/>
          <w:b/>
          <w:bCs/>
          <w:color w:val="1A2330"/>
          <w:sz w:val="28"/>
          <w:szCs w:val="28"/>
        </w:rPr>
        <w:t xml:space="preserve">Recommended Stack</w:t>
      </w:r>
      <w:bookmarkEnd w:id="10012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8%"/>
            <w:shd w:fill="D4875A" w:val="clear"/>
            <w:tcMar>
              <w:top w:type="dxa" w:w="60"/>
              <w:left w:type="dxa" w:w="120"/>
              <w:bottom w:type="dxa" w:w="60"/>
              <w:right w:type="dxa" w:w="120"/>
            </w:tcMar>
          </w:tcPr>
          <w:p>
            <w:r>
              <w:rPr>
                <w:rFonts w:ascii="Times New Roman" w:eastAsia="SimHei"/>
                <w:b/>
                <w:bCs/>
                <w:color w:val="FFFFFF"/>
                <w:sz w:val="21"/>
                <w:szCs w:val="21"/>
              </w:rPr>
              <w:t xml:space="preserve">Layer</w:t>
            </w:r>
          </w:p>
        </w:tc>
        <w:tc>
          <w:tcPr>
            <w:tcW w:type="pct" w:w="22%"/>
            <w:shd w:fill="D4875A" w:val="clear"/>
            <w:tcMar>
              <w:top w:type="dxa" w:w="60"/>
              <w:left w:type="dxa" w:w="120"/>
              <w:bottom w:type="dxa" w:w="60"/>
              <w:right w:type="dxa" w:w="120"/>
            </w:tcMar>
          </w:tcPr>
          <w:p>
            <w:r>
              <w:rPr>
                <w:rFonts w:ascii="Times New Roman" w:eastAsia="SimHei"/>
                <w:b/>
                <w:bCs/>
                <w:color w:val="FFFFFF"/>
                <w:sz w:val="21"/>
                <w:szCs w:val="21"/>
              </w:rPr>
              <w:t xml:space="preserve">Primary Choice</w:t>
            </w:r>
          </w:p>
        </w:tc>
        <w:tc>
          <w:tcPr>
            <w:tcW w:type="pct" w:w="18%"/>
            <w:shd w:fill="D4875A" w:val="clear"/>
            <w:tcMar>
              <w:top w:type="dxa" w:w="60"/>
              <w:left w:type="dxa" w:w="120"/>
              <w:bottom w:type="dxa" w:w="60"/>
              <w:right w:type="dxa" w:w="120"/>
            </w:tcMar>
          </w:tcPr>
          <w:p>
            <w:r>
              <w:rPr>
                <w:rFonts w:ascii="Times New Roman" w:eastAsia="SimHei"/>
                <w:b/>
                <w:bCs/>
                <w:color w:val="FFFFFF"/>
                <w:sz w:val="21"/>
                <w:szCs w:val="21"/>
              </w:rPr>
              <w:t xml:space="preserve">Alternative</w:t>
            </w:r>
          </w:p>
        </w:tc>
        <w:tc>
          <w:tcPr>
            <w:tcW w:type="pct" w:w="42%"/>
            <w:shd w:fill="D4875A" w:val="clear"/>
            <w:tcMar>
              <w:top w:type="dxa" w:w="60"/>
              <w:left w:type="dxa" w:w="120"/>
              <w:bottom w:type="dxa" w:w="60"/>
              <w:right w:type="dxa" w:w="120"/>
            </w:tcMar>
          </w:tcPr>
          <w:p>
            <w:r>
              <w:rPr>
                <w:rFonts w:ascii="Times New Roman" w:eastAsia="SimHei"/>
                <w:b/>
                <w:bCs/>
                <w:color w:val="FFFFFF"/>
                <w:sz w:val="21"/>
                <w:szCs w:val="21"/>
              </w:rPr>
              <w:t xml:space="preserve">Rationale</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Backend</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Python / Django</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C# / .NET 8</w:t>
            </w:r>
          </w:p>
        </w:tc>
        <w:tc>
          <w:tcPr>
            <w:tcW w:type="pct" w:w="42%"/>
            <w:shd w:fill="F8F0EB" w:val="clear"/>
            <w:tcMar>
              <w:top w:type="dxa" w:w="60"/>
              <w:left w:type="dxa" w:w="120"/>
              <w:bottom w:type="dxa" w:w="60"/>
              <w:right w:type="dxa" w:w="120"/>
            </w:tcMar>
          </w:tcPr>
          <w:p>
            <w:r>
              <w:rPr>
                <w:rFonts w:ascii="Times New Roman" w:eastAsia="Microsoft YaHei"/>
                <w:color w:val="2C3E50"/>
                <w:sz w:val="21"/>
                <w:szCs w:val="21"/>
              </w:rPr>
              <w:t xml:space="preserve">Rapid development, extensive library ecosystem, proven in POS systems</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Frontend</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Electron + React</w:t>
            </w:r>
          </w:p>
        </w:tc>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WPF (.NET)</w:t>
            </w:r>
          </w:p>
        </w:tc>
        <w:tc>
          <w:tcPr>
            <w:tcW w:type="pct" w:w="42%"/>
            <w:shd w:fill="FFFFFF" w:val="clear"/>
            <w:tcMar>
              <w:top w:type="dxa" w:w="60"/>
              <w:left w:type="dxa" w:w="120"/>
              <w:bottom w:type="dxa" w:w="60"/>
              <w:right w:type="dxa" w:w="120"/>
            </w:tcMar>
          </w:tcPr>
          <w:p>
            <w:r>
              <w:rPr>
                <w:rFonts w:ascii="Times New Roman" w:eastAsia="Microsoft YaHei"/>
                <w:color w:val="2C3E50"/>
                <w:sz w:val="21"/>
                <w:szCs w:val="21"/>
              </w:rPr>
              <w:t xml:space="preserve">Cross-platform desktop, modern UI framework, offline capability</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Central Database</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PostgreSQL 16+</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MySQL 8+</w:t>
            </w:r>
          </w:p>
        </w:tc>
        <w:tc>
          <w:tcPr>
            <w:tcW w:type="pct" w:w="42%"/>
            <w:shd w:fill="F8F0EB" w:val="clear"/>
            <w:tcMar>
              <w:top w:type="dxa" w:w="60"/>
              <w:left w:type="dxa" w:w="120"/>
              <w:bottom w:type="dxa" w:w="60"/>
              <w:right w:type="dxa" w:w="120"/>
            </w:tcMar>
          </w:tcPr>
          <w:p>
            <w:r>
              <w:rPr>
                <w:rFonts w:ascii="Times New Roman" w:eastAsia="Microsoft YaHei"/>
                <w:color w:val="2C3E50"/>
                <w:sz w:val="21"/>
                <w:szCs w:val="21"/>
              </w:rPr>
              <w:t xml:space="preserve">ACID compliance, JSON support, robust replication</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Local Database</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SQLite 3</w:t>
            </w:r>
          </w:p>
        </w:tc>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Embedded PostgreSQL</w:t>
            </w:r>
          </w:p>
        </w:tc>
        <w:tc>
          <w:tcPr>
            <w:tcW w:type="pct" w:w="42%"/>
            <w:shd w:fill="FFFFFF" w:val="clear"/>
            <w:tcMar>
              <w:top w:type="dxa" w:w="60"/>
              <w:left w:type="dxa" w:w="120"/>
              <w:bottom w:type="dxa" w:w="60"/>
              <w:right w:type="dxa" w:w="120"/>
            </w:tcMar>
          </w:tcPr>
          <w:p>
            <w:r>
              <w:rPr>
                <w:rFonts w:ascii="Times New Roman" w:eastAsia="Microsoft YaHei"/>
                <w:color w:val="2C3E50"/>
                <w:sz w:val="21"/>
                <w:szCs w:val="21"/>
              </w:rPr>
              <w:t xml:space="preserve">Zero configuration, single-file deployment, proven offline support</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Cache Layer</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Redis</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Memcached</w:t>
            </w:r>
          </w:p>
        </w:tc>
        <w:tc>
          <w:tcPr>
            <w:tcW w:type="pct" w:w="42%"/>
            <w:shd w:fill="F8F0EB" w:val="clear"/>
            <w:tcMar>
              <w:top w:type="dxa" w:w="60"/>
              <w:left w:type="dxa" w:w="120"/>
              <w:bottom w:type="dxa" w:w="60"/>
              <w:right w:type="dxa" w:w="120"/>
            </w:tcMar>
          </w:tcPr>
          <w:p>
            <w:r>
              <w:rPr>
                <w:rFonts w:ascii="Times New Roman" w:eastAsia="Microsoft YaHei"/>
                <w:color w:val="2C3E50"/>
                <w:sz w:val="21"/>
                <w:szCs w:val="21"/>
              </w:rPr>
              <w:t xml:space="preserve">Session management, rate limiting, real-time sync coordination</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Message Queue</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RabbitMQ / Celery</w:t>
            </w:r>
          </w:p>
        </w:tc>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Redis Queue</w:t>
            </w:r>
          </w:p>
        </w:tc>
        <w:tc>
          <w:tcPr>
            <w:tcW w:type="pct" w:w="42%"/>
            <w:shd w:fill="FFFFFF" w:val="clear"/>
            <w:tcMar>
              <w:top w:type="dxa" w:w="60"/>
              <w:left w:type="dxa" w:w="120"/>
              <w:bottom w:type="dxa" w:w="60"/>
              <w:right w:type="dxa" w:w="120"/>
            </w:tcMar>
          </w:tcPr>
          <w:p>
            <w:r>
              <w:rPr>
                <w:rFonts w:ascii="Times New Roman" w:eastAsia="Microsoft YaHei"/>
                <w:color w:val="2C3E50"/>
                <w:sz w:val="21"/>
                <w:szCs w:val="21"/>
              </w:rPr>
              <w:t xml:space="preserve">Async task processing, eTIMS submission queue, notification delivery</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Containerization</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Docker + Docker Compose</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Kubernetes</w:t>
            </w:r>
          </w:p>
        </w:tc>
        <w:tc>
          <w:tcPr>
            <w:tcW w:type="pct" w:w="42%"/>
            <w:shd w:fill="F8F0EB" w:val="clear"/>
            <w:tcMar>
              <w:top w:type="dxa" w:w="60"/>
              <w:left w:type="dxa" w:w="120"/>
              <w:bottom w:type="dxa" w:w="60"/>
              <w:right w:type="dxa" w:w="120"/>
            </w:tcMar>
          </w:tcPr>
          <w:p>
            <w:r>
              <w:rPr>
                <w:rFonts w:ascii="Times New Roman" w:eastAsia="Microsoft YaHei"/>
                <w:color w:val="2C3E50"/>
                <w:sz w:val="21"/>
                <w:szCs w:val="21"/>
              </w:rPr>
              <w:t xml:space="preserve">Consistent deployment, easy scaling, development parity</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CI/CD</w:t>
            </w:r>
          </w:p>
        </w:tc>
        <w:tc>
          <w:tcPr>
            <w:tcW w:type="pct" w:w="22%"/>
            <w:shd w:fill="FFFFFF" w:val="clear"/>
            <w:tcMar>
              <w:top w:type="dxa" w:w="60"/>
              <w:left w:type="dxa" w:w="120"/>
              <w:bottom w:type="dxa" w:w="60"/>
              <w:right w:type="dxa" w:w="120"/>
            </w:tcMar>
          </w:tcPr>
          <w:p>
            <w:r>
              <w:rPr>
                <w:rFonts w:ascii="Times New Roman" w:eastAsia="Microsoft YaHei"/>
                <w:color w:val="2C3E50"/>
                <w:sz w:val="21"/>
                <w:szCs w:val="21"/>
              </w:rPr>
              <w:t xml:space="preserve">GitHub Actions</w:t>
            </w:r>
          </w:p>
        </w:tc>
        <w:tc>
          <w:tcPr>
            <w:tcW w:type="pct" w:w="18%"/>
            <w:shd w:fill="FFFFFF" w:val="clear"/>
            <w:tcMar>
              <w:top w:type="dxa" w:w="60"/>
              <w:left w:type="dxa" w:w="120"/>
              <w:bottom w:type="dxa" w:w="60"/>
              <w:right w:type="dxa" w:w="120"/>
            </w:tcMar>
          </w:tcPr>
          <w:p>
            <w:r>
              <w:rPr>
                <w:rFonts w:ascii="Times New Roman" w:eastAsia="Microsoft YaHei"/>
                <w:color w:val="2C3E50"/>
                <w:sz w:val="21"/>
                <w:szCs w:val="21"/>
              </w:rPr>
              <w:t xml:space="preserve">GitLab CI</w:t>
            </w:r>
          </w:p>
        </w:tc>
        <w:tc>
          <w:tcPr>
            <w:tcW w:type="pct" w:w="42%"/>
            <w:shd w:fill="FFFFFF" w:val="clear"/>
            <w:tcMar>
              <w:top w:type="dxa" w:w="60"/>
              <w:left w:type="dxa" w:w="120"/>
              <w:bottom w:type="dxa" w:w="60"/>
              <w:right w:type="dxa" w:w="120"/>
            </w:tcMar>
          </w:tcPr>
          <w:p>
            <w:r>
              <w:rPr>
                <w:rFonts w:ascii="Times New Roman" w:eastAsia="Microsoft YaHei"/>
                <w:color w:val="2C3E50"/>
                <w:sz w:val="21"/>
                <w:szCs w:val="21"/>
              </w:rPr>
              <w:t xml:space="preserve">Automated testing, deployment pipelines, release management</w:t>
            </w:r>
          </w:p>
        </w:tc>
      </w:tr>
      <w:tr>
        <w:trPr>
          <w:cantSplit/>
        </w:trPr>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Monitoring</w:t>
            </w:r>
          </w:p>
        </w:tc>
        <w:tc>
          <w:tcPr>
            <w:tcW w:type="pct" w:w="22%"/>
            <w:shd w:fill="F8F0EB" w:val="clear"/>
            <w:tcMar>
              <w:top w:type="dxa" w:w="60"/>
              <w:left w:type="dxa" w:w="120"/>
              <w:bottom w:type="dxa" w:w="60"/>
              <w:right w:type="dxa" w:w="120"/>
            </w:tcMar>
          </w:tcPr>
          <w:p>
            <w:r>
              <w:rPr>
                <w:rFonts w:ascii="Times New Roman" w:eastAsia="Microsoft YaHei"/>
                <w:color w:val="2C3E50"/>
                <w:sz w:val="21"/>
                <w:szCs w:val="21"/>
              </w:rPr>
              <w:t xml:space="preserve">Prometheus + Grafana</w:t>
            </w:r>
          </w:p>
        </w:tc>
        <w:tc>
          <w:tcPr>
            <w:tcW w:type="pct" w:w="18%"/>
            <w:shd w:fill="F8F0EB" w:val="clear"/>
            <w:tcMar>
              <w:top w:type="dxa" w:w="60"/>
              <w:left w:type="dxa" w:w="120"/>
              <w:bottom w:type="dxa" w:w="60"/>
              <w:right w:type="dxa" w:w="120"/>
            </w:tcMar>
          </w:tcPr>
          <w:p>
            <w:r>
              <w:rPr>
                <w:rFonts w:ascii="Times New Roman" w:eastAsia="Microsoft YaHei"/>
                <w:color w:val="2C3E50"/>
                <w:sz w:val="21"/>
                <w:szCs w:val="21"/>
              </w:rPr>
              <w:t xml:space="preserve">Datadog</w:t>
            </w:r>
          </w:p>
        </w:tc>
        <w:tc>
          <w:tcPr>
            <w:tcW w:type="pct" w:w="42%"/>
            <w:shd w:fill="F8F0EB" w:val="clear"/>
            <w:tcMar>
              <w:top w:type="dxa" w:w="60"/>
              <w:left w:type="dxa" w:w="120"/>
              <w:bottom w:type="dxa" w:w="60"/>
              <w:right w:type="dxa" w:w="120"/>
            </w:tcMar>
          </w:tcPr>
          <w:p>
            <w:r>
              <w:rPr>
                <w:rFonts w:ascii="Times New Roman" w:eastAsia="Microsoft YaHei"/>
                <w:color w:val="2C3E50"/>
                <w:sz w:val="21"/>
                <w:szCs w:val="21"/>
              </w:rPr>
              <w:t xml:space="preserve">System health, performance metrics, alerting</w:t>
            </w:r>
          </w:p>
        </w:tc>
      </w:tr>
    </w:tbl>
    <w:p>
      <w:pPr>
        <w:spacing w:after="200" w:before="80"/>
        <w:jc w:val="center"/>
      </w:pPr>
      <w:r>
        <w:rPr>
          <w:rFonts w:ascii="Times New Roman" w:eastAsia="Microsoft YaHei"/>
          <w:i/>
          <w:iCs/>
          <w:color w:val="607080"/>
          <w:sz w:val="20"/>
          <w:szCs w:val="20"/>
        </w:rPr>
        <w:t xml:space="preserve">Table 12: Technology Stack Recommendations</w:t>
      </w:r>
    </w:p>
    <w:p>
      <w:pPr>
        <w:pStyle w:val="Heading2"/>
        <w:spacing w:after="160" w:before="360"/>
      </w:pPr>
      <w:bookmarkStart w:id="100128" w:name="_Toc100128"/>
      <w:r>
        <w:rPr>
          <w:rFonts w:ascii="Times New Roman" w:eastAsia="SimHei"/>
          <w:b/>
          <w:bCs/>
          <w:color w:val="1A2330"/>
          <w:sz w:val="28"/>
          <w:szCs w:val="28"/>
        </w:rPr>
        <w:t xml:space="preserve">Architecture Overview</w:t>
      </w:r>
      <w:bookmarkEnd w:id="100128"/>
    </w:p>
    <w:p>
      <w:pPr>
        <w:spacing w:after="120" w:line="312"/>
        <w:jc w:val="both"/>
      </w:pPr>
      <w:r>
        <w:rPr>
          <w:rFonts w:ascii="Times New Roman" w:eastAsia="Microsoft YaHei"/>
          <w:color w:val="2C3E50"/>
          <w:sz w:val="24"/>
          <w:szCs w:val="24"/>
        </w:rPr>
        <w:t xml:space="preserve">The system follows a distributed architecture with a central server and per-store edge nodes. Each store runs a local instance of the application with an SQLite database that enables full offline operation. The central server runs PostgreSQL as the authoritative data store and coordinates synchronization across all store nodes. The frontend application is built as an Electron desktop app that communicates with a local backend service, ensuring low-latency POS operations even during network outages. The sync layer operates asynchronously, pushing local changes to the central server and pulling updates from other stores on a configurable schedule (default every 5 minutes when online).</w:t>
      </w:r>
    </w:p>
    <w:p>
      <w:pPr>
        <w:pStyle w:val="Heading2"/>
        <w:spacing w:after="160" w:before="360"/>
      </w:pPr>
      <w:bookmarkStart w:id="100129" w:name="_Toc100129"/>
      <w:r>
        <w:rPr>
          <w:rFonts w:ascii="Times New Roman" w:eastAsia="SimHei"/>
          <w:b/>
          <w:bCs/>
          <w:color w:val="1A2330"/>
          <w:sz w:val="28"/>
          <w:szCs w:val="28"/>
        </w:rPr>
        <w:t xml:space="preserve">Deployment Model</w:t>
      </w:r>
      <w:bookmarkEnd w:id="100129"/>
    </w:p>
    <w:p>
      <w:pPr>
        <w:spacing w:after="120" w:line="312"/>
        <w:jc w:val="both"/>
      </w:pPr>
      <w:r>
        <w:rPr>
          <w:rFonts w:ascii="Times New Roman" w:eastAsia="Microsoft YaHei"/>
          <w:color w:val="2C3E50"/>
          <w:sz w:val="24"/>
          <w:szCs w:val="24"/>
        </w:rPr>
        <w:t xml:space="preserve">The central server is deployed on cloud infrastructure (AWS, Azure, or local Kenyan hosting providers such as Safaricom Cloud or Liquid Intelligent Technologies) with automated backup, monitoring, and disaster recovery. Each store runs the application stack locally using Docker containers, which simplifies deployment and ensures consistency across environments. Updates are distributed through an automated update service that downloads and applies patches during off-hours, with rollback capability in case of deployment failures. The system supports both cloud-hosted and on-premises central server deployments, accommodating businesses with varying data sovereignty requirements.</w:t>
      </w:r>
    </w:p>
    <w:p>
      <w:pPr>
        <w:pStyle w:val="Heading1"/>
        <w:spacing w:after="200" w:before="480"/>
      </w:pPr>
      <w:bookmarkStart w:id="100130" w:name="_Toc100130"/>
      <w:r>
        <w:rPr>
          <w:rFonts w:ascii="Times New Roman" w:eastAsia="SimHei"/>
          <w:b/>
          <w:bCs/>
          <w:color w:val="1A2330"/>
          <w:sz w:val="32"/>
          <w:szCs w:val="32"/>
        </w:rPr>
        <w:t xml:space="preserve">Implementation Roadmap</w:t>
      </w:r>
      <w:bookmarkEnd w:id="100130"/>
    </w:p>
    <w:p>
      <w:pPr>
        <w:pStyle w:val="Heading2"/>
        <w:spacing w:after="160" w:before="360"/>
      </w:pPr>
      <w:bookmarkStart w:id="100131" w:name="_Toc100131"/>
      <w:r>
        <w:rPr>
          <w:rFonts w:ascii="Times New Roman" w:eastAsia="SimHei"/>
          <w:b/>
          <w:bCs/>
          <w:color w:val="1A2330"/>
          <w:sz w:val="28"/>
          <w:szCs w:val="28"/>
        </w:rPr>
        <w:t xml:space="preserve">Phase 1: Foundation (Months 1-3)</w:t>
      </w:r>
      <w:bookmarkEnd w:id="100131"/>
    </w:p>
    <w:p>
      <w:pPr>
        <w:spacing w:after="120" w:line="312"/>
        <w:jc w:val="both"/>
      </w:pPr>
      <w:r>
        <w:rPr>
          <w:rFonts w:ascii="Times New Roman" w:eastAsia="Microsoft YaHei"/>
          <w:color w:val="2C3E50"/>
          <w:sz w:val="24"/>
          <w:szCs w:val="24"/>
        </w:rPr>
        <w:t xml:space="preserve">The first phase establishes the core infrastructure and the essential modules required for basic POS operation. This includes the system architecture setup (Docker, CI/CD, development environments), the Product and Inventory Management module, the Sales and POS module with cash and M-Pesa payment support, and the User Management module with role-based access control. At the end of Phase 1, the system should be capable of processing sales transactions, managing inventory, and controlling user access at a single store location.</w:t>
      </w:r>
    </w:p>
    <w:p>
      <w:pPr>
        <w:pStyle w:val="Heading2"/>
        <w:spacing w:after="160" w:before="360"/>
      </w:pPr>
      <w:bookmarkStart w:id="100132" w:name="_Toc100132"/>
      <w:r>
        <w:rPr>
          <w:rFonts w:ascii="Times New Roman" w:eastAsia="SimHei"/>
          <w:b/>
          <w:bCs/>
          <w:color w:val="1A2330"/>
          <w:sz w:val="28"/>
          <w:szCs w:val="28"/>
        </w:rPr>
        <w:t xml:space="preserve">Phase 2: Procurement and Finance (Months 4-6)</w:t>
      </w:r>
      <w:bookmarkEnd w:id="100132"/>
    </w:p>
    <w:p>
      <w:pPr>
        <w:spacing w:after="120" w:line="312"/>
        <w:jc w:val="both"/>
      </w:pPr>
      <w:r>
        <w:rPr>
          <w:rFonts w:ascii="Times New Roman" w:eastAsia="Microsoft YaHei"/>
          <w:color w:val="2C3E50"/>
          <w:sz w:val="24"/>
          <w:szCs w:val="24"/>
        </w:rPr>
        <w:t xml:space="preserve">The second phase adds the procurement and financial management capabilities needed for a complete business operation. This includes the Purchase Management module, Supplier Management module, Accounts and Accounting module, and Banking and Reconciliation module. Phase 2 also introduces the Tax Management module with initial eTIMS integration. At the end of Phase 2, the system supports the full procurement-to-payment cycle and basic financial reporting.</w:t>
      </w:r>
    </w:p>
    <w:p>
      <w:pPr>
        <w:pStyle w:val="Heading2"/>
        <w:spacing w:after="160" w:before="360"/>
      </w:pPr>
      <w:bookmarkStart w:id="100133" w:name="_Toc100133"/>
      <w:r>
        <w:rPr>
          <w:rFonts w:ascii="Times New Roman" w:eastAsia="SimHei"/>
          <w:b/>
          <w:bCs/>
          <w:color w:val="1A2330"/>
          <w:sz w:val="28"/>
          <w:szCs w:val="28"/>
        </w:rPr>
        <w:t xml:space="preserve">Phase 3: Customer and Multi-Store (Months 7-9)</w:t>
      </w:r>
      <w:bookmarkEnd w:id="100133"/>
    </w:p>
    <w:p>
      <w:pPr>
        <w:spacing w:after="120" w:line="312"/>
        <w:jc w:val="both"/>
      </w:pPr>
      <w:r>
        <w:rPr>
          <w:rFonts w:ascii="Times New Roman" w:eastAsia="Microsoft YaHei"/>
          <w:color w:val="2C3E50"/>
          <w:sz w:val="24"/>
          <w:szCs w:val="24"/>
        </w:rPr>
        <w:t xml:space="preserve">The third phase extends the system to support customer relationship management and multi-store operations. This includes the Customer Loyalty module, Multi-Store Management with sync capabilities, Quotes and Invoices module, and Expense Management module. Phase 3 also enhances the eTIMS integration with full offline support and credit note handling. At the end of Phase 3, the system supports multi-location operations, customer loyalty programs, and B2B quotation workflows.</w:t>
      </w:r>
    </w:p>
    <w:p>
      <w:pPr>
        <w:pStyle w:val="Heading2"/>
        <w:spacing w:after="160" w:before="360"/>
      </w:pPr>
      <w:bookmarkStart w:id="100134" w:name="_Toc100134"/>
      <w:r>
        <w:rPr>
          <w:rFonts w:ascii="Times New Roman" w:eastAsia="SimHei"/>
          <w:b/>
          <w:bCs/>
          <w:color w:val="1A2330"/>
          <w:sz w:val="28"/>
          <w:szCs w:val="28"/>
        </w:rPr>
        <w:t xml:space="preserve">Phase 4: Optimization and Scale (Months 10-12)</w:t>
      </w:r>
      <w:bookmarkEnd w:id="100134"/>
    </w:p>
    <w:p>
      <w:pPr>
        <w:spacing w:after="120" w:line="312"/>
        <w:jc w:val="both"/>
      </w:pPr>
      <w:r>
        <w:rPr>
          <w:rFonts w:ascii="Times New Roman" w:eastAsia="Microsoft YaHei"/>
          <w:color w:val="2C3E50"/>
          <w:sz w:val="24"/>
          <w:szCs w:val="24"/>
        </w:rPr>
        <w:t xml:space="preserve">The final phase focuses on optimization, advanced features, and production hardening. This includes the Voucher Management module, advanced reporting and analytics dashboards, performance optimization for large catalogs and high transaction volumes, comprehensive security audit and penetration testing, and production deployment with monitoring and alerting. Phase 4 also includes user training, documentation, and handover processes to ensure the business can operate the system independently after go-live.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808080"/>
        <w:sz w:val="18"/>
        <w:szCs w:val="18"/>
      </w:rPr>
      <w:t xml:space="preserve">Kenyan Hardware POS System - PRD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808080"/>
        <w:sz w:val="18"/>
        <w:szCs w:val="18"/>
      </w:rPr>
      <w:t xml:space="preserve">Kenyan Hardware POS System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C3E5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1A2330"/>
      <w:sz w:val="32"/>
      <w:szCs w:val="32"/>
    </w:rPr>
  </w:style>
  <w:style w:type="paragraph" w:styleId="Heading2">
    <w:name w:val="Heading 2"/>
    <w:basedOn w:val="Normal"/>
    <w:next w:val="Normal"/>
    <w:qFormat/>
    <w:pPr>
      <w:spacing w:after="160" w:before="360" w:line="312"/>
      <w:outlineLvl w:val="1"/>
    </w:pPr>
    <w:rPr>
      <w:rFonts w:ascii="Times New Roman" w:eastAsia="SimHei"/>
      <w:b/>
      <w:bCs/>
      <w:color w:val="1A2330"/>
      <w:sz w:val="28"/>
      <w:szCs w:val="28"/>
    </w:rPr>
  </w:style>
  <w:style w:type="paragraph" w:styleId="Heading3">
    <w:name w:val="Heading 3"/>
    <w:basedOn w:val="Normal"/>
    <w:next w:val="Normal"/>
    <w:qFormat/>
    <w:pPr>
      <w:spacing w:after="120" w:before="24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2026-06-12T00:24:23.375Z</dcterms:created>
  <dcterms:modified xsi:type="dcterms:W3CDTF">2026-06-12T00:24:23.375Z</dcterms:modified>
</cp:coreProperties>
</file>

<file path=docProps/custom.xml><?xml version="1.0" encoding="utf-8"?>
<Properties xmlns="http://schemas.openxmlformats.org/officeDocument/2006/custom-properties" xmlns:vt="http://schemas.openxmlformats.org/officeDocument/2006/docPropsVTypes"/>
</file>