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2F3A46"/>
          <w:sz w:val="32"/>
        </w:rPr>
        <w:t>Functional Specification</w:t>
      </w:r>
    </w:p>
    <w:p>
      <w:pPr>
        <w:spacing w:after="40"/>
      </w:pPr>
      <w:r>
        <w:rPr>
          <w:b/>
          <w:i w:val="0"/>
          <w:color w:val="C8622D"/>
          <w:sz w:val="22"/>
        </w:rPr>
        <w:t>Notifikasi Persetujuan Purchase Order — Sprint 2</w:t>
      </w:r>
    </w:p>
    <w:p>
      <w:pPr>
        <w:spacing w:after="60"/>
      </w:pPr>
      <w:r>
        <w:rPr>
          <w:b w:val="0"/>
          <w:i w:val="0"/>
          <w:color w:val="6B7280"/>
          <w:sz w:val="17"/>
        </w:rPr>
        <w:t>Program ZMMI_PO_EMAIL · Sistem SAP ECC · Disusun oleh Tim ABAP</w:t>
      </w:r>
    </w:p>
    <w:p>
      <w:pPr>
        <w:spacing w:after="140"/>
        <w:pBdr>
          <w:bottom w:val="single" w:sz="6" w:color="D9DDE2"/>
        </w:pBdr>
      </w:pPr>
    </w:p>
    <w:p>
      <w:pPr>
        <w:pStyle w:val="Heading1"/>
        <w:spacing w:before="240" w:after="100"/>
      </w:pPr>
      <w:r>
        <w:rPr>
          <w:b/>
          <w:color w:val="2F3A46"/>
          <w:sz w:val="28"/>
        </w:rPr>
        <w:t>1. Ruang Lingkup</w:t>
      </w:r>
    </w:p>
    <w:p>
      <w:pPr>
        <w:spacing w:after="100"/>
      </w:pPr>
      <w:r>
        <w:rPr>
          <w:b w:val="0"/>
          <w:i w:val="0"/>
          <w:color w:val="1F2328"/>
          <w:sz w:val="19"/>
        </w:rPr>
        <w:t>Program ZMMI_PO_EMAIL mengirimkan notifikasi kepada approver atas Purchase Order yang masih menunggu persetujuan, lengkap dengan penandaan (flag) atas PO yang memerlukan perhatian khusus.</w:t>
      </w:r>
    </w:p>
    <w:p>
      <w:pPr>
        <w:spacing w:after="100"/>
      </w:pPr>
      <w:r>
        <w:rPr>
          <w:b/>
          <w:color w:val="1F2328"/>
          <w:sz w:val="19"/>
        </w:rPr>
        <w:t xml:space="preserve">Termasuk dalam ruang lingkup: </w:t>
      </w:r>
      <w:r>
        <w:rPr>
          <w:b w:val="0"/>
          <w:color w:val="1F2328"/>
          <w:sz w:val="19"/>
        </w:rPr>
        <w:t>penentuan tingkat persetujuan berdasarkan nilai PO, penentuan approver, penandaan kondisi khusus (exception), serta pengiriman email beserta lampiran rincian.</w:t>
      </w:r>
    </w:p>
    <w:p>
      <w:pPr>
        <w:spacing w:after="100"/>
      </w:pPr>
      <w:r>
        <w:rPr>
          <w:b/>
          <w:color w:val="1F2328"/>
          <w:sz w:val="19"/>
        </w:rPr>
        <w:t xml:space="preserve">Tidak termasuk: </w:t>
      </w:r>
      <w:r>
        <w:rPr>
          <w:b w:val="0"/>
          <w:color w:val="1F2328"/>
          <w:sz w:val="19"/>
        </w:rPr>
        <w:t>pelepasan otomatis PO bernilai kecil (sudah berjalan pada Sprint 1 melalui program ZMMI_PO_RELEASE), dan persetujuan melalui email. Persetujuan tetap dilakukan di dalam SAP pada transaksi ME29N.</w:t>
      </w:r>
    </w:p>
    <w:p>
      <w:pPr>
        <w:pStyle w:val="Heading1"/>
        <w:spacing w:before="240" w:after="100"/>
      </w:pPr>
      <w:r>
        <w:rPr>
          <w:b/>
          <w:color w:val="2F3A46"/>
          <w:sz w:val="28"/>
        </w:rPr>
        <w:t>2. Parameter Program</w:t>
      </w:r>
    </w:p>
    <w:p>
      <w:pPr>
        <w:spacing w:after="100"/>
      </w:pPr>
      <w:r>
        <w:rPr>
          <w:b w:val="0"/>
          <w:i w:val="0"/>
          <w:color w:val="1F2328"/>
          <w:sz w:val="19"/>
        </w:rPr>
        <w:t>Seluruh parameter berada pada layar seleksi dan bersifat opsional, kecuali disebutkan lain. Parameter kosong berarti tidak ada pembatasan.</w:t>
      </w:r>
    </w:p>
    <w:tbl>
      <w:tblPr>
        <w:tblStyle w:val="TableGrid"/>
        <w:tblW w:type="auto" w:w="0"/>
        <w:jc w:val="left"/>
        <w:tblLook w:firstColumn="1" w:firstRow="1" w:lastColumn="0" w:lastRow="0" w:noHBand="0" w:noVBand="1" w:val="04A0"/>
        <w:tblLayout w:type="fixed"/>
      </w:tblPr>
      <w:tblGrid>
        <w:gridCol w:w="1512"/>
        <w:gridCol w:w="1944"/>
        <w:gridCol w:w="1584"/>
        <w:gridCol w:w="4752"/>
      </w:tblGrid>
      <w:tr>
        <w:tc>
          <w:tcPr>
            <w:tcW w:type="dxa" w:w="1512"/>
            <w:shd w:val="clear" w:color="auto" w:fill="2F3A46"/>
          </w:tcPr>
          <w:p>
            <w:pPr>
              <w:spacing w:after="20"/>
            </w:pPr>
            <w:r/>
            <w:r>
              <w:rPr>
                <w:b/>
                <w:color w:val="FFFFFF"/>
                <w:sz w:val="17"/>
              </w:rPr>
              <w:t>Nama</w:t>
            </w:r>
          </w:p>
        </w:tc>
        <w:tc>
          <w:tcPr>
            <w:tcW w:type="dxa" w:w="1944"/>
            <w:shd w:val="clear" w:color="auto" w:fill="2F3A46"/>
          </w:tcPr>
          <w:p>
            <w:pPr>
              <w:spacing w:after="20"/>
            </w:pPr>
            <w:r/>
            <w:r>
              <w:rPr>
                <w:b/>
                <w:color w:val="FFFFFF"/>
                <w:sz w:val="17"/>
              </w:rPr>
              <w:t>Deskripsi</w:t>
            </w:r>
          </w:p>
        </w:tc>
        <w:tc>
          <w:tcPr>
            <w:tcW w:type="dxa" w:w="1584"/>
            <w:shd w:val="clear" w:color="auto" w:fill="2F3A46"/>
          </w:tcPr>
          <w:p>
            <w:pPr>
              <w:spacing w:after="20"/>
            </w:pPr>
            <w:r/>
            <w:r>
              <w:rPr>
                <w:b/>
                <w:color w:val="FFFFFF"/>
                <w:sz w:val="17"/>
              </w:rPr>
              <w:t>Tipe</w:t>
            </w:r>
          </w:p>
        </w:tc>
        <w:tc>
          <w:tcPr>
            <w:tcW w:type="dxa" w:w="4752"/>
            <w:shd w:val="clear" w:color="auto" w:fill="2F3A46"/>
          </w:tcPr>
          <w:p>
            <w:pPr>
              <w:spacing w:after="20"/>
            </w:pPr>
            <w:r/>
            <w:r>
              <w:rPr>
                <w:b/>
                <w:color w:val="FFFFFF"/>
                <w:sz w:val="17"/>
              </w:rPr>
              <w:t>Keterangan penggunaan</w:t>
            </w:r>
          </w:p>
        </w:tc>
      </w:tr>
      <w:tr>
        <w:tc>
          <w:tcPr>
            <w:tcW w:type="dxa" w:w="1512"/>
          </w:tcPr>
          <w:p>
            <w:pPr>
              <w:spacing w:after="20"/>
            </w:pPr>
            <w:r/>
            <w:r>
              <w:rPr>
                <w:b/>
                <w:color w:val="C8622D"/>
                <w:sz w:val="17"/>
              </w:rPr>
              <w:t>S_BUKRS</w:t>
            </w:r>
          </w:p>
        </w:tc>
        <w:tc>
          <w:tcPr>
            <w:tcW w:type="dxa" w:w="1944"/>
          </w:tcPr>
          <w:p>
            <w:pPr>
              <w:spacing w:after="20"/>
            </w:pPr>
            <w:r/>
            <w:r>
              <w:rPr>
                <w:b w:val="0"/>
                <w:color w:val="1F2328"/>
                <w:sz w:val="17"/>
              </w:rPr>
              <w:t>Company Code</w:t>
            </w:r>
          </w:p>
        </w:tc>
        <w:tc>
          <w:tcPr>
            <w:tcW w:type="dxa" w:w="1584"/>
          </w:tcPr>
          <w:p>
            <w:pPr>
              <w:spacing w:after="20"/>
            </w:pPr>
            <w:r/>
            <w:r>
              <w:rPr>
                <w:b w:val="0"/>
                <w:color w:val="1F2328"/>
                <w:sz w:val="17"/>
              </w:rPr>
              <w:t>Select-option</w:t>
            </w:r>
          </w:p>
        </w:tc>
        <w:tc>
          <w:tcPr>
            <w:tcW w:type="dxa" w:w="4752"/>
          </w:tcPr>
          <w:p>
            <w:pPr>
              <w:spacing w:after="20"/>
            </w:pPr>
            <w:r/>
            <w:r>
              <w:rPr>
                <w:b w:val="0"/>
                <w:color w:val="1F2328"/>
                <w:sz w:val="17"/>
              </w:rPr>
              <w:t>Batasi PO pada company code tertentu. Kosong = seluruh company code.</w:t>
            </w:r>
          </w:p>
        </w:tc>
      </w:tr>
      <w:tr>
        <w:tc>
          <w:tcPr>
            <w:tcW w:type="dxa" w:w="1512"/>
            <w:shd w:val="clear" w:color="auto" w:fill="F4F5F7"/>
          </w:tcPr>
          <w:p>
            <w:pPr>
              <w:spacing w:after="20"/>
            </w:pPr>
            <w:r/>
            <w:r>
              <w:rPr>
                <w:b/>
                <w:color w:val="C8622D"/>
                <w:sz w:val="17"/>
              </w:rPr>
              <w:t>S_EKORG</w:t>
            </w:r>
          </w:p>
        </w:tc>
        <w:tc>
          <w:tcPr>
            <w:tcW w:type="dxa" w:w="1944"/>
            <w:shd w:val="clear" w:color="auto" w:fill="F4F5F7"/>
          </w:tcPr>
          <w:p>
            <w:pPr>
              <w:spacing w:after="20"/>
            </w:pPr>
            <w:r/>
            <w:r>
              <w:rPr>
                <w:b w:val="0"/>
                <w:color w:val="1F2328"/>
                <w:sz w:val="17"/>
              </w:rPr>
              <w:t>Purchasing Organization</w:t>
            </w:r>
          </w:p>
        </w:tc>
        <w:tc>
          <w:tcPr>
            <w:tcW w:type="dxa" w:w="1584"/>
            <w:shd w:val="clear" w:color="auto" w:fill="F4F5F7"/>
          </w:tcPr>
          <w:p>
            <w:pPr>
              <w:spacing w:after="20"/>
            </w:pPr>
            <w:r/>
            <w:r>
              <w:rPr>
                <w:b w:val="0"/>
                <w:color w:val="1F2328"/>
                <w:sz w:val="17"/>
              </w:rPr>
              <w:t>Select-option</w:t>
            </w:r>
          </w:p>
        </w:tc>
        <w:tc>
          <w:tcPr>
            <w:tcW w:type="dxa" w:w="4752"/>
            <w:shd w:val="clear" w:color="auto" w:fill="F4F5F7"/>
          </w:tcPr>
          <w:p>
            <w:pPr>
              <w:spacing w:after="20"/>
            </w:pPr>
            <w:r/>
            <w:r>
              <w:rPr>
                <w:b w:val="0"/>
                <w:color w:val="1F2328"/>
                <w:sz w:val="17"/>
              </w:rPr>
              <w:t>Batasi pada purchasing organization tertentu. Kosong = seluruh org.</w:t>
            </w:r>
          </w:p>
        </w:tc>
      </w:tr>
      <w:tr>
        <w:tc>
          <w:tcPr>
            <w:tcW w:type="dxa" w:w="1512"/>
          </w:tcPr>
          <w:p>
            <w:pPr>
              <w:spacing w:after="20"/>
            </w:pPr>
            <w:r/>
            <w:r>
              <w:rPr>
                <w:b/>
                <w:color w:val="C8622D"/>
                <w:sz w:val="17"/>
              </w:rPr>
              <w:t>S_EKGRP</w:t>
            </w:r>
          </w:p>
        </w:tc>
        <w:tc>
          <w:tcPr>
            <w:tcW w:type="dxa" w:w="1944"/>
          </w:tcPr>
          <w:p>
            <w:pPr>
              <w:spacing w:after="20"/>
            </w:pPr>
            <w:r/>
            <w:r>
              <w:rPr>
                <w:b w:val="0"/>
                <w:color w:val="1F2328"/>
                <w:sz w:val="17"/>
              </w:rPr>
              <w:t>Purchasing Group</w:t>
            </w:r>
          </w:p>
        </w:tc>
        <w:tc>
          <w:tcPr>
            <w:tcW w:type="dxa" w:w="1584"/>
          </w:tcPr>
          <w:p>
            <w:pPr>
              <w:spacing w:after="20"/>
            </w:pPr>
            <w:r/>
            <w:r>
              <w:rPr>
                <w:b w:val="0"/>
                <w:color w:val="1F2328"/>
                <w:sz w:val="17"/>
              </w:rPr>
              <w:t>Select-option</w:t>
            </w:r>
          </w:p>
        </w:tc>
        <w:tc>
          <w:tcPr>
            <w:tcW w:type="dxa" w:w="4752"/>
          </w:tcPr>
          <w:p>
            <w:pPr>
              <w:spacing w:after="20"/>
            </w:pPr>
            <w:r/>
            <w:r>
              <w:rPr>
                <w:b w:val="0"/>
                <w:color w:val="1F2328"/>
                <w:sz w:val="17"/>
              </w:rPr>
              <w:t>Batasi pada purchasing group tertentu. Nilai ini juga dipakai untuk menentukan approver Tier T1.</w:t>
            </w:r>
          </w:p>
        </w:tc>
      </w:tr>
      <w:tr>
        <w:tc>
          <w:tcPr>
            <w:tcW w:type="dxa" w:w="1512"/>
            <w:shd w:val="clear" w:color="auto" w:fill="F4F5F7"/>
          </w:tcPr>
          <w:p>
            <w:pPr>
              <w:spacing w:after="20"/>
            </w:pPr>
            <w:r/>
            <w:r>
              <w:rPr>
                <w:b/>
                <w:color w:val="C8622D"/>
                <w:sz w:val="17"/>
              </w:rPr>
              <w:t>S_BSART</w:t>
            </w:r>
          </w:p>
        </w:tc>
        <w:tc>
          <w:tcPr>
            <w:tcW w:type="dxa" w:w="1944"/>
            <w:shd w:val="clear" w:color="auto" w:fill="F4F5F7"/>
          </w:tcPr>
          <w:p>
            <w:pPr>
              <w:spacing w:after="20"/>
            </w:pPr>
            <w:r/>
            <w:r>
              <w:rPr>
                <w:b w:val="0"/>
                <w:color w:val="1F2328"/>
                <w:sz w:val="17"/>
              </w:rPr>
              <w:t>Document Type PO</w:t>
            </w:r>
          </w:p>
        </w:tc>
        <w:tc>
          <w:tcPr>
            <w:tcW w:type="dxa" w:w="1584"/>
            <w:shd w:val="clear" w:color="auto" w:fill="F4F5F7"/>
          </w:tcPr>
          <w:p>
            <w:pPr>
              <w:spacing w:after="20"/>
            </w:pPr>
            <w:r/>
            <w:r>
              <w:rPr>
                <w:b w:val="0"/>
                <w:color w:val="1F2328"/>
                <w:sz w:val="17"/>
              </w:rPr>
              <w:t>Select-option</w:t>
            </w:r>
          </w:p>
        </w:tc>
        <w:tc>
          <w:tcPr>
            <w:tcW w:type="dxa" w:w="4752"/>
            <w:shd w:val="clear" w:color="auto" w:fill="F4F5F7"/>
          </w:tcPr>
          <w:p>
            <w:pPr>
              <w:spacing w:after="20"/>
            </w:pPr>
            <w:r/>
            <w:r>
              <w:rPr>
                <w:b w:val="0"/>
                <w:color w:val="1F2328"/>
                <w:sz w:val="17"/>
              </w:rPr>
              <w:t>Batasi jenis PO. Dipakai bila ada tipe PO yang tidak perlu dinotifikasi.</w:t>
            </w:r>
          </w:p>
        </w:tc>
      </w:tr>
      <w:tr>
        <w:tc>
          <w:tcPr>
            <w:tcW w:type="dxa" w:w="1512"/>
          </w:tcPr>
          <w:p>
            <w:pPr>
              <w:spacing w:after="20"/>
            </w:pPr>
            <w:r/>
            <w:r>
              <w:rPr>
                <w:b/>
                <w:color w:val="C8622D"/>
                <w:sz w:val="17"/>
              </w:rPr>
              <w:t>S_EBELN</w:t>
            </w:r>
          </w:p>
        </w:tc>
        <w:tc>
          <w:tcPr>
            <w:tcW w:type="dxa" w:w="1944"/>
          </w:tcPr>
          <w:p>
            <w:pPr>
              <w:spacing w:after="20"/>
            </w:pPr>
            <w:r/>
            <w:r>
              <w:rPr>
                <w:b w:val="0"/>
                <w:color w:val="1F2328"/>
                <w:sz w:val="17"/>
              </w:rPr>
              <w:t>Nomor PO</w:t>
            </w:r>
          </w:p>
        </w:tc>
        <w:tc>
          <w:tcPr>
            <w:tcW w:type="dxa" w:w="1584"/>
          </w:tcPr>
          <w:p>
            <w:pPr>
              <w:spacing w:after="20"/>
            </w:pPr>
            <w:r/>
            <w:r>
              <w:rPr>
                <w:b w:val="0"/>
                <w:color w:val="1F2328"/>
                <w:sz w:val="17"/>
              </w:rPr>
              <w:t>Select-option</w:t>
            </w:r>
          </w:p>
        </w:tc>
        <w:tc>
          <w:tcPr>
            <w:tcW w:type="dxa" w:w="4752"/>
          </w:tcPr>
          <w:p>
            <w:pPr>
              <w:spacing w:after="20"/>
            </w:pPr>
            <w:r/>
            <w:r>
              <w:rPr>
                <w:b w:val="0"/>
                <w:color w:val="1F2328"/>
                <w:sz w:val="17"/>
              </w:rPr>
              <w:t>Menjalankan untuk satu atau beberapa nomor PO. Umumnya dipakai saat pengujian.</w:t>
            </w:r>
          </w:p>
        </w:tc>
      </w:tr>
      <w:tr>
        <w:tc>
          <w:tcPr>
            <w:tcW w:type="dxa" w:w="1512"/>
            <w:shd w:val="clear" w:color="auto" w:fill="FBF1EA"/>
          </w:tcPr>
          <w:p>
            <w:pPr>
              <w:spacing w:after="20"/>
            </w:pPr>
            <w:r/>
            <w:r>
              <w:rPr>
                <w:b/>
                <w:color w:val="C8622D"/>
                <w:sz w:val="17"/>
              </w:rPr>
              <w:t>P_TEST</w:t>
            </w:r>
          </w:p>
        </w:tc>
        <w:tc>
          <w:tcPr>
            <w:tcW w:type="dxa" w:w="1944"/>
            <w:shd w:val="clear" w:color="auto" w:fill="FBF1EA"/>
          </w:tcPr>
          <w:p>
            <w:pPr>
              <w:spacing w:after="20"/>
            </w:pPr>
            <w:r/>
            <w:r>
              <w:rPr>
                <w:b w:val="0"/>
                <w:color w:val="1F2328"/>
                <w:sz w:val="17"/>
              </w:rPr>
              <w:t>Test Run</w:t>
            </w:r>
          </w:p>
        </w:tc>
        <w:tc>
          <w:tcPr>
            <w:tcW w:type="dxa" w:w="1584"/>
            <w:shd w:val="clear" w:color="auto" w:fill="FBF1EA"/>
          </w:tcPr>
          <w:p>
            <w:pPr>
              <w:spacing w:after="20"/>
            </w:pPr>
            <w:r/>
            <w:r>
              <w:rPr>
                <w:b w:val="0"/>
                <w:color w:val="1F2328"/>
                <w:sz w:val="17"/>
              </w:rPr>
              <w:t>Checkbox (default aktif)</w:t>
            </w:r>
          </w:p>
        </w:tc>
        <w:tc>
          <w:tcPr>
            <w:tcW w:type="dxa" w:w="4752"/>
            <w:shd w:val="clear" w:color="auto" w:fill="FBF1EA"/>
          </w:tcPr>
          <w:p>
            <w:pPr>
              <w:spacing w:after="20"/>
            </w:pPr>
            <w:r/>
            <w:r>
              <w:rPr>
                <w:b w:val="0"/>
                <w:color w:val="1F2328"/>
                <w:sz w:val="17"/>
              </w:rPr>
              <w:t>Aktif: seluruh proses berjalan tetapi email TIDAK dikirim; daftar penerima ditampilkan di layar. Nonaktif: email dikirim.</w:t>
            </w:r>
          </w:p>
        </w:tc>
      </w:tr>
    </w:tbl>
    <w:p>
      <w:pPr>
        <w:spacing w:after="100"/>
      </w:pPr>
      <w:r>
        <w:rPr>
          <w:b/>
          <w:color w:val="6B7280"/>
          <w:sz w:val="17"/>
        </w:rPr>
        <w:t xml:space="preserve">Catatan: </w:t>
      </w:r>
      <w:r>
        <w:rPr>
          <w:b w:val="0"/>
          <w:color w:val="6B7280"/>
          <w:sz w:val="17"/>
        </w:rPr>
        <w:t>Test Run aktif secara bawaan agar program aman dijalankan untuk pengecekan tanpa risiko mengirim email kepada approver.</w:t>
      </w:r>
    </w:p>
    <w:p>
      <w:pPr>
        <w:pStyle w:val="Heading1"/>
        <w:spacing w:before="240" w:after="100"/>
      </w:pPr>
      <w:r>
        <w:rPr>
          <w:b/>
          <w:color w:val="2F3A46"/>
          <w:sz w:val="28"/>
        </w:rPr>
        <w:t>3. Variant Program</w:t>
      </w:r>
    </w:p>
    <w:p>
      <w:pPr>
        <w:spacing w:after="100"/>
      </w:pPr>
      <w:r>
        <w:rPr>
          <w:b w:val="0"/>
          <w:i w:val="0"/>
          <w:color w:val="1F2328"/>
          <w:sz w:val="19"/>
        </w:rPr>
        <w:t>Variant menyimpan kombinasi isian layar seleksi agar penjadwalan job tidak perlu diisi ulang setiap kali.</w:t>
      </w:r>
    </w:p>
    <w:tbl>
      <w:tblPr>
        <w:tblStyle w:val="TableGrid"/>
        <w:tblW w:type="auto" w:w="0"/>
        <w:jc w:val="left"/>
        <w:tblLook w:firstColumn="1" w:firstRow="1" w:lastColumn="0" w:lastRow="0" w:noHBand="0" w:noVBand="1" w:val="04A0"/>
        <w:tblLayout w:type="fixed"/>
      </w:tblPr>
      <w:tblGrid>
        <w:gridCol w:w="2088"/>
        <w:gridCol w:w="2088"/>
        <w:gridCol w:w="5616"/>
      </w:tblGrid>
      <w:tr>
        <w:tc>
          <w:tcPr>
            <w:tcW w:type="dxa" w:w="2088"/>
            <w:shd w:val="clear" w:color="auto" w:fill="2F3A46"/>
          </w:tcPr>
          <w:p>
            <w:pPr>
              <w:spacing w:after="20"/>
            </w:pPr>
            <w:r/>
            <w:r>
              <w:rPr>
                <w:b/>
                <w:color w:val="FFFFFF"/>
                <w:sz w:val="17"/>
              </w:rPr>
              <w:t>Nama Variant</w:t>
            </w:r>
          </w:p>
        </w:tc>
        <w:tc>
          <w:tcPr>
            <w:tcW w:type="dxa" w:w="2088"/>
            <w:shd w:val="clear" w:color="auto" w:fill="2F3A46"/>
          </w:tcPr>
          <w:p>
            <w:pPr>
              <w:spacing w:after="20"/>
            </w:pPr>
            <w:r/>
            <w:r>
              <w:rPr>
                <w:b/>
                <w:color w:val="FFFFFF"/>
                <w:sz w:val="17"/>
              </w:rPr>
              <w:t>Dibuat oleh</w:t>
            </w:r>
          </w:p>
        </w:tc>
        <w:tc>
          <w:tcPr>
            <w:tcW w:type="dxa" w:w="5616"/>
            <w:shd w:val="clear" w:color="auto" w:fill="2F3A46"/>
          </w:tcPr>
          <w:p>
            <w:pPr>
              <w:spacing w:after="20"/>
            </w:pPr>
            <w:r/>
            <w:r>
              <w:rPr>
                <w:b/>
                <w:color w:val="FFFFFF"/>
                <w:sz w:val="17"/>
              </w:rPr>
              <w:t>Kegunaan</w:t>
            </w:r>
          </w:p>
        </w:tc>
      </w:tr>
      <w:tr>
        <w:tc>
          <w:tcPr>
            <w:tcW w:type="dxa" w:w="2088"/>
          </w:tcPr>
          <w:p>
            <w:pPr>
              <w:spacing w:after="20"/>
            </w:pPr>
            <w:r/>
            <w:r>
              <w:rPr>
                <w:b/>
                <w:color w:val="C8622D"/>
                <w:sz w:val="17"/>
              </w:rPr>
              <w:t>AUTO EMAIL</w:t>
            </w:r>
          </w:p>
        </w:tc>
        <w:tc>
          <w:tcPr>
            <w:tcW w:type="dxa" w:w="2088"/>
          </w:tcPr>
          <w:p>
            <w:pPr>
              <w:spacing w:after="20"/>
            </w:pPr>
            <w:r/>
            <w:r>
              <w:rPr>
                <w:b w:val="0"/>
                <w:color w:val="1F2328"/>
                <w:sz w:val="17"/>
              </w:rPr>
              <w:t>TRSTDEV</w:t>
            </w:r>
          </w:p>
        </w:tc>
        <w:tc>
          <w:tcPr>
            <w:tcW w:type="dxa" w:w="5616"/>
          </w:tcPr>
          <w:p>
            <w:pPr>
              <w:spacing w:after="20"/>
            </w:pPr>
            <w:r/>
            <w:r>
              <w:rPr>
                <w:b w:val="0"/>
                <w:color w:val="1F2328"/>
                <w:sz w:val="17"/>
              </w:rPr>
              <w:t>Variant yang dipakai untuk penjadwalan background job. Berisi kombinasi filter yang disepakati serta pengaturan Test Run. Sebelum dijadwalkan produktif, pastikan Test Run pada variant ini dalam keadaan NONAKTIF.</w:t>
            </w:r>
          </w:p>
        </w:tc>
      </w:tr>
    </w:tbl>
    <w:p>
      <w:r>
        <w:br w:type="page"/>
      </w:r>
    </w:p>
    <w:p>
      <w:pPr>
        <w:pStyle w:val="Heading1"/>
        <w:spacing w:before="240" w:after="100"/>
      </w:pPr>
      <w:r>
        <w:rPr>
          <w:b/>
          <w:color w:val="2F3A46"/>
          <w:sz w:val="28"/>
        </w:rPr>
        <w:t>4. Konfigurasi pada Tabel ZMAP_TYPE</w:t>
      </w:r>
    </w:p>
    <w:p>
      <w:pPr>
        <w:spacing w:after="100"/>
      </w:pPr>
      <w:r>
        <w:rPr>
          <w:b w:val="0"/>
          <w:i w:val="0"/>
          <w:color w:val="1F2328"/>
          <w:sz w:val="19"/>
        </w:rPr>
        <w:t>Seluruh aturan bisnis disimpan pada tabel konfigurasi ZMAP_TYPE sehingga dapat diubah tanpa mengubah program. Baris yang ditandai sebagai dihapus (kolom Deletion) diabaikan oleh program.</w:t>
      </w:r>
    </w:p>
    <w:p>
      <w:pPr>
        <w:spacing w:after="100"/>
      </w:pPr>
      <w:r>
        <w:rPr>
          <w:b w:val="0"/>
          <w:i w:val="0"/>
          <w:color w:val="1F2328"/>
          <w:sz w:val="19"/>
        </w:rPr>
        <w:t>Terdapat tiga jenis konfigurasi: THRESHOLD (ambang nilai), APPROVER (data penerima), dan EXC_RULE (aturan penandaan).</w:t>
      </w:r>
    </w:p>
    <w:p>
      <w:pPr>
        <w:pStyle w:val="Heading2"/>
        <w:spacing w:before="180" w:after="100"/>
      </w:pPr>
      <w:r>
        <w:rPr>
          <w:b/>
          <w:color w:val="2F3A46"/>
          <w:sz w:val="23"/>
        </w:rPr>
        <w:t>4.1 THRESHOLD — Ambang Nilai dan Tingkat Persetujuan</w:t>
      </w:r>
    </w:p>
    <w:tbl>
      <w:tblPr>
        <w:tblStyle w:val="TableGrid"/>
        <w:tblW w:type="auto" w:w="0"/>
        <w:jc w:val="left"/>
        <w:tblLook w:firstColumn="1" w:firstRow="1" w:lastColumn="0" w:lastRow="0" w:noHBand="0" w:noVBand="1" w:val="04A0"/>
        <w:tblLayout w:type="fixed"/>
      </w:tblPr>
      <w:tblGrid>
        <w:gridCol w:w="1512"/>
        <w:gridCol w:w="1728"/>
        <w:gridCol w:w="1512"/>
        <w:gridCol w:w="5040"/>
      </w:tblGrid>
      <w:tr>
        <w:tc>
          <w:tcPr>
            <w:tcW w:type="dxa" w:w="1512"/>
            <w:shd w:val="clear" w:color="auto" w:fill="2F3A46"/>
          </w:tcPr>
          <w:p>
            <w:pPr>
              <w:spacing w:after="20"/>
            </w:pPr>
            <w:r/>
            <w:r>
              <w:rPr>
                <w:b/>
                <w:color w:val="FFFFFF"/>
                <w:sz w:val="17"/>
              </w:rPr>
              <w:t>Kolom</w:t>
            </w:r>
          </w:p>
        </w:tc>
        <w:tc>
          <w:tcPr>
            <w:tcW w:type="dxa" w:w="1728"/>
            <w:shd w:val="clear" w:color="auto" w:fill="2F3A46"/>
          </w:tcPr>
          <w:p>
            <w:pPr>
              <w:spacing w:after="20"/>
            </w:pPr>
            <w:r/>
            <w:r>
              <w:rPr>
                <w:b/>
                <w:color w:val="FFFFFF"/>
                <w:sz w:val="17"/>
              </w:rPr>
              <w:t>Isi</w:t>
            </w:r>
          </w:p>
        </w:tc>
        <w:tc>
          <w:tcPr>
            <w:tcW w:type="dxa" w:w="1512"/>
            <w:shd w:val="clear" w:color="auto" w:fill="2F3A46"/>
          </w:tcPr>
          <w:p>
            <w:pPr>
              <w:spacing w:after="20"/>
            </w:pPr>
            <w:r/>
            <w:r>
              <w:rPr>
                <w:b/>
                <w:color w:val="FFFFFF"/>
                <w:sz w:val="17"/>
              </w:rPr>
              <w:t>Contoh</w:t>
            </w:r>
          </w:p>
        </w:tc>
        <w:tc>
          <w:tcPr>
            <w:tcW w:type="dxa" w:w="5040"/>
            <w:shd w:val="clear" w:color="auto" w:fill="2F3A46"/>
          </w:tcPr>
          <w:p>
            <w:pPr>
              <w:spacing w:after="20"/>
            </w:pPr>
            <w:r/>
            <w:r>
              <w:rPr>
                <w:b/>
                <w:color w:val="FFFFFF"/>
                <w:sz w:val="17"/>
              </w:rPr>
              <w:t>Arti</w:t>
            </w:r>
          </w:p>
        </w:tc>
      </w:tr>
      <w:tr>
        <w:tc>
          <w:tcPr>
            <w:tcW w:type="dxa" w:w="1512"/>
          </w:tcPr>
          <w:p>
            <w:pPr>
              <w:spacing w:after="20"/>
            </w:pPr>
            <w:r/>
            <w:r>
              <w:rPr>
                <w:b/>
                <w:color w:val="C8622D"/>
                <w:sz w:val="17"/>
              </w:rPr>
              <w:t>TYPE</w:t>
            </w:r>
          </w:p>
        </w:tc>
        <w:tc>
          <w:tcPr>
            <w:tcW w:type="dxa" w:w="1728"/>
          </w:tcPr>
          <w:p>
            <w:pPr>
              <w:spacing w:after="20"/>
            </w:pPr>
            <w:r/>
            <w:r>
              <w:rPr>
                <w:b w:val="0"/>
                <w:color w:val="1F2328"/>
                <w:sz w:val="17"/>
              </w:rPr>
              <w:t>THRESHOLD</w:t>
            </w:r>
          </w:p>
        </w:tc>
        <w:tc>
          <w:tcPr>
            <w:tcW w:type="dxa" w:w="1512"/>
          </w:tcPr>
          <w:p>
            <w:pPr>
              <w:spacing w:after="20"/>
            </w:pPr>
            <w:r/>
            <w:r>
              <w:rPr>
                <w:b w:val="0"/>
                <w:color w:val="1F2328"/>
                <w:sz w:val="17"/>
              </w:rPr>
              <w:t>THRESHOLD</w:t>
            </w:r>
          </w:p>
        </w:tc>
        <w:tc>
          <w:tcPr>
            <w:tcW w:type="dxa" w:w="5040"/>
          </w:tcPr>
          <w:p>
            <w:pPr>
              <w:spacing w:after="20"/>
            </w:pPr>
            <w:r/>
            <w:r>
              <w:rPr>
                <w:b w:val="0"/>
                <w:color w:val="1F2328"/>
                <w:sz w:val="17"/>
              </w:rPr>
              <w:t>Menandai baris ini sebagai konfigurasi ambang nilai.</w:t>
            </w:r>
          </w:p>
        </w:tc>
      </w:tr>
      <w:tr>
        <w:tc>
          <w:tcPr>
            <w:tcW w:type="dxa" w:w="1512"/>
            <w:shd w:val="clear" w:color="auto" w:fill="F4F5F7"/>
          </w:tcPr>
          <w:p>
            <w:pPr>
              <w:spacing w:after="20"/>
            </w:pPr>
            <w:r/>
            <w:r>
              <w:rPr>
                <w:b/>
                <w:color w:val="C8622D"/>
                <w:sz w:val="17"/>
              </w:rPr>
              <w:t>OPT</w:t>
            </w:r>
          </w:p>
        </w:tc>
        <w:tc>
          <w:tcPr>
            <w:tcW w:type="dxa" w:w="1728"/>
            <w:shd w:val="clear" w:color="auto" w:fill="F4F5F7"/>
          </w:tcPr>
          <w:p>
            <w:pPr>
              <w:spacing w:after="20"/>
            </w:pPr>
            <w:r/>
            <w:r>
              <w:rPr>
                <w:b w:val="0"/>
                <w:color w:val="1F2328"/>
                <w:sz w:val="17"/>
              </w:rPr>
              <w:t>Kode tier</w:t>
            </w:r>
          </w:p>
        </w:tc>
        <w:tc>
          <w:tcPr>
            <w:tcW w:type="dxa" w:w="1512"/>
            <w:shd w:val="clear" w:color="auto" w:fill="F4F5F7"/>
          </w:tcPr>
          <w:p>
            <w:pPr>
              <w:spacing w:after="20"/>
            </w:pPr>
            <w:r/>
            <w:r>
              <w:rPr>
                <w:b w:val="0"/>
                <w:color w:val="1F2328"/>
                <w:sz w:val="17"/>
              </w:rPr>
              <w:t>T0 / T1 / T2</w:t>
            </w:r>
          </w:p>
        </w:tc>
        <w:tc>
          <w:tcPr>
            <w:tcW w:type="dxa" w:w="5040"/>
            <w:shd w:val="clear" w:color="auto" w:fill="F4F5F7"/>
          </w:tcPr>
          <w:p>
            <w:pPr>
              <w:spacing w:after="20"/>
            </w:pPr>
            <w:r/>
            <w:r>
              <w:rPr>
                <w:b w:val="0"/>
                <w:color w:val="1F2328"/>
                <w:sz w:val="17"/>
              </w:rPr>
              <w:t>Nama tier yang muncul di layar hasil dan email.</w:t>
            </w:r>
          </w:p>
        </w:tc>
      </w:tr>
      <w:tr>
        <w:tc>
          <w:tcPr>
            <w:tcW w:type="dxa" w:w="1512"/>
          </w:tcPr>
          <w:p>
            <w:pPr>
              <w:spacing w:after="20"/>
            </w:pPr>
            <w:r/>
            <w:r>
              <w:rPr>
                <w:b/>
                <w:color w:val="C8622D"/>
                <w:sz w:val="17"/>
              </w:rPr>
              <w:t>VALUE</w:t>
            </w:r>
          </w:p>
        </w:tc>
        <w:tc>
          <w:tcPr>
            <w:tcW w:type="dxa" w:w="1728"/>
          </w:tcPr>
          <w:p>
            <w:pPr>
              <w:spacing w:after="20"/>
            </w:pPr>
            <w:r/>
            <w:r>
              <w:rPr>
                <w:b w:val="0"/>
                <w:color w:val="1F2328"/>
                <w:sz w:val="17"/>
              </w:rPr>
              <w:t>Batas atas nilai (USD)</w:t>
            </w:r>
          </w:p>
        </w:tc>
        <w:tc>
          <w:tcPr>
            <w:tcW w:type="dxa" w:w="1512"/>
          </w:tcPr>
          <w:p>
            <w:pPr>
              <w:spacing w:after="20"/>
            </w:pPr>
            <w:r/>
            <w:r>
              <w:rPr>
                <w:b w:val="0"/>
                <w:color w:val="1F2328"/>
                <w:sz w:val="17"/>
              </w:rPr>
              <w:t>500.00</w:t>
            </w:r>
          </w:p>
        </w:tc>
        <w:tc>
          <w:tcPr>
            <w:tcW w:type="dxa" w:w="5040"/>
          </w:tcPr>
          <w:p>
            <w:pPr>
              <w:spacing w:after="20"/>
            </w:pPr>
            <w:r/>
            <w:r>
              <w:rPr>
                <w:b w:val="0"/>
                <w:color w:val="1F2328"/>
                <w:sz w:val="17"/>
              </w:rPr>
              <w:t>PO masuk tier ini bila nilainya kurang dari atau sama dengan angka ini. Tier diuji berurutan dari nilai terkecil.</w:t>
            </w:r>
          </w:p>
        </w:tc>
      </w:tr>
      <w:tr>
        <w:tc>
          <w:tcPr>
            <w:tcW w:type="dxa" w:w="1512"/>
            <w:shd w:val="clear" w:color="auto" w:fill="F4F5F7"/>
          </w:tcPr>
          <w:p>
            <w:pPr>
              <w:spacing w:after="20"/>
            </w:pPr>
            <w:r/>
            <w:r>
              <w:rPr>
                <w:b/>
                <w:color w:val="C8622D"/>
                <w:sz w:val="17"/>
              </w:rPr>
              <w:t>TEXT1</w:t>
            </w:r>
          </w:p>
        </w:tc>
        <w:tc>
          <w:tcPr>
            <w:tcW w:type="dxa" w:w="1728"/>
            <w:shd w:val="clear" w:color="auto" w:fill="F4F5F7"/>
          </w:tcPr>
          <w:p>
            <w:pPr>
              <w:spacing w:after="20"/>
            </w:pPr>
            <w:r/>
            <w:r>
              <w:rPr>
                <w:b w:val="0"/>
                <w:color w:val="1F2328"/>
                <w:sz w:val="17"/>
              </w:rPr>
              <w:t>Penanda tier auto</w:t>
            </w:r>
          </w:p>
        </w:tc>
        <w:tc>
          <w:tcPr>
            <w:tcW w:type="dxa" w:w="1512"/>
            <w:shd w:val="clear" w:color="auto" w:fill="F4F5F7"/>
          </w:tcPr>
          <w:p>
            <w:pPr>
              <w:spacing w:after="20"/>
            </w:pPr>
            <w:r/>
            <w:r>
              <w:rPr>
                <w:b w:val="0"/>
                <w:color w:val="1F2328"/>
                <w:sz w:val="17"/>
              </w:rPr>
              <w:t>X</w:t>
            </w:r>
          </w:p>
        </w:tc>
        <w:tc>
          <w:tcPr>
            <w:tcW w:type="dxa" w:w="5040"/>
            <w:shd w:val="clear" w:color="auto" w:fill="F4F5F7"/>
          </w:tcPr>
          <w:p>
            <w:pPr>
              <w:spacing w:after="20"/>
            </w:pPr>
            <w:r/>
            <w:r>
              <w:rPr>
                <w:b w:val="0"/>
                <w:color w:val="1F2328"/>
                <w:sz w:val="17"/>
              </w:rPr>
              <w:t>Bila diisi X, PO pada tier tersebut DILEWATI oleh program ini (sudah ditangani auto-release Sprint 1).</w:t>
            </w:r>
          </w:p>
        </w:tc>
      </w:tr>
    </w:tbl>
    <w:p>
      <w:pPr>
        <w:spacing w:after="100"/>
      </w:pPr>
      <w:r>
        <w:rPr>
          <w:b w:val="0"/>
          <w:i w:val="0"/>
          <w:color w:val="1F2328"/>
          <w:sz w:val="19"/>
        </w:rPr>
        <w:t>Konfigurasi yang berlaku saat ini:</w:t>
      </w:r>
    </w:p>
    <w:tbl>
      <w:tblPr>
        <w:tblStyle w:val="TableGrid"/>
        <w:tblW w:type="auto" w:w="0"/>
        <w:jc w:val="left"/>
        <w:tblLook w:firstColumn="1" w:firstRow="1" w:lastColumn="0" w:lastRow="0" w:noHBand="0" w:noVBand="1" w:val="04A0"/>
        <w:tblLayout w:type="fixed"/>
      </w:tblPr>
      <w:tblGrid>
        <w:gridCol w:w="1224"/>
        <w:gridCol w:w="2232"/>
        <w:gridCol w:w="1512"/>
        <w:gridCol w:w="4824"/>
      </w:tblGrid>
      <w:tr>
        <w:tc>
          <w:tcPr>
            <w:tcW w:type="dxa" w:w="1224"/>
            <w:shd w:val="clear" w:color="auto" w:fill="2F3A46"/>
          </w:tcPr>
          <w:p>
            <w:pPr>
              <w:spacing w:after="20"/>
            </w:pPr>
            <w:r/>
            <w:r>
              <w:rPr>
                <w:b/>
                <w:color w:val="FFFFFF"/>
                <w:sz w:val="17"/>
              </w:rPr>
              <w:t>Tier</w:t>
            </w:r>
          </w:p>
        </w:tc>
        <w:tc>
          <w:tcPr>
            <w:tcW w:type="dxa" w:w="2232"/>
            <w:shd w:val="clear" w:color="auto" w:fill="2F3A46"/>
          </w:tcPr>
          <w:p>
            <w:pPr>
              <w:spacing w:after="20"/>
            </w:pPr>
            <w:r/>
            <w:r>
              <w:rPr>
                <w:b/>
                <w:color w:val="FFFFFF"/>
                <w:sz w:val="17"/>
              </w:rPr>
              <w:t>Batas nilai (USD)</w:t>
            </w:r>
          </w:p>
        </w:tc>
        <w:tc>
          <w:tcPr>
            <w:tcW w:type="dxa" w:w="1512"/>
            <w:shd w:val="clear" w:color="auto" w:fill="2F3A46"/>
          </w:tcPr>
          <w:p>
            <w:pPr>
              <w:spacing w:after="20"/>
            </w:pPr>
            <w:r/>
            <w:r>
              <w:rPr>
                <w:b/>
                <w:color w:val="FFFFFF"/>
                <w:sz w:val="17"/>
              </w:rPr>
              <w:t>Penanda auto</w:t>
            </w:r>
          </w:p>
        </w:tc>
        <w:tc>
          <w:tcPr>
            <w:tcW w:type="dxa" w:w="4824"/>
            <w:shd w:val="clear" w:color="auto" w:fill="2F3A46"/>
          </w:tcPr>
          <w:p>
            <w:pPr>
              <w:spacing w:after="20"/>
            </w:pPr>
            <w:r/>
            <w:r>
              <w:rPr>
                <w:b/>
                <w:color w:val="FFFFFF"/>
                <w:sz w:val="17"/>
              </w:rPr>
              <w:t>Perlakuan</w:t>
            </w:r>
          </w:p>
        </w:tc>
      </w:tr>
      <w:tr>
        <w:tc>
          <w:tcPr>
            <w:tcW w:type="dxa" w:w="1224"/>
            <w:shd w:val="clear" w:color="auto" w:fill="EDF6EE"/>
          </w:tcPr>
          <w:p>
            <w:pPr>
              <w:spacing w:after="20"/>
            </w:pPr>
            <w:r/>
            <w:r>
              <w:rPr>
                <w:b/>
                <w:color w:val="2E7D32"/>
                <w:sz w:val="17"/>
              </w:rPr>
              <w:t>T0</w:t>
            </w:r>
          </w:p>
        </w:tc>
        <w:tc>
          <w:tcPr>
            <w:tcW w:type="dxa" w:w="2232"/>
            <w:shd w:val="clear" w:color="auto" w:fill="EDF6EE"/>
          </w:tcPr>
          <w:p>
            <w:pPr>
              <w:spacing w:after="20"/>
            </w:pPr>
            <w:r/>
            <w:r>
              <w:rPr>
                <w:b w:val="0"/>
                <w:color w:val="1F2328"/>
                <w:sz w:val="17"/>
              </w:rPr>
              <w:t>sampai 500.00</w:t>
            </w:r>
          </w:p>
        </w:tc>
        <w:tc>
          <w:tcPr>
            <w:tcW w:type="dxa" w:w="1512"/>
            <w:shd w:val="clear" w:color="auto" w:fill="EDF6EE"/>
          </w:tcPr>
          <w:p>
            <w:pPr>
              <w:spacing w:after="20"/>
            </w:pPr>
            <w:r/>
            <w:r>
              <w:rPr>
                <w:b w:val="0"/>
                <w:color w:val="1F2328"/>
                <w:sz w:val="17"/>
              </w:rPr>
              <w:t>X</w:t>
            </w:r>
          </w:p>
        </w:tc>
        <w:tc>
          <w:tcPr>
            <w:tcW w:type="dxa" w:w="4824"/>
            <w:shd w:val="clear" w:color="auto" w:fill="EDF6EE"/>
          </w:tcPr>
          <w:p>
            <w:pPr>
              <w:spacing w:after="20"/>
            </w:pPr>
            <w:r/>
            <w:r>
              <w:rPr>
                <w:b w:val="0"/>
                <w:color w:val="1F2328"/>
                <w:sz w:val="17"/>
              </w:rPr>
              <w:t>Dilewati. Auto-release ditangani program Sprint 1.</w:t>
            </w:r>
          </w:p>
        </w:tc>
      </w:tr>
      <w:tr>
        <w:tc>
          <w:tcPr>
            <w:tcW w:type="dxa" w:w="1224"/>
          </w:tcPr>
          <w:p>
            <w:pPr>
              <w:spacing w:after="20"/>
            </w:pPr>
            <w:r/>
            <w:r>
              <w:rPr>
                <w:b/>
                <w:color w:val="C8622D"/>
                <w:sz w:val="17"/>
              </w:rPr>
              <w:t>T1</w:t>
            </w:r>
          </w:p>
        </w:tc>
        <w:tc>
          <w:tcPr>
            <w:tcW w:type="dxa" w:w="2232"/>
          </w:tcPr>
          <w:p>
            <w:pPr>
              <w:spacing w:after="20"/>
            </w:pPr>
            <w:r/>
            <w:r>
              <w:rPr>
                <w:b w:val="0"/>
                <w:color w:val="1F2328"/>
                <w:sz w:val="17"/>
              </w:rPr>
              <w:t>di atas 500.00 s.d. 5.000,00</w:t>
            </w:r>
          </w:p>
        </w:tc>
        <w:tc>
          <w:tcPr>
            <w:tcW w:type="dxa" w:w="1512"/>
          </w:tcPr>
          <w:p>
            <w:pPr>
              <w:spacing w:after="20"/>
            </w:pPr>
            <w:r/>
            <w:r>
              <w:rPr>
                <w:b w:val="0"/>
                <w:color w:val="1F2328"/>
                <w:sz w:val="17"/>
              </w:rPr>
              <w:t>(kosong)</w:t>
            </w:r>
          </w:p>
        </w:tc>
        <w:tc>
          <w:tcPr>
            <w:tcW w:type="dxa" w:w="4824"/>
          </w:tcPr>
          <w:p>
            <w:pPr>
              <w:spacing w:after="20"/>
            </w:pPr>
            <w:r/>
            <w:r>
              <w:rPr>
                <w:b w:val="0"/>
                <w:color w:val="1F2328"/>
                <w:sz w:val="17"/>
              </w:rPr>
              <w:t>Dinotifikasi ke approver sesuai Purchasing Group.</w:t>
            </w:r>
          </w:p>
        </w:tc>
      </w:tr>
      <w:tr>
        <w:tc>
          <w:tcPr>
            <w:tcW w:type="dxa" w:w="1224"/>
            <w:shd w:val="clear" w:color="auto" w:fill="F4F5F7"/>
          </w:tcPr>
          <w:p>
            <w:pPr>
              <w:spacing w:after="20"/>
            </w:pPr>
            <w:r/>
            <w:r>
              <w:rPr>
                <w:b/>
                <w:color w:val="C8622D"/>
                <w:sz w:val="17"/>
              </w:rPr>
              <w:t>T2</w:t>
            </w:r>
          </w:p>
        </w:tc>
        <w:tc>
          <w:tcPr>
            <w:tcW w:type="dxa" w:w="2232"/>
            <w:shd w:val="clear" w:color="auto" w:fill="F4F5F7"/>
          </w:tcPr>
          <w:p>
            <w:pPr>
              <w:spacing w:after="20"/>
            </w:pPr>
            <w:r/>
            <w:r>
              <w:rPr>
                <w:b w:val="0"/>
                <w:color w:val="1F2328"/>
                <w:sz w:val="17"/>
              </w:rPr>
              <w:t>di atas 5.000,00</w:t>
            </w:r>
          </w:p>
        </w:tc>
        <w:tc>
          <w:tcPr>
            <w:tcW w:type="dxa" w:w="1512"/>
            <w:shd w:val="clear" w:color="auto" w:fill="F4F5F7"/>
          </w:tcPr>
          <w:p>
            <w:pPr>
              <w:spacing w:after="20"/>
            </w:pPr>
            <w:r/>
            <w:r>
              <w:rPr>
                <w:b w:val="0"/>
                <w:color w:val="1F2328"/>
                <w:sz w:val="17"/>
              </w:rPr>
              <w:t>(kosong)</w:t>
            </w:r>
          </w:p>
        </w:tc>
        <w:tc>
          <w:tcPr>
            <w:tcW w:type="dxa" w:w="4824"/>
            <w:shd w:val="clear" w:color="auto" w:fill="F4F5F7"/>
          </w:tcPr>
          <w:p>
            <w:pPr>
              <w:spacing w:after="20"/>
            </w:pPr>
            <w:r/>
            <w:r>
              <w:rPr>
                <w:b w:val="0"/>
                <w:color w:val="1F2328"/>
                <w:sz w:val="17"/>
              </w:rPr>
              <w:t>Dinotifikasi ke approver GM (baris GM_FIXED).</w:t>
            </w:r>
          </w:p>
        </w:tc>
      </w:tr>
    </w:tbl>
    <w:p>
      <w:pPr>
        <w:pStyle w:val="Heading2"/>
        <w:spacing w:before="180" w:after="100"/>
      </w:pPr>
      <w:r>
        <w:rPr>
          <w:b/>
          <w:color w:val="2F3A46"/>
          <w:sz w:val="23"/>
        </w:rPr>
        <w:t>4.2 APPROVER — Data Penerima Notifikasi</w:t>
      </w:r>
    </w:p>
    <w:tbl>
      <w:tblPr>
        <w:tblStyle w:val="TableGrid"/>
        <w:tblW w:type="auto" w:w="0"/>
        <w:jc w:val="left"/>
        <w:tblLook w:firstColumn="1" w:firstRow="1" w:lastColumn="0" w:lastRow="0" w:noHBand="0" w:noVBand="1" w:val="04A0"/>
        <w:tblLayout w:type="fixed"/>
      </w:tblPr>
      <w:tblGrid>
        <w:gridCol w:w="1512"/>
        <w:gridCol w:w="2088"/>
        <w:gridCol w:w="1728"/>
        <w:gridCol w:w="4464"/>
      </w:tblGrid>
      <w:tr>
        <w:tc>
          <w:tcPr>
            <w:tcW w:type="dxa" w:w="1512"/>
            <w:shd w:val="clear" w:color="auto" w:fill="2F3A46"/>
          </w:tcPr>
          <w:p>
            <w:pPr>
              <w:spacing w:after="20"/>
            </w:pPr>
            <w:r/>
            <w:r>
              <w:rPr>
                <w:b/>
                <w:color w:val="FFFFFF"/>
                <w:sz w:val="17"/>
              </w:rPr>
              <w:t>Kolom</w:t>
            </w:r>
          </w:p>
        </w:tc>
        <w:tc>
          <w:tcPr>
            <w:tcW w:type="dxa" w:w="2088"/>
            <w:shd w:val="clear" w:color="auto" w:fill="2F3A46"/>
          </w:tcPr>
          <w:p>
            <w:pPr>
              <w:spacing w:after="20"/>
            </w:pPr>
            <w:r/>
            <w:r>
              <w:rPr>
                <w:b/>
                <w:color w:val="FFFFFF"/>
                <w:sz w:val="17"/>
              </w:rPr>
              <w:t>Isi</w:t>
            </w:r>
          </w:p>
        </w:tc>
        <w:tc>
          <w:tcPr>
            <w:tcW w:type="dxa" w:w="1728"/>
            <w:shd w:val="clear" w:color="auto" w:fill="2F3A46"/>
          </w:tcPr>
          <w:p>
            <w:pPr>
              <w:spacing w:after="20"/>
            </w:pPr>
            <w:r/>
            <w:r>
              <w:rPr>
                <w:b/>
                <w:color w:val="FFFFFF"/>
                <w:sz w:val="17"/>
              </w:rPr>
              <w:t>Contoh</w:t>
            </w:r>
          </w:p>
        </w:tc>
        <w:tc>
          <w:tcPr>
            <w:tcW w:type="dxa" w:w="4464"/>
            <w:shd w:val="clear" w:color="auto" w:fill="2F3A46"/>
          </w:tcPr>
          <w:p>
            <w:pPr>
              <w:spacing w:after="20"/>
            </w:pPr>
            <w:r/>
            <w:r>
              <w:rPr>
                <w:b/>
                <w:color w:val="FFFFFF"/>
                <w:sz w:val="17"/>
              </w:rPr>
              <w:t>Arti</w:t>
            </w:r>
          </w:p>
        </w:tc>
      </w:tr>
      <w:tr>
        <w:tc>
          <w:tcPr>
            <w:tcW w:type="dxa" w:w="1512"/>
          </w:tcPr>
          <w:p>
            <w:pPr>
              <w:spacing w:after="20"/>
            </w:pPr>
            <w:r/>
            <w:r>
              <w:rPr>
                <w:b/>
                <w:color w:val="C8622D"/>
                <w:sz w:val="17"/>
              </w:rPr>
              <w:t>TYPE</w:t>
            </w:r>
          </w:p>
        </w:tc>
        <w:tc>
          <w:tcPr>
            <w:tcW w:type="dxa" w:w="2088"/>
          </w:tcPr>
          <w:p>
            <w:pPr>
              <w:spacing w:after="20"/>
            </w:pPr>
            <w:r/>
            <w:r>
              <w:rPr>
                <w:b w:val="0"/>
                <w:color w:val="1F2328"/>
                <w:sz w:val="17"/>
              </w:rPr>
              <w:t>APPROVER</w:t>
            </w:r>
          </w:p>
        </w:tc>
        <w:tc>
          <w:tcPr>
            <w:tcW w:type="dxa" w:w="1728"/>
          </w:tcPr>
          <w:p>
            <w:pPr>
              <w:spacing w:after="20"/>
            </w:pPr>
            <w:r/>
            <w:r>
              <w:rPr>
                <w:b w:val="0"/>
                <w:color w:val="1F2328"/>
                <w:sz w:val="17"/>
              </w:rPr>
              <w:t>APPROVER</w:t>
            </w:r>
          </w:p>
        </w:tc>
        <w:tc>
          <w:tcPr>
            <w:tcW w:type="dxa" w:w="4464"/>
          </w:tcPr>
          <w:p>
            <w:pPr>
              <w:spacing w:after="20"/>
            </w:pPr>
            <w:r/>
            <w:r>
              <w:rPr>
                <w:b w:val="0"/>
                <w:color w:val="1F2328"/>
                <w:sz w:val="17"/>
              </w:rPr>
              <w:t>Menandai baris ini sebagai data approver.</w:t>
            </w:r>
          </w:p>
        </w:tc>
      </w:tr>
      <w:tr>
        <w:tc>
          <w:tcPr>
            <w:tcW w:type="dxa" w:w="1512"/>
            <w:shd w:val="clear" w:color="auto" w:fill="F4F5F7"/>
          </w:tcPr>
          <w:p>
            <w:pPr>
              <w:spacing w:after="20"/>
            </w:pPr>
            <w:r/>
            <w:r>
              <w:rPr>
                <w:b/>
                <w:color w:val="C8622D"/>
                <w:sz w:val="17"/>
              </w:rPr>
              <w:t>OPT</w:t>
            </w:r>
          </w:p>
        </w:tc>
        <w:tc>
          <w:tcPr>
            <w:tcW w:type="dxa" w:w="2088"/>
            <w:shd w:val="clear" w:color="auto" w:fill="F4F5F7"/>
          </w:tcPr>
          <w:p>
            <w:pPr>
              <w:spacing w:after="20"/>
            </w:pPr>
            <w:r/>
            <w:r>
              <w:rPr>
                <w:b w:val="0"/>
                <w:color w:val="1F2328"/>
                <w:sz w:val="17"/>
              </w:rPr>
              <w:t>Kunci grup approver</w:t>
            </w:r>
          </w:p>
        </w:tc>
        <w:tc>
          <w:tcPr>
            <w:tcW w:type="dxa" w:w="1728"/>
            <w:shd w:val="clear" w:color="auto" w:fill="F4F5F7"/>
          </w:tcPr>
          <w:p>
            <w:pPr>
              <w:spacing w:after="20"/>
            </w:pPr>
            <w:r/>
            <w:r>
              <w:rPr>
                <w:b w:val="0"/>
                <w:color w:val="1F2328"/>
                <w:sz w:val="17"/>
              </w:rPr>
              <w:t>P14 / GM_FIXED / DEFAULT</w:t>
            </w:r>
          </w:p>
        </w:tc>
        <w:tc>
          <w:tcPr>
            <w:tcW w:type="dxa" w:w="4464"/>
            <w:shd w:val="clear" w:color="auto" w:fill="F4F5F7"/>
          </w:tcPr>
          <w:p>
            <w:pPr>
              <w:spacing w:after="20"/>
            </w:pPr>
            <w:r/>
            <w:r>
              <w:rPr>
                <w:b w:val="0"/>
                <w:color w:val="1F2328"/>
                <w:sz w:val="17"/>
              </w:rPr>
              <w:t>Purchasing Group untuk Tier T1; GM_FIXED khusus Tier T2; DEFAULT sebagai cadangan bila grup tidak ditemukan.</w:t>
            </w:r>
          </w:p>
        </w:tc>
      </w:tr>
      <w:tr>
        <w:tc>
          <w:tcPr>
            <w:tcW w:type="dxa" w:w="1512"/>
          </w:tcPr>
          <w:p>
            <w:pPr>
              <w:spacing w:after="20"/>
            </w:pPr>
            <w:r/>
            <w:r>
              <w:rPr>
                <w:b/>
                <w:color w:val="C8622D"/>
                <w:sz w:val="17"/>
              </w:rPr>
              <w:t>VALUE</w:t>
            </w:r>
          </w:p>
        </w:tc>
        <w:tc>
          <w:tcPr>
            <w:tcW w:type="dxa" w:w="2088"/>
          </w:tcPr>
          <w:p>
            <w:pPr>
              <w:spacing w:after="20"/>
            </w:pPr>
            <w:r/>
            <w:r>
              <w:rPr>
                <w:b w:val="0"/>
                <w:color w:val="1F2328"/>
                <w:sz w:val="17"/>
              </w:rPr>
              <w:t>Nama approver</w:t>
            </w:r>
          </w:p>
        </w:tc>
        <w:tc>
          <w:tcPr>
            <w:tcW w:type="dxa" w:w="1728"/>
          </w:tcPr>
          <w:p>
            <w:pPr>
              <w:spacing w:after="20"/>
            </w:pPr>
            <w:r/>
            <w:r>
              <w:rPr>
                <w:b w:val="0"/>
                <w:color w:val="1F2328"/>
                <w:sz w:val="17"/>
              </w:rPr>
              <w:t>FENNY</w:t>
            </w:r>
          </w:p>
        </w:tc>
        <w:tc>
          <w:tcPr>
            <w:tcW w:type="dxa" w:w="4464"/>
          </w:tcPr>
          <w:p>
            <w:pPr>
              <w:spacing w:after="20"/>
            </w:pPr>
            <w:r/>
            <w:r>
              <w:rPr>
                <w:b w:val="0"/>
                <w:color w:val="1F2328"/>
                <w:sz w:val="17"/>
              </w:rPr>
              <w:t>Ditampilkan pada sapaan email dan layar hasil. Ditulis apa adanya sesuai isi mapping.</w:t>
            </w:r>
          </w:p>
        </w:tc>
      </w:tr>
      <w:tr>
        <w:tc>
          <w:tcPr>
            <w:tcW w:type="dxa" w:w="1512"/>
            <w:shd w:val="clear" w:color="auto" w:fill="F4F5F7"/>
          </w:tcPr>
          <w:p>
            <w:pPr>
              <w:spacing w:after="20"/>
            </w:pPr>
            <w:r/>
            <w:r>
              <w:rPr>
                <w:b/>
                <w:color w:val="C8622D"/>
                <w:sz w:val="17"/>
              </w:rPr>
              <w:t>TEXT1</w:t>
            </w:r>
          </w:p>
        </w:tc>
        <w:tc>
          <w:tcPr>
            <w:tcW w:type="dxa" w:w="2088"/>
            <w:shd w:val="clear" w:color="auto" w:fill="F4F5F7"/>
          </w:tcPr>
          <w:p>
            <w:pPr>
              <w:spacing w:after="20"/>
            </w:pPr>
            <w:r/>
            <w:r>
              <w:rPr>
                <w:b w:val="0"/>
                <w:color w:val="1F2328"/>
                <w:sz w:val="17"/>
              </w:rPr>
              <w:t>Nama pengguna email</w:t>
            </w:r>
          </w:p>
        </w:tc>
        <w:tc>
          <w:tcPr>
            <w:tcW w:type="dxa" w:w="1728"/>
            <w:shd w:val="clear" w:color="auto" w:fill="F4F5F7"/>
          </w:tcPr>
          <w:p>
            <w:pPr>
              <w:spacing w:after="20"/>
            </w:pPr>
            <w:r/>
            <w:r>
              <w:rPr>
                <w:b w:val="0"/>
                <w:color w:val="1F2328"/>
                <w:sz w:val="17"/>
              </w:rPr>
              <w:t>fenny</w:t>
            </w:r>
          </w:p>
        </w:tc>
        <w:tc>
          <w:tcPr>
            <w:tcW w:type="dxa" w:w="4464"/>
            <w:shd w:val="clear" w:color="auto" w:fill="F4F5F7"/>
          </w:tcPr>
          <w:p>
            <w:pPr>
              <w:spacing w:after="20"/>
            </w:pPr>
            <w:r/>
            <w:r>
              <w:rPr>
                <w:b w:val="0"/>
                <w:color w:val="1F2328"/>
                <w:sz w:val="17"/>
              </w:rPr>
              <w:t>Bagian sebelum tanda @.</w:t>
            </w:r>
          </w:p>
        </w:tc>
      </w:tr>
      <w:tr>
        <w:tc>
          <w:tcPr>
            <w:tcW w:type="dxa" w:w="1512"/>
          </w:tcPr>
          <w:p>
            <w:pPr>
              <w:spacing w:after="20"/>
            </w:pPr>
            <w:r/>
            <w:r>
              <w:rPr>
                <w:b/>
                <w:color w:val="C8622D"/>
                <w:sz w:val="17"/>
              </w:rPr>
              <w:t>TEXT2</w:t>
            </w:r>
          </w:p>
        </w:tc>
        <w:tc>
          <w:tcPr>
            <w:tcW w:type="dxa" w:w="2088"/>
          </w:tcPr>
          <w:p>
            <w:pPr>
              <w:spacing w:after="20"/>
            </w:pPr>
            <w:r/>
            <w:r>
              <w:rPr>
                <w:b w:val="0"/>
                <w:color w:val="1F2328"/>
                <w:sz w:val="17"/>
              </w:rPr>
              <w:t>Domain email</w:t>
            </w:r>
          </w:p>
        </w:tc>
        <w:tc>
          <w:tcPr>
            <w:tcW w:type="dxa" w:w="1728"/>
          </w:tcPr>
          <w:p>
            <w:pPr>
              <w:spacing w:after="20"/>
            </w:pPr>
            <w:r/>
            <w:r>
              <w:rPr>
                <w:b w:val="0"/>
                <w:color w:val="1F2328"/>
                <w:sz w:val="17"/>
              </w:rPr>
              <w:t>@trst.co.id</w:t>
            </w:r>
          </w:p>
        </w:tc>
        <w:tc>
          <w:tcPr>
            <w:tcW w:type="dxa" w:w="4464"/>
          </w:tcPr>
          <w:p>
            <w:pPr>
              <w:spacing w:after="20"/>
            </w:pPr>
            <w:r/>
            <w:r>
              <w:rPr>
                <w:b w:val="0"/>
                <w:color w:val="1F2328"/>
                <w:sz w:val="17"/>
              </w:rPr>
              <w:t>Digabung dengan TEXT1 menjadi alamat email lengkap.</w:t>
            </w:r>
          </w:p>
        </w:tc>
      </w:tr>
      <w:tr>
        <w:tc>
          <w:tcPr>
            <w:tcW w:type="dxa" w:w="1512"/>
            <w:shd w:val="clear" w:color="auto" w:fill="F4F5F7"/>
          </w:tcPr>
          <w:p>
            <w:pPr>
              <w:spacing w:after="20"/>
            </w:pPr>
            <w:r/>
            <w:r>
              <w:rPr>
                <w:b/>
                <w:color w:val="C8622D"/>
                <w:sz w:val="17"/>
              </w:rPr>
              <w:t>TEXT3</w:t>
            </w:r>
          </w:p>
        </w:tc>
        <w:tc>
          <w:tcPr>
            <w:tcW w:type="dxa" w:w="2088"/>
            <w:shd w:val="clear" w:color="auto" w:fill="F4F5F7"/>
          </w:tcPr>
          <w:p>
            <w:pPr>
              <w:spacing w:after="20"/>
            </w:pPr>
            <w:r/>
            <w:r>
              <w:rPr>
                <w:b w:val="0"/>
                <w:color w:val="1F2328"/>
                <w:sz w:val="17"/>
              </w:rPr>
              <w:t>Jenis kelamin</w:t>
            </w:r>
          </w:p>
        </w:tc>
        <w:tc>
          <w:tcPr>
            <w:tcW w:type="dxa" w:w="1728"/>
            <w:shd w:val="clear" w:color="auto" w:fill="F4F5F7"/>
          </w:tcPr>
          <w:p>
            <w:pPr>
              <w:spacing w:after="20"/>
            </w:pPr>
            <w:r/>
            <w:r>
              <w:rPr>
                <w:b w:val="0"/>
                <w:color w:val="1F2328"/>
                <w:sz w:val="17"/>
              </w:rPr>
              <w:t>M / F / kosong</w:t>
            </w:r>
          </w:p>
        </w:tc>
        <w:tc>
          <w:tcPr>
            <w:tcW w:type="dxa" w:w="4464"/>
            <w:shd w:val="clear" w:color="auto" w:fill="F4F5F7"/>
          </w:tcPr>
          <w:p>
            <w:pPr>
              <w:spacing w:after="20"/>
            </w:pPr>
            <w:r/>
            <w:r>
              <w:rPr>
                <w:b w:val="0"/>
                <w:color w:val="1F2328"/>
                <w:sz w:val="17"/>
              </w:rPr>
              <w:t>M menghasilkan sapaan Bapak, F menghasilkan Ibu, kosong hanya menyebut nama.</w:t>
            </w:r>
          </w:p>
        </w:tc>
      </w:tr>
    </w:tbl>
    <w:p>
      <w:pPr>
        <w:spacing w:after="100"/>
      </w:pPr>
      <w:r>
        <w:rPr>
          <w:b w:val="0"/>
          <w:i w:val="0"/>
          <w:color w:val="1F2328"/>
          <w:sz w:val="19"/>
        </w:rPr>
        <w:t>Satu grup dapat memiliki lebih dari satu approver. Caranya cukup menambahkan baris baru dengan OPT yang sama dan nama yang berbeda. Seluruh alamat pada grup tersebut akan menerima email yang sama.</w:t>
      </w:r>
    </w:p>
    <w:p>
      <w:r>
        <w:br w:type="page"/>
      </w:r>
    </w:p>
    <w:p>
      <w:pPr>
        <w:pStyle w:val="Heading2"/>
        <w:spacing w:before="180" w:after="100"/>
      </w:pPr>
      <w:r>
        <w:rPr>
          <w:b/>
          <w:color w:val="2F3A46"/>
          <w:sz w:val="23"/>
        </w:rPr>
        <w:t>4.3 EXC_RULE — Aturan Penandaan Kondisi Khusus</w:t>
      </w:r>
    </w:p>
    <w:p>
      <w:pPr>
        <w:spacing w:after="100"/>
      </w:pPr>
      <w:r>
        <w:rPr>
          <w:b w:val="0"/>
          <w:i w:val="0"/>
          <w:color w:val="1F2328"/>
          <w:sz w:val="19"/>
        </w:rPr>
        <w:t>Aturan penandaan bersifat dinamis. Apabila suatu baris dihapus atau ditandai Deletion, pemeriksaan tersebut otomatis berhenti dijalankan tanpa perlu mengubah program.</w:t>
      </w:r>
    </w:p>
    <w:tbl>
      <w:tblPr>
        <w:tblStyle w:val="TableGrid"/>
        <w:tblW w:type="auto" w:w="0"/>
        <w:jc w:val="left"/>
        <w:tblLook w:firstColumn="1" w:firstRow="1" w:lastColumn="0" w:lastRow="0" w:noHBand="0" w:noVBand="1" w:val="04A0"/>
        <w:tblLayout w:type="fixed"/>
      </w:tblPr>
      <w:tblGrid>
        <w:gridCol w:w="1944"/>
        <w:gridCol w:w="1656"/>
        <w:gridCol w:w="1368"/>
        <w:gridCol w:w="4824"/>
      </w:tblGrid>
      <w:tr>
        <w:tc>
          <w:tcPr>
            <w:tcW w:type="dxa" w:w="1944"/>
            <w:shd w:val="clear" w:color="auto" w:fill="2F3A46"/>
          </w:tcPr>
          <w:p>
            <w:pPr>
              <w:spacing w:after="20"/>
            </w:pPr>
            <w:r/>
            <w:r>
              <w:rPr>
                <w:b/>
                <w:color w:val="FFFFFF"/>
                <w:sz w:val="17"/>
              </w:rPr>
              <w:t>OPT</w:t>
            </w:r>
          </w:p>
        </w:tc>
        <w:tc>
          <w:tcPr>
            <w:tcW w:type="dxa" w:w="1656"/>
            <w:shd w:val="clear" w:color="auto" w:fill="2F3A46"/>
          </w:tcPr>
          <w:p>
            <w:pPr>
              <w:spacing w:after="20"/>
            </w:pPr>
            <w:r/>
            <w:r>
              <w:rPr>
                <w:b/>
                <w:color w:val="FFFFFF"/>
                <w:sz w:val="17"/>
              </w:rPr>
              <w:t>VALUE</w:t>
            </w:r>
          </w:p>
        </w:tc>
        <w:tc>
          <w:tcPr>
            <w:tcW w:type="dxa" w:w="1368"/>
            <w:shd w:val="clear" w:color="auto" w:fill="2F3A46"/>
          </w:tcPr>
          <w:p>
            <w:pPr>
              <w:spacing w:after="20"/>
            </w:pPr>
            <w:r/>
            <w:r>
              <w:rPr>
                <w:b/>
                <w:color w:val="FFFFFF"/>
                <w:sz w:val="17"/>
              </w:rPr>
              <w:t>TEXT1</w:t>
            </w:r>
          </w:p>
        </w:tc>
        <w:tc>
          <w:tcPr>
            <w:tcW w:type="dxa" w:w="4824"/>
            <w:shd w:val="clear" w:color="auto" w:fill="2F3A46"/>
          </w:tcPr>
          <w:p>
            <w:pPr>
              <w:spacing w:after="20"/>
            </w:pPr>
            <w:r/>
            <w:r>
              <w:rPr>
                <w:b/>
                <w:color w:val="FFFFFF"/>
                <w:sz w:val="17"/>
              </w:rPr>
              <w:t>Arti aturan</w:t>
            </w:r>
          </w:p>
        </w:tc>
      </w:tr>
      <w:tr>
        <w:tc>
          <w:tcPr>
            <w:tcW w:type="dxa" w:w="1944"/>
          </w:tcPr>
          <w:p>
            <w:pPr>
              <w:spacing w:after="20"/>
            </w:pPr>
            <w:r/>
            <w:r>
              <w:rPr>
                <w:b/>
                <w:color w:val="C8622D"/>
                <w:sz w:val="17"/>
              </w:rPr>
              <w:t>VENDOR_NEW</w:t>
            </w:r>
          </w:p>
        </w:tc>
        <w:tc>
          <w:tcPr>
            <w:tcW w:type="dxa" w:w="1656"/>
          </w:tcPr>
          <w:p>
            <w:pPr>
              <w:spacing w:after="20"/>
            </w:pPr>
            <w:r/>
            <w:r>
              <w:rPr>
                <w:b w:val="0"/>
                <w:color w:val="1F2328"/>
                <w:sz w:val="17"/>
              </w:rPr>
              <w:t>DAYS</w:t>
            </w:r>
          </w:p>
        </w:tc>
        <w:tc>
          <w:tcPr>
            <w:tcW w:type="dxa" w:w="1368"/>
          </w:tcPr>
          <w:p>
            <w:pPr>
              <w:spacing w:after="20"/>
            </w:pPr>
            <w:r/>
            <w:r>
              <w:rPr>
                <w:b w:val="0"/>
                <w:color w:val="1F2328"/>
                <w:sz w:val="17"/>
              </w:rPr>
              <w:t>90</w:t>
            </w:r>
          </w:p>
        </w:tc>
        <w:tc>
          <w:tcPr>
            <w:tcW w:type="dxa" w:w="4824"/>
          </w:tcPr>
          <w:p>
            <w:pPr>
              <w:spacing w:after="20"/>
            </w:pPr>
            <w:r/>
            <w:r>
              <w:rPr>
                <w:b w:val="0"/>
                <w:color w:val="1F2328"/>
                <w:sz w:val="17"/>
              </w:rPr>
              <w:t>Vendor dianggap baru bila tanggal pembuatan master kurang dari 90 hari.</w:t>
            </w:r>
          </w:p>
        </w:tc>
      </w:tr>
      <w:tr>
        <w:tc>
          <w:tcPr>
            <w:tcW w:type="dxa" w:w="1944"/>
            <w:shd w:val="clear" w:color="auto" w:fill="F4F5F7"/>
          </w:tcPr>
          <w:p>
            <w:pPr>
              <w:spacing w:after="20"/>
            </w:pPr>
            <w:r/>
            <w:r>
              <w:rPr>
                <w:b/>
                <w:color w:val="C8622D"/>
                <w:sz w:val="17"/>
              </w:rPr>
              <w:t>VENDOR_NEW</w:t>
            </w:r>
          </w:p>
        </w:tc>
        <w:tc>
          <w:tcPr>
            <w:tcW w:type="dxa" w:w="1656"/>
            <w:shd w:val="clear" w:color="auto" w:fill="F4F5F7"/>
          </w:tcPr>
          <w:p>
            <w:pPr>
              <w:spacing w:after="20"/>
            </w:pPr>
            <w:r/>
            <w:r>
              <w:rPr>
                <w:b w:val="0"/>
                <w:color w:val="1F2328"/>
                <w:sz w:val="17"/>
              </w:rPr>
              <w:t>NO_HISTORY</w:t>
            </w:r>
          </w:p>
        </w:tc>
        <w:tc>
          <w:tcPr>
            <w:tcW w:type="dxa" w:w="1368"/>
            <w:shd w:val="clear" w:color="auto" w:fill="F4F5F7"/>
          </w:tcPr>
          <w:p>
            <w:pPr>
              <w:spacing w:after="20"/>
            </w:pPr>
            <w:r/>
            <w:r>
              <w:rPr>
                <w:b w:val="0"/>
                <w:color w:val="1F2328"/>
                <w:sz w:val="17"/>
              </w:rPr>
              <w:t>X</w:t>
            </w:r>
          </w:p>
        </w:tc>
        <w:tc>
          <w:tcPr>
            <w:tcW w:type="dxa" w:w="4824"/>
            <w:shd w:val="clear" w:color="auto" w:fill="F4F5F7"/>
          </w:tcPr>
          <w:p>
            <w:pPr>
              <w:spacing w:after="20"/>
            </w:pPr>
            <w:r/>
            <w:r>
              <w:rPr>
                <w:b w:val="0"/>
                <w:color w:val="1F2328"/>
                <w:sz w:val="17"/>
              </w:rPr>
              <w:t>Vendor dianggap baru bila belum pernah memiliki PO yang sudah dirilis.</w:t>
            </w:r>
          </w:p>
        </w:tc>
      </w:tr>
      <w:tr>
        <w:tc>
          <w:tcPr>
            <w:tcW w:type="dxa" w:w="1944"/>
          </w:tcPr>
          <w:p>
            <w:pPr>
              <w:spacing w:after="20"/>
            </w:pPr>
            <w:r/>
            <w:r>
              <w:rPr>
                <w:b/>
                <w:color w:val="C8622D"/>
                <w:sz w:val="17"/>
              </w:rPr>
              <w:t>MATERIAL_NEW</w:t>
            </w:r>
          </w:p>
        </w:tc>
        <w:tc>
          <w:tcPr>
            <w:tcW w:type="dxa" w:w="1656"/>
          </w:tcPr>
          <w:p>
            <w:pPr>
              <w:spacing w:after="20"/>
            </w:pPr>
            <w:r/>
            <w:r>
              <w:rPr>
                <w:b w:val="0"/>
                <w:color w:val="1F2328"/>
                <w:sz w:val="17"/>
              </w:rPr>
              <w:t>DAYS</w:t>
            </w:r>
          </w:p>
        </w:tc>
        <w:tc>
          <w:tcPr>
            <w:tcW w:type="dxa" w:w="1368"/>
          </w:tcPr>
          <w:p>
            <w:pPr>
              <w:spacing w:after="20"/>
            </w:pPr>
            <w:r/>
            <w:r>
              <w:rPr>
                <w:b w:val="0"/>
                <w:color w:val="1F2328"/>
                <w:sz w:val="17"/>
              </w:rPr>
              <w:t>90</w:t>
            </w:r>
          </w:p>
        </w:tc>
        <w:tc>
          <w:tcPr>
            <w:tcW w:type="dxa" w:w="4824"/>
          </w:tcPr>
          <w:p>
            <w:pPr>
              <w:spacing w:after="20"/>
            </w:pPr>
            <w:r/>
            <w:r>
              <w:rPr>
                <w:b w:val="0"/>
                <w:color w:val="1F2328"/>
                <w:sz w:val="17"/>
              </w:rPr>
              <w:t>Material dianggap baru bila tanggal pembuatan master kurang dari 90 hari.</w:t>
            </w:r>
          </w:p>
        </w:tc>
      </w:tr>
      <w:tr>
        <w:tc>
          <w:tcPr>
            <w:tcW w:type="dxa" w:w="1944"/>
            <w:shd w:val="clear" w:color="auto" w:fill="F4F5F7"/>
          </w:tcPr>
          <w:p>
            <w:pPr>
              <w:spacing w:after="20"/>
            </w:pPr>
            <w:r/>
            <w:r>
              <w:rPr>
                <w:b/>
                <w:color w:val="C8622D"/>
                <w:sz w:val="17"/>
              </w:rPr>
              <w:t>MATERIAL_NEW</w:t>
            </w:r>
          </w:p>
        </w:tc>
        <w:tc>
          <w:tcPr>
            <w:tcW w:type="dxa" w:w="1656"/>
            <w:shd w:val="clear" w:color="auto" w:fill="F4F5F7"/>
          </w:tcPr>
          <w:p>
            <w:pPr>
              <w:spacing w:after="20"/>
            </w:pPr>
            <w:r/>
            <w:r>
              <w:rPr>
                <w:b w:val="0"/>
                <w:color w:val="1F2328"/>
                <w:sz w:val="17"/>
              </w:rPr>
              <w:t>NO_HISTORY</w:t>
            </w:r>
          </w:p>
        </w:tc>
        <w:tc>
          <w:tcPr>
            <w:tcW w:type="dxa" w:w="1368"/>
            <w:shd w:val="clear" w:color="auto" w:fill="F4F5F7"/>
          </w:tcPr>
          <w:p>
            <w:pPr>
              <w:spacing w:after="20"/>
            </w:pPr>
            <w:r/>
            <w:r>
              <w:rPr>
                <w:b w:val="0"/>
                <w:color w:val="1F2328"/>
                <w:sz w:val="17"/>
              </w:rPr>
              <w:t>X</w:t>
            </w:r>
          </w:p>
        </w:tc>
        <w:tc>
          <w:tcPr>
            <w:tcW w:type="dxa" w:w="4824"/>
            <w:shd w:val="clear" w:color="auto" w:fill="F4F5F7"/>
          </w:tcPr>
          <w:p>
            <w:pPr>
              <w:spacing w:after="20"/>
            </w:pPr>
            <w:r/>
            <w:r>
              <w:rPr>
                <w:b w:val="0"/>
                <w:color w:val="1F2328"/>
                <w:sz w:val="17"/>
              </w:rPr>
              <w:t>Material dianggap baru bila belum pernah dibeli (tidak ada riwayat harga).</w:t>
            </w:r>
          </w:p>
        </w:tc>
      </w:tr>
      <w:tr>
        <w:tc>
          <w:tcPr>
            <w:tcW w:type="dxa" w:w="1944"/>
          </w:tcPr>
          <w:p>
            <w:pPr>
              <w:spacing w:after="20"/>
            </w:pPr>
            <w:r/>
            <w:r>
              <w:rPr>
                <w:b/>
                <w:color w:val="C8622D"/>
                <w:sz w:val="17"/>
              </w:rPr>
              <w:t>PRICE_INCREASE</w:t>
            </w:r>
          </w:p>
        </w:tc>
        <w:tc>
          <w:tcPr>
            <w:tcW w:type="dxa" w:w="1656"/>
          </w:tcPr>
          <w:p>
            <w:pPr>
              <w:spacing w:after="20"/>
            </w:pPr>
            <w:r/>
            <w:r>
              <w:rPr>
                <w:b w:val="0"/>
                <w:color w:val="1F2328"/>
                <w:sz w:val="17"/>
              </w:rPr>
              <w:t>PERCENT</w:t>
            </w:r>
          </w:p>
        </w:tc>
        <w:tc>
          <w:tcPr>
            <w:tcW w:type="dxa" w:w="1368"/>
          </w:tcPr>
          <w:p>
            <w:pPr>
              <w:spacing w:after="20"/>
            </w:pPr>
            <w:r/>
            <w:r>
              <w:rPr>
                <w:b w:val="0"/>
                <w:color w:val="1F2328"/>
                <w:sz w:val="17"/>
              </w:rPr>
              <w:t>10</w:t>
            </w:r>
          </w:p>
        </w:tc>
        <w:tc>
          <w:tcPr>
            <w:tcW w:type="dxa" w:w="4824"/>
          </w:tcPr>
          <w:p>
            <w:pPr>
              <w:spacing w:after="20"/>
            </w:pPr>
            <w:r/>
            <w:r>
              <w:rPr>
                <w:b w:val="0"/>
                <w:color w:val="1F2328"/>
                <w:sz w:val="17"/>
              </w:rPr>
              <w:t>Batas kenaikan harga. Ditandai bila harga naik lebih dari 10% dibanding harga terakhir.</w:t>
            </w:r>
          </w:p>
        </w:tc>
      </w:tr>
      <w:tr>
        <w:tc>
          <w:tcPr>
            <w:tcW w:type="dxa" w:w="1944"/>
            <w:shd w:val="clear" w:color="auto" w:fill="F4F5F7"/>
          </w:tcPr>
          <w:p>
            <w:pPr>
              <w:spacing w:after="20"/>
            </w:pPr>
            <w:r/>
            <w:r>
              <w:rPr>
                <w:b/>
                <w:color w:val="C8622D"/>
                <w:sz w:val="17"/>
              </w:rPr>
              <w:t>PRICE_HISTORY</w:t>
            </w:r>
          </w:p>
        </w:tc>
        <w:tc>
          <w:tcPr>
            <w:tcW w:type="dxa" w:w="1656"/>
            <w:shd w:val="clear" w:color="auto" w:fill="F4F5F7"/>
          </w:tcPr>
          <w:p>
            <w:pPr>
              <w:spacing w:after="20"/>
            </w:pPr>
            <w:r/>
            <w:r>
              <w:rPr>
                <w:b w:val="0"/>
                <w:color w:val="1F2328"/>
                <w:sz w:val="17"/>
              </w:rPr>
              <w:t>STALE_DAYS</w:t>
            </w:r>
          </w:p>
        </w:tc>
        <w:tc>
          <w:tcPr>
            <w:tcW w:type="dxa" w:w="1368"/>
            <w:shd w:val="clear" w:color="auto" w:fill="F4F5F7"/>
          </w:tcPr>
          <w:p>
            <w:pPr>
              <w:spacing w:after="20"/>
            </w:pPr>
            <w:r/>
            <w:r>
              <w:rPr>
                <w:b w:val="0"/>
                <w:color w:val="1F2328"/>
                <w:sz w:val="17"/>
              </w:rPr>
              <w:t>730</w:t>
            </w:r>
          </w:p>
        </w:tc>
        <w:tc>
          <w:tcPr>
            <w:tcW w:type="dxa" w:w="4824"/>
            <w:shd w:val="clear" w:color="auto" w:fill="F4F5F7"/>
          </w:tcPr>
          <w:p>
            <w:pPr>
              <w:spacing w:after="20"/>
            </w:pPr>
            <w:r/>
            <w:r>
              <w:rPr>
                <w:b w:val="0"/>
                <w:color w:val="1F2328"/>
                <w:sz w:val="17"/>
              </w:rPr>
              <w:t>Riwayat harga dianggap usang bila pembelian terakhir lebih lama dari 730 hari (24 bulan).</w:t>
            </w:r>
          </w:p>
        </w:tc>
      </w:tr>
      <w:tr>
        <w:tc>
          <w:tcPr>
            <w:tcW w:type="dxa" w:w="1944"/>
          </w:tcPr>
          <w:p>
            <w:pPr>
              <w:spacing w:after="20"/>
            </w:pPr>
            <w:r/>
            <w:r>
              <w:rPr>
                <w:b/>
                <w:color w:val="C8622D"/>
                <w:sz w:val="17"/>
              </w:rPr>
              <w:t>PSTYP</w:t>
            </w:r>
          </w:p>
        </w:tc>
        <w:tc>
          <w:tcPr>
            <w:tcW w:type="dxa" w:w="1656"/>
          </w:tcPr>
          <w:p>
            <w:pPr>
              <w:spacing w:after="20"/>
            </w:pPr>
            <w:r/>
            <w:r>
              <w:rPr>
                <w:b w:val="0"/>
                <w:color w:val="1F2328"/>
                <w:sz w:val="17"/>
              </w:rPr>
              <w:t>9</w:t>
            </w:r>
          </w:p>
        </w:tc>
        <w:tc>
          <w:tcPr>
            <w:tcW w:type="dxa" w:w="1368"/>
          </w:tcPr>
          <w:p>
            <w:pPr>
              <w:spacing w:after="20"/>
            </w:pPr>
            <w:r/>
            <w:r>
              <w:rPr>
                <w:b w:val="0"/>
                <w:color w:val="1F2328"/>
                <w:sz w:val="17"/>
              </w:rPr>
              <w:t>SvcCapex</w:t>
            </w:r>
          </w:p>
        </w:tc>
        <w:tc>
          <w:tcPr>
            <w:tcW w:type="dxa" w:w="4824"/>
          </w:tcPr>
          <w:p>
            <w:pPr>
              <w:spacing w:after="20"/>
            </w:pPr>
            <w:r/>
            <w:r>
              <w:rPr>
                <w:b w:val="0"/>
                <w:color w:val="1F2328"/>
                <w:sz w:val="17"/>
              </w:rPr>
              <w:t>Item dengan kategori PSTYP = 9 (Service) ditandai dengan flag SvcCapex.</w:t>
            </w:r>
          </w:p>
        </w:tc>
      </w:tr>
      <w:tr>
        <w:tc>
          <w:tcPr>
            <w:tcW w:type="dxa" w:w="1944"/>
            <w:shd w:val="clear" w:color="auto" w:fill="F4F5F7"/>
          </w:tcPr>
          <w:p>
            <w:pPr>
              <w:spacing w:after="20"/>
            </w:pPr>
            <w:r/>
            <w:r>
              <w:rPr>
                <w:b/>
                <w:color w:val="C8622D"/>
                <w:sz w:val="17"/>
              </w:rPr>
              <w:t>KNTTP</w:t>
            </w:r>
          </w:p>
        </w:tc>
        <w:tc>
          <w:tcPr>
            <w:tcW w:type="dxa" w:w="1656"/>
            <w:shd w:val="clear" w:color="auto" w:fill="F4F5F7"/>
          </w:tcPr>
          <w:p>
            <w:pPr>
              <w:spacing w:after="20"/>
            </w:pPr>
            <w:r/>
            <w:r>
              <w:rPr>
                <w:b w:val="0"/>
                <w:color w:val="1F2328"/>
                <w:sz w:val="17"/>
              </w:rPr>
              <w:t>A</w:t>
            </w:r>
          </w:p>
        </w:tc>
        <w:tc>
          <w:tcPr>
            <w:tcW w:type="dxa" w:w="1368"/>
            <w:shd w:val="clear" w:color="auto" w:fill="F4F5F7"/>
          </w:tcPr>
          <w:p>
            <w:pPr>
              <w:spacing w:after="20"/>
            </w:pPr>
            <w:r/>
            <w:r>
              <w:rPr>
                <w:b w:val="0"/>
                <w:color w:val="1F2328"/>
                <w:sz w:val="17"/>
              </w:rPr>
              <w:t>SvcCapex</w:t>
            </w:r>
          </w:p>
        </w:tc>
        <w:tc>
          <w:tcPr>
            <w:tcW w:type="dxa" w:w="4824"/>
            <w:shd w:val="clear" w:color="auto" w:fill="F4F5F7"/>
          </w:tcPr>
          <w:p>
            <w:pPr>
              <w:spacing w:after="20"/>
            </w:pPr>
            <w:r/>
            <w:r>
              <w:rPr>
                <w:b w:val="0"/>
                <w:color w:val="1F2328"/>
                <w:sz w:val="17"/>
              </w:rPr>
              <w:t>Item dengan account assignment KNTTP = A (Asset/Capex) ditandai dengan flag SvcCapex.</w:t>
            </w:r>
          </w:p>
        </w:tc>
      </w:tr>
    </w:tbl>
    <w:p>
      <w:pPr>
        <w:pStyle w:val="Heading1"/>
        <w:spacing w:before="240" w:after="100"/>
      </w:pPr>
      <w:r>
        <w:rPr>
          <w:b/>
          <w:color w:val="2F3A46"/>
          <w:sz w:val="28"/>
        </w:rPr>
        <w:t>5. Alur Eksekusi Program</w:t>
      </w:r>
    </w:p>
    <w:p>
      <w:pPr>
        <w:spacing w:after="40"/>
        <w:jc w:val="center"/>
      </w:pPr>
      <w:r>
        <w:drawing>
          <wp:inline xmlns:a="http://schemas.openxmlformats.org/drawingml/2006/main" xmlns:pic="http://schemas.openxmlformats.org/drawingml/2006/picture">
            <wp:extent cx="5989320" cy="2883747"/>
            <wp:docPr id="1" name="Picture 1"/>
            <wp:cNvGraphicFramePr>
              <a:graphicFrameLocks noChangeAspect="1"/>
            </wp:cNvGraphicFramePr>
            <a:graphic>
              <a:graphicData uri="http://schemas.openxmlformats.org/drawingml/2006/picture">
                <pic:pic>
                  <pic:nvPicPr>
                    <pic:cNvPr id="0" name="fs_diagram_alur.png"/>
                    <pic:cNvPicPr/>
                  </pic:nvPicPr>
                  <pic:blipFill>
                    <a:blip r:embed="rId9"/>
                    <a:stretch>
                      <a:fillRect/>
                    </a:stretch>
                  </pic:blipFill>
                  <pic:spPr>
                    <a:xfrm>
                      <a:off x="0" y="0"/>
                      <a:ext cx="5989320" cy="2883747"/>
                    </a:xfrm>
                    <a:prstGeom prst="rect"/>
                  </pic:spPr>
                </pic:pic>
              </a:graphicData>
            </a:graphic>
          </wp:inline>
        </w:drawing>
      </w:r>
    </w:p>
    <w:p>
      <w:pPr>
        <w:spacing w:after="160"/>
        <w:jc w:val="center"/>
      </w:pPr>
      <w:r>
        <w:rPr>
          <w:i/>
          <w:color w:val="6B7280"/>
          <w:sz w:val="16"/>
        </w:rPr>
        <w:t>Gambar 1 — Alur eksekusi program dari pembacaan konfigurasi sampai pengiriman email</w:t>
      </w:r>
    </w:p>
    <w:p>
      <w:pPr>
        <w:pStyle w:val="Heading2"/>
        <w:spacing w:before="180" w:after="100"/>
      </w:pPr>
      <w:r>
        <w:rPr>
          <w:b/>
          <w:color w:val="2F3A46"/>
          <w:sz w:val="23"/>
        </w:rPr>
        <w:t>Ketentuan penentuan approver</w:t>
      </w:r>
    </w:p>
    <w:p>
      <w:pPr>
        <w:pStyle w:val="ListBullet"/>
        <w:spacing w:after="40"/>
      </w:pPr>
      <w:r>
        <w:rPr>
          <w:sz w:val="19"/>
        </w:rPr>
        <w:t>PO Tier T2 diarahkan ke baris mapping GM_FIXED.</w:t>
      </w:r>
    </w:p>
    <w:p>
      <w:pPr>
        <w:pStyle w:val="ListBullet"/>
        <w:spacing w:after="40"/>
      </w:pPr>
      <w:r>
        <w:rPr>
          <w:sz w:val="19"/>
        </w:rPr>
        <w:t>PO Tier T1 diarahkan ke baris mapping yang sesuai dengan Purchasing Group PO tersebut.</w:t>
      </w:r>
    </w:p>
    <w:p>
      <w:pPr>
        <w:pStyle w:val="ListBullet"/>
        <w:spacing w:after="40"/>
      </w:pPr>
      <w:r>
        <w:rPr>
          <w:sz w:val="19"/>
        </w:rPr>
        <w:t>Apabila Purchasing Group tidak ditemukan pada mapping, digunakan baris DEFAULT sebagai cadangan.</w:t>
      </w:r>
    </w:p>
    <w:p>
      <w:pPr>
        <w:pStyle w:val="ListBullet"/>
        <w:spacing w:after="40"/>
      </w:pPr>
      <w:r>
        <w:rPr>
          <w:sz w:val="19"/>
        </w:rPr>
        <w:t>Apabila baris DEFAULT juga tidak ada, PO tetap muncul pada layar hasil dengan status kesalahan dan tidak dikirimkan email.</w:t>
      </w:r>
    </w:p>
    <w:p>
      <w:pPr>
        <w:pStyle w:val="Heading2"/>
        <w:spacing w:before="180" w:after="100"/>
      </w:pPr>
      <w:r>
        <w:rPr>
          <w:b/>
          <w:color w:val="2F3A46"/>
          <w:sz w:val="23"/>
        </w:rPr>
        <w:t>Ketentuan penandaan kondisi khusus (exception)</w:t>
      </w:r>
    </w:p>
    <w:p>
      <w:pPr>
        <w:spacing w:after="100"/>
      </w:pPr>
      <w:r>
        <w:rPr>
          <w:b w:val="0"/>
          <w:i w:val="0"/>
          <w:color w:val="1F2328"/>
          <w:sz w:val="19"/>
        </w:rPr>
        <w:t>Penandaan hanya dihitung untuk PO Tier T1 dan T2. Satu PO dapat memiliki lebih dari satu penandaan; seluruh alasan ditampilkan pada email dan lampiran.</w:t>
      </w:r>
    </w:p>
    <w:tbl>
      <w:tblPr>
        <w:tblStyle w:val="TableGrid"/>
        <w:tblW w:type="auto" w:w="0"/>
        <w:jc w:val="left"/>
        <w:tblLook w:firstColumn="1" w:firstRow="1" w:lastColumn="0" w:lastRow="0" w:noHBand="0" w:noVBand="1" w:val="04A0"/>
        <w:tblLayout w:type="fixed"/>
      </w:tblPr>
      <w:tblGrid>
        <w:gridCol w:w="1872"/>
        <w:gridCol w:w="3384"/>
        <w:gridCol w:w="4536"/>
      </w:tblGrid>
      <w:tr>
        <w:tc>
          <w:tcPr>
            <w:tcW w:type="dxa" w:w="1872"/>
            <w:shd w:val="clear" w:color="auto" w:fill="2F3A46"/>
          </w:tcPr>
          <w:p>
            <w:pPr>
              <w:spacing w:after="20"/>
            </w:pPr>
            <w:r/>
            <w:r>
              <w:rPr>
                <w:b/>
                <w:color w:val="FFFFFF"/>
                <w:sz w:val="17"/>
              </w:rPr>
              <w:t>Flag</w:t>
            </w:r>
          </w:p>
        </w:tc>
        <w:tc>
          <w:tcPr>
            <w:tcW w:type="dxa" w:w="3384"/>
            <w:shd w:val="clear" w:color="auto" w:fill="2F3A46"/>
          </w:tcPr>
          <w:p>
            <w:pPr>
              <w:spacing w:after="20"/>
            </w:pPr>
            <w:r/>
            <w:r>
              <w:rPr>
                <w:b/>
                <w:color w:val="FFFFFF"/>
                <w:sz w:val="17"/>
              </w:rPr>
              <w:t>Kondisi ditandai</w:t>
            </w:r>
          </w:p>
        </w:tc>
        <w:tc>
          <w:tcPr>
            <w:tcW w:type="dxa" w:w="4536"/>
            <w:shd w:val="clear" w:color="auto" w:fill="2F3A46"/>
          </w:tcPr>
          <w:p>
            <w:pPr>
              <w:spacing w:after="20"/>
            </w:pPr>
            <w:r/>
            <w:r>
              <w:rPr>
                <w:b/>
                <w:color w:val="FFFFFF"/>
                <w:sz w:val="17"/>
              </w:rPr>
              <w:t>Catatan penting</w:t>
            </w:r>
          </w:p>
        </w:tc>
      </w:tr>
      <w:tr>
        <w:tc>
          <w:tcPr>
            <w:tcW w:type="dxa" w:w="1872"/>
          </w:tcPr>
          <w:p>
            <w:pPr>
              <w:spacing w:after="20"/>
            </w:pPr>
            <w:r/>
            <w:r>
              <w:rPr>
                <w:b/>
                <w:color w:val="C8622D"/>
                <w:sz w:val="17"/>
              </w:rPr>
              <w:t>Vendor Baru</w:t>
            </w:r>
          </w:p>
        </w:tc>
        <w:tc>
          <w:tcPr>
            <w:tcW w:type="dxa" w:w="3384"/>
          </w:tcPr>
          <w:p>
            <w:pPr>
              <w:spacing w:after="20"/>
            </w:pPr>
            <w:r/>
            <w:r>
              <w:rPr>
                <w:b w:val="0"/>
                <w:color w:val="1F2328"/>
                <w:sz w:val="17"/>
              </w:rPr>
              <w:t>Umur master vendor kurang dari batas DAYS, ATAU vendor belum pernah punya PO yang dirilis.</w:t>
            </w:r>
          </w:p>
        </w:tc>
        <w:tc>
          <w:tcPr>
            <w:tcW w:type="dxa" w:w="4536"/>
          </w:tcPr>
          <w:p>
            <w:pPr>
              <w:spacing w:after="20"/>
            </w:pPr>
            <w:r/>
            <w:r>
              <w:rPr>
                <w:b w:val="0"/>
                <w:color w:val="1F2328"/>
                <w:sz w:val="17"/>
              </w:rPr>
              <w:t>Dua aturan berdiri sendiri. Bila salah satu baris mapping dihapus, pengecekan itu saja yang berhenti.</w:t>
            </w:r>
          </w:p>
        </w:tc>
      </w:tr>
      <w:tr>
        <w:tc>
          <w:tcPr>
            <w:tcW w:type="dxa" w:w="1872"/>
            <w:shd w:val="clear" w:color="auto" w:fill="F4F5F7"/>
          </w:tcPr>
          <w:p>
            <w:pPr>
              <w:spacing w:after="20"/>
            </w:pPr>
            <w:r/>
            <w:r>
              <w:rPr>
                <w:b/>
                <w:color w:val="C8622D"/>
                <w:sz w:val="17"/>
              </w:rPr>
              <w:t>Material Baru</w:t>
            </w:r>
          </w:p>
        </w:tc>
        <w:tc>
          <w:tcPr>
            <w:tcW w:type="dxa" w:w="3384"/>
            <w:shd w:val="clear" w:color="auto" w:fill="F4F5F7"/>
          </w:tcPr>
          <w:p>
            <w:pPr>
              <w:spacing w:after="20"/>
            </w:pPr>
            <w:r/>
            <w:r>
              <w:rPr>
                <w:b w:val="0"/>
                <w:color w:val="1F2328"/>
                <w:sz w:val="17"/>
              </w:rPr>
              <w:t>Umur master material kurang dari batas DAYS, ATAU material belum pernah dibeli.</w:t>
            </w:r>
          </w:p>
        </w:tc>
        <w:tc>
          <w:tcPr>
            <w:tcW w:type="dxa" w:w="4536"/>
            <w:shd w:val="clear" w:color="auto" w:fill="F4F5F7"/>
          </w:tcPr>
          <w:p>
            <w:pPr>
              <w:spacing w:after="20"/>
            </w:pPr>
            <w:r/>
            <w:r>
              <w:rPr>
                <w:b w:val="0"/>
                <w:color w:val="1F2328"/>
                <w:sz w:val="17"/>
              </w:rPr>
              <w:t>Diperiksa per baris item PO yang memiliki nomor material.</w:t>
            </w:r>
          </w:p>
        </w:tc>
      </w:tr>
      <w:tr>
        <w:tc>
          <w:tcPr>
            <w:tcW w:type="dxa" w:w="1872"/>
          </w:tcPr>
          <w:p>
            <w:pPr>
              <w:spacing w:after="20"/>
            </w:pPr>
            <w:r/>
            <w:r>
              <w:rPr>
                <w:b/>
                <w:color w:val="C8622D"/>
                <w:sz w:val="17"/>
              </w:rPr>
              <w:t>Harga Naik (Material)</w:t>
            </w:r>
          </w:p>
        </w:tc>
        <w:tc>
          <w:tcPr>
            <w:tcW w:type="dxa" w:w="3384"/>
          </w:tcPr>
          <w:p>
            <w:pPr>
              <w:spacing w:after="20"/>
            </w:pPr>
            <w:r/>
            <w:r>
              <w:rPr>
                <w:b w:val="0"/>
                <w:color w:val="1F2328"/>
                <w:sz w:val="17"/>
              </w:rPr>
              <w:t>Harga SATUAN sekarang lebih tinggi dari batas persen dibanding harga terakhir material tersebut, dari vendor manapun.</w:t>
            </w:r>
          </w:p>
        </w:tc>
        <w:tc>
          <w:tcPr>
            <w:tcW w:type="dxa" w:w="4536"/>
          </w:tcPr>
          <w:p>
            <w:pPr>
              <w:spacing w:after="20"/>
            </w:pPr>
            <w:r/>
            <w:r>
              <w:rPr>
                <w:b w:val="0"/>
                <w:color w:val="1F2328"/>
                <w:sz w:val="17"/>
              </w:rPr>
              <w:t>Perbandingan di level line item, bukan level PO. Harga dinormalisasi ke satu satuan (NETPR dibagi PEINH) lalu dikonversi ke USD.</w:t>
            </w:r>
          </w:p>
        </w:tc>
      </w:tr>
      <w:tr>
        <w:tc>
          <w:tcPr>
            <w:tcW w:type="dxa" w:w="1872"/>
            <w:shd w:val="clear" w:color="auto" w:fill="F4F5F7"/>
          </w:tcPr>
          <w:p>
            <w:pPr>
              <w:spacing w:after="20"/>
            </w:pPr>
            <w:r/>
            <w:r>
              <w:rPr>
                <w:b/>
                <w:color w:val="C8622D"/>
                <w:sz w:val="17"/>
              </w:rPr>
              <w:t>Harga Naik (Vendor)</w:t>
            </w:r>
          </w:p>
        </w:tc>
        <w:tc>
          <w:tcPr>
            <w:tcW w:type="dxa" w:w="3384"/>
            <w:shd w:val="clear" w:color="auto" w:fill="F4F5F7"/>
          </w:tcPr>
          <w:p>
            <w:pPr>
              <w:spacing w:after="20"/>
            </w:pPr>
            <w:r/>
            <w:r>
              <w:rPr>
                <w:b w:val="0"/>
                <w:color w:val="1F2328"/>
                <w:sz w:val="17"/>
              </w:rPr>
              <w:t>Harga SATUAN sekarang lebih tinggi dari batas persen dibanding harga terakhir dari vendor yang sama untuk material tersebut.</w:t>
            </w:r>
          </w:p>
        </w:tc>
        <w:tc>
          <w:tcPr>
            <w:tcW w:type="dxa" w:w="4536"/>
            <w:shd w:val="clear" w:color="auto" w:fill="F4F5F7"/>
          </w:tcPr>
          <w:p>
            <w:pPr>
              <w:spacing w:after="20"/>
            </w:pPr>
            <w:r/>
            <w:r>
              <w:rPr>
                <w:b w:val="0"/>
                <w:color w:val="1F2328"/>
                <w:sz w:val="17"/>
              </w:rPr>
              <w:t>Diperiksa terpisah dari sumbu material, sehingga keduanya dapat muncul bersamaan.</w:t>
            </w:r>
          </w:p>
        </w:tc>
      </w:tr>
      <w:tr>
        <w:tc>
          <w:tcPr>
            <w:tcW w:type="dxa" w:w="1872"/>
          </w:tcPr>
          <w:p>
            <w:pPr>
              <w:spacing w:after="20"/>
            </w:pPr>
            <w:r/>
            <w:r>
              <w:rPr>
                <w:b/>
                <w:color w:val="C8622D"/>
                <w:sz w:val="17"/>
              </w:rPr>
              <w:t>Histori Usang</w:t>
            </w:r>
          </w:p>
        </w:tc>
        <w:tc>
          <w:tcPr>
            <w:tcW w:type="dxa" w:w="3384"/>
          </w:tcPr>
          <w:p>
            <w:pPr>
              <w:spacing w:after="20"/>
            </w:pPr>
            <w:r/>
            <w:r>
              <w:rPr>
                <w:b w:val="0"/>
                <w:color w:val="1F2328"/>
                <w:sz w:val="17"/>
              </w:rPr>
              <w:t>Pembelian terakhir material tersebut lebih lama dari batas STALE_DAYS.</w:t>
            </w:r>
          </w:p>
        </w:tc>
        <w:tc>
          <w:tcPr>
            <w:tcW w:type="dxa" w:w="4536"/>
          </w:tcPr>
          <w:p>
            <w:pPr>
              <w:spacing w:after="20"/>
            </w:pPr>
            <w:r/>
            <w:r>
              <w:rPr>
                <w:b w:val="0"/>
                <w:color w:val="1F2328"/>
                <w:sz w:val="17"/>
              </w:rPr>
              <w:t>Bila kondisi ini terpenuhi, perbandingan kenaikan harga dilewati karena acuannya dianggap tidak lagi relevan.</w:t>
            </w:r>
          </w:p>
        </w:tc>
      </w:tr>
      <w:tr>
        <w:tc>
          <w:tcPr>
            <w:tcW w:type="dxa" w:w="1872"/>
            <w:shd w:val="clear" w:color="auto" w:fill="F4F5F7"/>
          </w:tcPr>
          <w:p>
            <w:pPr>
              <w:spacing w:after="20"/>
            </w:pPr>
            <w:r/>
            <w:r>
              <w:rPr>
                <w:b/>
                <w:color w:val="C8622D"/>
                <w:sz w:val="17"/>
              </w:rPr>
              <w:t>Jasa/Capex</w:t>
            </w:r>
          </w:p>
        </w:tc>
        <w:tc>
          <w:tcPr>
            <w:tcW w:type="dxa" w:w="3384"/>
            <w:shd w:val="clear" w:color="auto" w:fill="F4F5F7"/>
          </w:tcPr>
          <w:p>
            <w:pPr>
              <w:spacing w:after="20"/>
            </w:pPr>
            <w:r/>
            <w:r>
              <w:rPr>
                <w:b w:val="0"/>
                <w:color w:val="1F2328"/>
                <w:sz w:val="17"/>
              </w:rPr>
              <w:t>Item PO memiliki kategori PSTYP atau account assignment KNTTP yang terdaftar pada mapping.</w:t>
            </w:r>
          </w:p>
        </w:tc>
        <w:tc>
          <w:tcPr>
            <w:tcW w:type="dxa" w:w="4536"/>
            <w:shd w:val="clear" w:color="auto" w:fill="F4F5F7"/>
          </w:tcPr>
          <w:p>
            <w:pPr>
              <w:spacing w:after="20"/>
            </w:pPr>
            <w:r/>
            <w:r>
              <w:rPr>
                <w:b w:val="0"/>
                <w:color w:val="1F2328"/>
                <w:sz w:val="17"/>
              </w:rPr>
              <w:t>Daftar kategori dapat ditambah sewaktu-waktu dengan menambah baris pada mapping.</w:t>
            </w:r>
          </w:p>
        </w:tc>
      </w:tr>
    </w:tbl>
    <w:p>
      <w:pPr>
        <w:spacing w:after="100"/>
      </w:pPr>
      <w:r>
        <w:rPr>
          <w:b/>
          <w:i w:val="0"/>
          <w:color w:val="1F2328"/>
          <w:sz w:val="19"/>
        </w:rPr>
        <w:t>Catatan khusus perbandingan harga:</w:t>
      </w:r>
    </w:p>
    <w:p>
      <w:pPr>
        <w:pStyle w:val="ListBullet"/>
        <w:spacing w:after="40"/>
      </w:pPr>
      <w:r>
        <w:rPr>
          <w:sz w:val="19"/>
        </w:rPr>
        <w:t>Perbandingan dilewati bila satuan harga (BPRME) berbeda antara PO sekarang dan PO acuan, misalnya sebelumnya per KG sekarang per TON. Program memilih tidak membandingkan daripada menghasilkan angka yang menyesatkan.</w:t>
      </w:r>
    </w:p>
    <w:p>
      <w:pPr>
        <w:pStyle w:val="ListBullet"/>
        <w:spacing w:after="40"/>
      </w:pPr>
      <w:r>
        <w:rPr>
          <w:sz w:val="19"/>
        </w:rPr>
        <w:t>Perbandingan juga dilewati bila riwayat harga sudah melewati batas STALE_DAYS. PO tersebut ditandai Histori Usang, bukan Harga Naik.</w:t>
      </w:r>
    </w:p>
    <w:p>
      <w:pPr>
        <w:pStyle w:val="Heading1"/>
        <w:spacing w:before="240" w:after="100"/>
      </w:pPr>
      <w:r>
        <w:rPr>
          <w:b/>
          <w:color w:val="2F3A46"/>
          <w:sz w:val="28"/>
        </w:rPr>
        <w:t>6. Contoh Hasil Email</w:t>
      </w:r>
    </w:p>
    <w:p>
      <w:pPr>
        <w:spacing w:after="100"/>
      </w:pPr>
      <w:r>
        <w:rPr>
          <w:b w:val="0"/>
          <w:i w:val="0"/>
          <w:color w:val="1F2328"/>
          <w:sz w:val="19"/>
        </w:rPr>
        <w:t>Satu email dikirim untuk setiap grup approver, berisi hanya PO yang menjadi tanggung jawab grup tersebut. Baris yang memerlukan perhatian diberi penanda dan latar berbeda. Setiap email disertai lampiran Excel berisi rincian yang sama.</w:t>
      </w:r>
    </w:p>
    <w:p>
      <w:pPr>
        <w:spacing w:after="40"/>
        <w:jc w:val="center"/>
      </w:pPr>
      <w:r>
        <w:drawing>
          <wp:inline xmlns:a="http://schemas.openxmlformats.org/drawingml/2006/main" xmlns:pic="http://schemas.openxmlformats.org/drawingml/2006/picture">
            <wp:extent cx="5806440" cy="2729027"/>
            <wp:docPr id="2" name="Picture 2"/>
            <wp:cNvGraphicFramePr>
              <a:graphicFrameLocks noChangeAspect="1"/>
            </wp:cNvGraphicFramePr>
            <a:graphic>
              <a:graphicData uri="http://schemas.openxmlformats.org/drawingml/2006/picture">
                <pic:pic>
                  <pic:nvPicPr>
                    <pic:cNvPr id="0" name="fs_diagram_email.png"/>
                    <pic:cNvPicPr/>
                  </pic:nvPicPr>
                  <pic:blipFill>
                    <a:blip r:embed="rId10"/>
                    <a:stretch>
                      <a:fillRect/>
                    </a:stretch>
                  </pic:blipFill>
                  <pic:spPr>
                    <a:xfrm>
                      <a:off x="0" y="0"/>
                      <a:ext cx="5806440" cy="2729027"/>
                    </a:xfrm>
                    <a:prstGeom prst="rect"/>
                  </pic:spPr>
                </pic:pic>
              </a:graphicData>
            </a:graphic>
          </wp:inline>
        </w:drawing>
      </w:r>
    </w:p>
    <w:p>
      <w:pPr>
        <w:spacing w:after="160"/>
        <w:jc w:val="center"/>
      </w:pPr>
      <w:r>
        <w:rPr>
          <w:i/>
          <w:color w:val="6B7280"/>
          <w:sz w:val="16"/>
        </w:rPr>
        <w:t>Gambar 2 — Contoh tampilan email notifikasi</w:t>
      </w:r>
    </w:p>
    <w:p>
      <w:pPr>
        <w:pStyle w:val="Heading2"/>
        <w:spacing w:before="180" w:after="100"/>
      </w:pPr>
      <w:r>
        <w:rPr>
          <w:b/>
          <w:color w:val="2F3A46"/>
          <w:sz w:val="23"/>
        </w:rPr>
        <w:t>Isi email</w:t>
      </w:r>
    </w:p>
    <w:p>
      <w:pPr>
        <w:pStyle w:val="ListBullet"/>
        <w:spacing w:after="40"/>
      </w:pPr>
      <w:r>
        <w:rPr>
          <w:sz w:val="19"/>
        </w:rPr>
        <w:t>Subjek: PO Menunggu Persetujuan diikuti tanggal pengiriman.</w:t>
      </w:r>
    </w:p>
    <w:p>
      <w:pPr>
        <w:pStyle w:val="ListBullet"/>
        <w:spacing w:after="40"/>
      </w:pPr>
      <w:r>
        <w:rPr>
          <w:sz w:val="19"/>
        </w:rPr>
        <w:t>Sapaan menggunakan nama approver sesuai mapping, dengan sebutan Bapak atau Ibu mengikuti kolom jenis kelamin.</w:t>
      </w:r>
    </w:p>
    <w:p>
      <w:pPr>
        <w:pStyle w:val="ListBullet"/>
        <w:spacing w:after="40"/>
      </w:pPr>
      <w:r>
        <w:rPr>
          <w:sz w:val="19"/>
        </w:rPr>
        <w:t>Tabel rincian berisi kolom: No PO, Vendor, Nilai (USD), Tier, Flag, dan Alasan Exception.</w:t>
      </w:r>
    </w:p>
    <w:p>
      <w:pPr>
        <w:pStyle w:val="ListBullet"/>
        <w:spacing w:after="40"/>
      </w:pPr>
      <w:r>
        <w:rPr>
          <w:sz w:val="19"/>
        </w:rPr>
        <w:t>Keterangan flag disusun otomatis mengikuti aturan yang sedang aktif, sehingga angka yang tertulis selalu sama dengan konfigurasi.</w:t>
      </w:r>
    </w:p>
    <w:p>
      <w:pPr>
        <w:pStyle w:val="ListBullet"/>
        <w:spacing w:after="40"/>
      </w:pPr>
      <w:r>
        <w:rPr>
          <w:sz w:val="19"/>
        </w:rPr>
        <w:t>Lampiran Excel dengan nama Detail PO diikuti tanggal, berisi kolom yang sama dengan tabel pada email.</w:t>
      </w:r>
    </w:p>
    <w:p>
      <w:pPr>
        <w:pStyle w:val="Heading1"/>
        <w:spacing w:before="240" w:after="100"/>
      </w:pPr>
      <w:r>
        <w:rPr>
          <w:b/>
          <w:color w:val="2F3A46"/>
          <w:sz w:val="28"/>
        </w:rPr>
        <w:t>7. Batasan dan Hal yang Masih Terbuka</w:t>
      </w:r>
    </w:p>
    <w:p>
      <w:pPr>
        <w:spacing w:after="100"/>
      </w:pPr>
      <w:r>
        <w:rPr>
          <w:b w:val="0"/>
          <w:i w:val="0"/>
          <w:color w:val="1F2328"/>
          <w:sz w:val="19"/>
        </w:rPr>
        <w:t>Bagian ini disampaikan secara terbuka agar dapat menjadi bahan keputusan bersama.</w:t>
      </w:r>
    </w:p>
    <w:tbl>
      <w:tblPr>
        <w:tblStyle w:val="TableGrid"/>
        <w:tblW w:type="auto" w:w="0"/>
        <w:jc w:val="left"/>
        <w:tblLook w:firstColumn="1" w:firstRow="1" w:lastColumn="0" w:lastRow="0" w:noHBand="0" w:noVBand="1" w:val="04A0"/>
        <w:tblLayout w:type="fixed"/>
      </w:tblPr>
      <w:tblGrid>
        <w:gridCol w:w="2952"/>
        <w:gridCol w:w="6840"/>
      </w:tblGrid>
      <w:tr>
        <w:tc>
          <w:tcPr>
            <w:tcW w:type="dxa" w:w="2952"/>
            <w:shd w:val="clear" w:color="auto" w:fill="2F3A46"/>
          </w:tcPr>
          <w:p>
            <w:pPr>
              <w:spacing w:after="20"/>
            </w:pPr>
            <w:r/>
            <w:r>
              <w:rPr>
                <w:b/>
                <w:color w:val="FFFFFF"/>
                <w:sz w:val="17"/>
              </w:rPr>
              <w:t>Hal</w:t>
            </w:r>
          </w:p>
        </w:tc>
        <w:tc>
          <w:tcPr>
            <w:tcW w:type="dxa" w:w="6840"/>
            <w:shd w:val="clear" w:color="auto" w:fill="2F3A46"/>
          </w:tcPr>
          <w:p>
            <w:pPr>
              <w:spacing w:after="20"/>
            </w:pPr>
            <w:r/>
            <w:r>
              <w:rPr>
                <w:b/>
                <w:color w:val="FFFFFF"/>
                <w:sz w:val="17"/>
              </w:rPr>
              <w:t>Kondisi saat ini</w:t>
            </w:r>
          </w:p>
        </w:tc>
      </w:tr>
      <w:tr>
        <w:tc>
          <w:tcPr>
            <w:tcW w:type="dxa" w:w="2952"/>
            <w:shd w:val="clear" w:color="auto" w:fill="FBECEC"/>
          </w:tcPr>
          <w:p>
            <w:pPr>
              <w:spacing w:after="20"/>
            </w:pPr>
            <w:r/>
            <w:r>
              <w:rPr>
                <w:b/>
                <w:color w:val="B03636"/>
                <w:sz w:val="17"/>
              </w:rPr>
              <w:t>Pengiriman ke domain luar</w:t>
            </w:r>
          </w:p>
        </w:tc>
        <w:tc>
          <w:tcPr>
            <w:tcW w:type="dxa" w:w="6840"/>
            <w:shd w:val="clear" w:color="auto" w:fill="FBECEC"/>
          </w:tcPr>
          <w:p>
            <w:pPr>
              <w:spacing w:after="20"/>
            </w:pPr>
            <w:r/>
            <w:r>
              <w:rPr>
                <w:b w:val="0"/>
                <w:color w:val="1F2328"/>
                <w:sz w:val="17"/>
              </w:rPr>
              <w:t>Masih ditolak mail server dengan pesan 550 Authenticated Relay not permitted. Selain itu, satu alamat yang ditolak menyebabkan seluruh email tersebut gagal, termasuk penerima internal. Sedang dikoordinasikan dengan Tim Basis.</w:t>
            </w:r>
          </w:p>
        </w:tc>
      </w:tr>
      <w:tr>
        <w:tc>
          <w:tcPr>
            <w:tcW w:type="dxa" w:w="2952"/>
            <w:shd w:val="clear" w:color="auto" w:fill="FBECEC"/>
          </w:tcPr>
          <w:p>
            <w:pPr>
              <w:spacing w:after="20"/>
            </w:pPr>
            <w:r/>
            <w:r>
              <w:rPr>
                <w:b/>
                <w:color w:val="B03636"/>
                <w:sz w:val="17"/>
              </w:rPr>
              <w:t>Alamat pengirim</w:t>
            </w:r>
          </w:p>
        </w:tc>
        <w:tc>
          <w:tcPr>
            <w:tcW w:type="dxa" w:w="6840"/>
            <w:shd w:val="clear" w:color="auto" w:fill="FBECEC"/>
          </w:tcPr>
          <w:p>
            <w:pPr>
              <w:spacing w:after="20"/>
            </w:pPr>
            <w:r/>
            <w:r>
              <w:rPr>
                <w:b w:val="0"/>
                <w:color w:val="1F2328"/>
                <w:sz w:val="17"/>
              </w:rPr>
              <w:t>Masih menggunakan identitas pengguna SAP yang menjalankan program. Diusulkan memakai akun notifikasi khusus.</w:t>
            </w:r>
          </w:p>
        </w:tc>
      </w:tr>
      <w:tr>
        <w:tc>
          <w:tcPr>
            <w:tcW w:type="dxa" w:w="2952"/>
            <w:shd w:val="clear" w:color="auto" w:fill="FBECEC"/>
          </w:tcPr>
          <w:p>
            <w:pPr>
              <w:spacing w:after="20"/>
            </w:pPr>
            <w:r/>
            <w:r>
              <w:rPr>
                <w:b/>
                <w:color w:val="B03636"/>
                <w:sz w:val="17"/>
              </w:rPr>
              <w:t>Pengulangan notifikasi</w:t>
            </w:r>
          </w:p>
        </w:tc>
        <w:tc>
          <w:tcPr>
            <w:tcW w:type="dxa" w:w="6840"/>
            <w:shd w:val="clear" w:color="auto" w:fill="FBECEC"/>
          </w:tcPr>
          <w:p>
            <w:pPr>
              <w:spacing w:after="20"/>
            </w:pPr>
            <w:r/>
            <w:r>
              <w:rPr>
                <w:b w:val="0"/>
                <w:color w:val="1F2328"/>
                <w:sz w:val="17"/>
              </w:rPr>
              <w:t>PO yang belum disetujui akan dikirim ulang pada setiap kali job berjalan. Belum ada pencatatan riwayat pengiriman.</w:t>
            </w:r>
          </w:p>
        </w:tc>
      </w:tr>
      <w:tr>
        <w:tc>
          <w:tcPr>
            <w:tcW w:type="dxa" w:w="2952"/>
          </w:tcPr>
          <w:p>
            <w:pPr>
              <w:spacing w:after="20"/>
            </w:pPr>
            <w:r/>
            <w:r>
              <w:rPr>
                <w:b/>
                <w:color w:val="C8622D"/>
                <w:sz w:val="17"/>
              </w:rPr>
              <w:t>Persetujuan di dalam SAP</w:t>
            </w:r>
          </w:p>
        </w:tc>
        <w:tc>
          <w:tcPr>
            <w:tcW w:type="dxa" w:w="6840"/>
          </w:tcPr>
          <w:p>
            <w:pPr>
              <w:spacing w:after="20"/>
            </w:pPr>
            <w:r/>
            <w:r>
              <w:rPr>
                <w:b w:val="0"/>
                <w:color w:val="1F2328"/>
                <w:sz w:val="17"/>
              </w:rPr>
              <w:t>Program hanya memberi notifikasi. Persetujuan tetap dilakukan pada transaksi ME29N, sesuai kesepakatan ruang lingkup.</w:t>
            </w:r>
          </w:p>
        </w:tc>
      </w:tr>
      <w:tr>
        <w:tc>
          <w:tcPr>
            <w:tcW w:type="dxa" w:w="2952"/>
            <w:shd w:val="clear" w:color="auto" w:fill="F4F5F7"/>
          </w:tcPr>
          <w:p>
            <w:pPr>
              <w:spacing w:after="20"/>
            </w:pPr>
            <w:r/>
            <w:r>
              <w:rPr>
                <w:b/>
                <w:color w:val="C8622D"/>
                <w:sz w:val="17"/>
              </w:rPr>
              <w:t>Pemeriksaan otorisasi</w:t>
            </w:r>
          </w:p>
        </w:tc>
        <w:tc>
          <w:tcPr>
            <w:tcW w:type="dxa" w:w="6840"/>
            <w:shd w:val="clear" w:color="auto" w:fill="F4F5F7"/>
          </w:tcPr>
          <w:p>
            <w:pPr>
              <w:spacing w:after="20"/>
            </w:pPr>
            <w:r/>
            <w:r>
              <w:rPr>
                <w:b w:val="0"/>
                <w:color w:val="1F2328"/>
                <w:sz w:val="17"/>
              </w:rPr>
              <w:t>Program belum melakukan pemeriksaan otorisasi organisasi. Dijalankan melalui background job dengan pengguna teknis.</w:t>
            </w:r>
          </w:p>
        </w:tc>
      </w:tr>
    </w:tbl>
    <w:p>
      <w:pPr>
        <w:spacing w:after="100"/>
      </w:pPr>
      <w:r>
        <w:rPr>
          <w:b w:val="0"/>
          <w:i w:val="0"/>
          <w:color w:val="1F2328"/>
          <w:sz w:val="19"/>
        </w:rPr>
        <w:t>Tim ABAP siap menindaklanjuti butir-butir di atas sesuai arahan dan prioritas yang ditetapkan.</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