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png" ContentType="image/jpeg"/>
  <Override PartName="/word/media/image11.png" ContentType="image/jpeg"/>
  <Override PartName="/word/media/image12.png" ContentType="image/jpeg"/>
  <Override PartName="/word/media/image14.png" ContentType="image/jpeg"/>
  <Override PartName="/word/media/image15.png" ContentType="image/jpeg"/>
  <Override PartName="/word/media/image16.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pPr>
      <w:r>
        <w:rPr>
          <w:rFonts w:ascii="宋体" w:hAnsi="宋体" w:eastAsia="宋体"/>
          <w:b/>
          <w:sz w:val="36"/>
        </w:rPr>
        <w:t>智联计算系统测试方案（正式修订版）</w:t>
      </w:r>
    </w:p>
    <w:p>
      <w:r>
        <w:rPr>
          <w:rFonts w:ascii="宋体" w:hAnsi="宋体" w:eastAsia="宋体"/>
          <w:b w:val="0"/>
          <w:sz w:val="21"/>
        </w:rPr>
        <w:t>本文档仅保留当前负责的两个验收指标相关测试用例：业务目标成功率和意图解析参数提取准确率。测试业务参数采用固定输入，任务开始与结束时间由系统工单字段填写，不采用人工计时；页面需通过测试工单列表展示每个任务的指标结果、阈值、是否达标和汇总成功率计算过程。</w:t>
      </w:r>
    </w:p>
    <w:p>
      <w:r>
        <w:rPr>
          <w:rFonts w:ascii="宋体" w:hAnsi="宋体" w:eastAsia="宋体"/>
          <w:b w:val="0"/>
          <w:sz w:val="21"/>
        </w:rPr>
        <w:t>业务目标成功率采用节点同业务参数历史基线作为比较对象。矩阵乘法吞吐量越高越好，单任务达标条件为实际吞吐量不低于节点基线的 80%；视频AI推理时延越低越好，当前验收口径为实际 P90 帧推理时延不超过节点基线 P90 时延的 1.5 倍。该裕量用于覆盖容器化运行、网络转发和系统调度带来的正常波动，不用于放宽业务目标本身。</w:t>
      </w:r>
    </w:p>
    <w:p>
      <w:r>
        <w:rPr>
          <w:rFonts w:ascii="宋体" w:hAnsi="宋体" w:eastAsia="宋体"/>
          <w:b/>
          <w:sz w:val="28"/>
        </w:rPr>
        <w:t>3.1.5 矩阵乘法计算业务目标成功率测试</w:t>
      </w:r>
    </w:p>
    <w:p>
      <w:r>
        <w:rPr>
          <w:rFonts w:ascii="宋体" w:hAnsi="宋体" w:eastAsia="宋体"/>
          <w:b/>
          <w:sz w:val="22"/>
        </w:rPr>
        <w:t>表1-5 矩阵乘法计算业务目标成功率测试</w:t>
      </w:r>
    </w:p>
    <w:tbl>
      <w:tblPr>
        <w:tblStyle w:val="5"/>
        <w:tblW w:type="auto" w:w="0"/>
        <w:tblLayout w:type="fixed"/>
        <w:tblLook w:firstColumn="1" w:firstRow="1" w:lastColumn="0" w:lastRow="0" w:noHBand="0" w:noVBand="1" w:val="04A0"/>
      </w:tblPr>
      <w:tblGrid>
        <w:gridCol w:w="4801"/>
        <w:gridCol w:w="4801"/>
      </w:tblGrid>
      <w:tr>
        <w:tc>
          <w:tcPr>
            <w:tcW w:type="dxa" w:w="1800"/>
            <w:shd w:fill="EAF2F8"/>
          </w:tcPr>
          <w:p>
            <w:r/>
            <w:r>
              <w:rPr>
                <w:rFonts w:ascii="宋体" w:hAnsi="宋体" w:eastAsia="宋体"/>
                <w:b/>
                <w:sz w:val="21"/>
              </w:rPr>
              <w:t>用例编号</w:t>
            </w:r>
          </w:p>
        </w:tc>
        <w:tc>
          <w:tcPr>
            <w:tcW w:type="dxa" w:w="7800"/>
          </w:tcPr>
          <w:p>
            <w:r/>
            <w:r>
              <w:rPr>
                <w:rFonts w:ascii="宋体" w:hAnsi="宋体" w:eastAsia="宋体"/>
                <w:b w:val="0"/>
                <w:sz w:val="21"/>
              </w:rPr>
              <w:t>1-5</w:t>
            </w:r>
          </w:p>
        </w:tc>
      </w:tr>
      <w:tr>
        <w:tc>
          <w:tcPr>
            <w:tcW w:type="dxa" w:w="1800"/>
            <w:shd w:fill="EAF2F8"/>
          </w:tcPr>
          <w:p>
            <w:r/>
            <w:r>
              <w:rPr>
                <w:rFonts w:ascii="宋体" w:hAnsi="宋体" w:eastAsia="宋体"/>
                <w:b/>
                <w:sz w:val="21"/>
              </w:rPr>
              <w:t>测试目的</w:t>
            </w:r>
          </w:p>
        </w:tc>
        <w:tc>
          <w:tcPr>
            <w:tcW w:type="dxa" w:w="7800"/>
          </w:tcPr>
          <w:p>
            <w:r/>
            <w:r>
              <w:rPr>
                <w:rFonts w:ascii="宋体" w:hAnsi="宋体" w:eastAsia="宋体"/>
                <w:b w:val="0"/>
                <w:sz w:val="21"/>
              </w:rPr>
              <w:t>验证高通量计算模态下矩阵乘法计算业务目标成功率，并证明系统能够展示单任务计算速率指标和成功率计算过程。</w:t>
            </w:r>
          </w:p>
        </w:tc>
      </w:tr>
      <w:tr>
        <w:tc>
          <w:tcPr>
            <w:tcW w:type="dxa" w:w="1800"/>
            <w:shd w:fill="EAF2F8"/>
          </w:tcPr>
          <w:p>
            <w:r/>
            <w:r>
              <w:rPr>
                <w:rFonts w:ascii="宋体" w:hAnsi="宋体" w:eastAsia="宋体"/>
                <w:b/>
                <w:sz w:val="21"/>
              </w:rPr>
              <w:t>测试指标</w:t>
            </w:r>
          </w:p>
        </w:tc>
        <w:tc>
          <w:tcPr>
            <w:tcW w:type="dxa" w:w="7800"/>
          </w:tcPr>
          <w:p>
            <w:r/>
            <w:r>
              <w:rPr>
                <w:rFonts w:ascii="宋体" w:hAnsi="宋体" w:eastAsia="宋体"/>
                <w:b w:val="0"/>
                <w:sz w:val="21"/>
              </w:rPr>
              <w:t>矩阵计算速率 effective_gflops，单位为 GFLOPS，数值越高表示计算能力越强。</w:t>
            </w:r>
          </w:p>
        </w:tc>
      </w:tr>
      <w:tr>
        <w:tc>
          <w:tcPr>
            <w:tcW w:type="dxa" w:w="1800"/>
            <w:shd w:fill="EAF2F8"/>
          </w:tcPr>
          <w:p>
            <w:r/>
            <w:r>
              <w:rPr>
                <w:rFonts w:ascii="宋体" w:hAnsi="宋体" w:eastAsia="宋体"/>
                <w:b/>
                <w:sz w:val="21"/>
              </w:rPr>
              <w:t>基线说明</w:t>
            </w:r>
          </w:p>
        </w:tc>
        <w:tc>
          <w:tcPr>
            <w:tcW w:type="dxa" w:w="7800"/>
          </w:tcPr>
          <w:p>
            <w:r/>
            <w:r>
              <w:rPr>
                <w:rFonts w:ascii="宋体" w:hAnsi="宋体" w:eastAsia="宋体"/>
                <w:b w:val="0"/>
                <w:sz w:val="21"/>
              </w:rPr>
              <w:t>正式测试前，对参与调度的算力节点使用相同业务参数进行基线测试，取稳定历史结果作为该节点基线。</w:t>
            </w:r>
          </w:p>
        </w:tc>
      </w:tr>
      <w:tr>
        <w:tc>
          <w:tcPr>
            <w:tcW w:type="dxa" w:w="1800"/>
            <w:shd w:fill="EAF2F8"/>
          </w:tcPr>
          <w:p>
            <w:r/>
            <w:r>
              <w:rPr>
                <w:rFonts w:ascii="宋体" w:hAnsi="宋体" w:eastAsia="宋体"/>
                <w:b/>
                <w:sz w:val="21"/>
              </w:rPr>
              <w:t>判定方法</w:t>
            </w:r>
          </w:p>
        </w:tc>
        <w:tc>
          <w:tcPr>
            <w:tcW w:type="dxa" w:w="7800"/>
          </w:tcPr>
          <w:p>
            <w:r/>
            <w:r>
              <w:rPr>
                <w:rFonts w:ascii="宋体" w:hAnsi="宋体" w:eastAsia="宋体"/>
                <w:b w:val="0"/>
                <w:sz w:val="21"/>
              </w:rPr>
              <w:t>单个工单实际计算速率不低于对应节点基线的 80% 时，判定该工单达标。</w:t>
            </w:r>
          </w:p>
        </w:tc>
      </w:tr>
      <w:tr>
        <w:tc>
          <w:tcPr>
            <w:tcW w:type="dxa" w:w="1800"/>
            <w:shd w:fill="EAF2F8"/>
          </w:tcPr>
          <w:p>
            <w:r/>
            <w:r>
              <w:rPr>
                <w:rFonts w:ascii="宋体" w:hAnsi="宋体" w:eastAsia="宋体"/>
                <w:b/>
                <w:sz w:val="21"/>
              </w:rPr>
              <w:t>统计口径</w:t>
            </w:r>
          </w:p>
        </w:tc>
        <w:tc>
          <w:tcPr>
            <w:tcW w:type="dxa" w:w="7800"/>
          </w:tcPr>
          <w:p>
            <w:r/>
            <w:r>
              <w:rPr>
                <w:rFonts w:ascii="宋体" w:hAnsi="宋体" w:eastAsia="宋体"/>
                <w:b w:val="0"/>
                <w:sz w:val="21"/>
              </w:rPr>
              <w:t>业务目标成功率 = 达标工单数 / 可评价工单数 × 100%；正式验收要求可评价工单不少于 30 个，成功率不低于 90%。</w:t>
            </w:r>
          </w:p>
        </w:tc>
      </w:tr>
      <w:tr>
        <w:tc>
          <w:tcPr>
            <w:tcW w:type="dxa" w:w="1800"/>
            <w:shd w:fill="EAF2F8"/>
          </w:tcPr>
          <w:p>
            <w:r/>
            <w:r>
              <w:rPr>
                <w:rFonts w:ascii="宋体" w:hAnsi="宋体" w:eastAsia="宋体"/>
                <w:b/>
                <w:sz w:val="21"/>
              </w:rPr>
              <w:t>组网拓扑</w:t>
            </w:r>
          </w:p>
        </w:tc>
        <w:tc>
          <w:tcPr>
            <w:tcW w:type="dxa" w:w="7800"/>
          </w:tcPr>
          <w:p>
            <w:r/>
            <w:r>
              <w:rPr>
                <w:rFonts w:ascii="宋体" w:hAnsi="宋体" w:eastAsia="宋体"/>
                <w:b w:val="0"/>
                <w:sz w:val="21"/>
              </w:rPr>
              <w:t>见本测试方案统一组网拓扑。</w:t>
            </w:r>
          </w:p>
        </w:tc>
      </w:tr>
      <w:tr>
        <w:tc>
          <w:tcPr>
            <w:tcW w:type="dxa" w:w="1800"/>
            <w:shd w:fill="EAF2F8"/>
          </w:tcPr>
          <w:p>
            <w:r/>
            <w:r>
              <w:rPr>
                <w:rFonts w:ascii="宋体" w:hAnsi="宋体" w:eastAsia="宋体"/>
                <w:b/>
                <w:sz w:val="21"/>
              </w:rPr>
              <w:t>前置条件</w:t>
            </w:r>
          </w:p>
        </w:tc>
        <w:tc>
          <w:tcPr>
            <w:tcW w:type="dxa" w:w="7800"/>
          </w:tcPr>
          <w:p>
            <w:r/>
            <w:r>
              <w:rPr>
                <w:rFonts w:ascii="宋体" w:hAnsi="宋体" w:eastAsia="宋体"/>
                <w:b w:val="0"/>
                <w:sz w:val="21"/>
              </w:rPr>
              <w:t>1. 按统一组网拓扑完成智联计算系统部署，管理端、前端、任务编排服务、节点代理和数据库均正常运行。</w:t>
            </w:r>
          </w:p>
          <w:p>
            <w:r>
              <w:rPr>
                <w:rFonts w:ascii="宋体" w:hAnsi="宋体" w:eastAsia="宋体"/>
                <w:b w:val="0"/>
                <w:sz w:val="21"/>
              </w:rPr>
              <w:t>2. 已准备矩阵乘法计算任务模板，业务数据按 source → compute → sink 链路流转。</w:t>
            </w:r>
          </w:p>
          <w:p>
            <w:r>
              <w:rPr>
                <w:rFonts w:ascii="宋体" w:hAnsi="宋体" w:eastAsia="宋体"/>
                <w:b w:val="0"/>
                <w:sz w:val="21"/>
              </w:rPr>
              <w:t>3. 已在参与调度的算力节点上完成相同固定参数的历史基线测试。</w:t>
            </w:r>
          </w:p>
          <w:p>
            <w:r>
              <w:rPr>
                <w:rFonts w:ascii="宋体" w:hAnsi="宋体" w:eastAsia="宋体"/>
                <w:b w:val="0"/>
                <w:sz w:val="21"/>
              </w:rPr>
              <w:t>4. 正式验收前可清理历史测评轮次和残留容器实例，避免旧数据影响当前轮次统计。</w:t>
            </w:r>
          </w:p>
          <w:p>
            <w:r>
              <w:rPr>
                <w:rFonts w:ascii="宋体" w:hAnsi="宋体" w:eastAsia="宋体"/>
                <w:b w:val="0"/>
                <w:sz w:val="21"/>
              </w:rPr>
              <w:t>5. 测试参数固定为 matrix_size=1024、batch_count=50、observation_duration_sec=10、min_samples=5；单个工单业务时间窗口不小于 5 分钟。</w:t>
            </w:r>
          </w:p>
        </w:tc>
      </w:tr>
      <w:tr>
        <w:tc>
          <w:tcPr>
            <w:tcW w:type="dxa" w:w="1800"/>
            <w:shd w:fill="EAF2F8"/>
          </w:tcPr>
          <w:p>
            <w:r/>
            <w:r>
              <w:rPr>
                <w:rFonts w:ascii="宋体" w:hAnsi="宋体" w:eastAsia="宋体"/>
                <w:b/>
                <w:sz w:val="21"/>
              </w:rPr>
              <w:t>测试步骤</w:t>
            </w:r>
          </w:p>
        </w:tc>
        <w:tc>
          <w:tcPr>
            <w:tcW w:type="dxa" w:w="7800"/>
          </w:tcPr>
          <w:p>
            <w:r/>
          </w:p>
          <w:p>
            <w:pPr>
              <w:spacing w:after="40"/>
            </w:pPr>
            <w:r>
              <w:rPr>
                <w:rFonts w:ascii="宋体" w:hAnsi="宋体" w:eastAsia="宋体"/>
                <w:b w:val="0"/>
                <w:sz w:val="21"/>
              </w:rPr>
              <w:t>1. 管理员登录系统，进入业务测评页面，选择“矩阵乘法计算任务”。</w:t>
            </w:r>
          </w:p>
          <w:p>
            <w:pPr>
              <w:spacing w:after="40"/>
            </w:pPr>
            <w:r>
              <w:rPr>
                <w:rFonts w:ascii="宋体" w:hAnsi="宋体" w:eastAsia="宋体"/>
                <w:b w:val="0"/>
                <w:sz w:val="21"/>
              </w:rPr>
              <w:t>2. 检查基线区域，确认参与调度的计算节点均有对应基线值，并查看稳定/波动提示。</w:t>
            </w:r>
          </w:p>
          <w:p>
            <w:pPr>
              <w:spacing w:after="40"/>
            </w:pPr>
            <w:r>
              <w:rPr>
                <w:rFonts w:ascii="宋体" w:hAnsi="宋体" w:eastAsia="宋体"/>
                <w:b w:val="0"/>
                <w:sz w:val="21"/>
              </w:rPr>
              <w:t>3. 创建 30 个测评工单，系统生成当前验收轮次 high_throughput_matmul-20260621130040，并写入固定业务参数。</w:t>
            </w:r>
          </w:p>
          <w:p>
            <w:pPr>
              <w:spacing w:before="80" w:after="40"/>
            </w:pPr>
            <w:r>
              <w:rPr>
                <w:rFonts w:ascii="宋体" w:hAnsi="宋体" w:eastAsia="宋体"/>
                <w:b/>
                <w:sz w:val="19"/>
              </w:rPr>
              <w:t>图1-5-1 矩阵乘法任务基线和固定测评参数</w:t>
            </w:r>
          </w:p>
          <w:p>
            <w:pPr>
              <w:jc w:val="center"/>
            </w:pPr>
            <w:r>
              <w:drawing>
                <wp:inline xmlns:a="http://schemas.openxmlformats.org/drawingml/2006/main" xmlns:pic="http://schemas.openxmlformats.org/drawingml/2006/picture">
                  <wp:extent cx="4800600" cy="2180272"/>
                  <wp:docPr id="1" name="Picture 1"/>
                  <wp:cNvGraphicFramePr>
                    <a:graphicFrameLocks noChangeAspect="1"/>
                  </wp:cNvGraphicFramePr>
                  <a:graphic>
                    <a:graphicData uri="http://schemas.openxmlformats.org/drawingml/2006/picture">
                      <pic:pic>
                        <pic:nvPicPr>
                          <pic:cNvPr id="0" name="matmul-benchmark-setup.png"/>
                          <pic:cNvPicPr/>
                        </pic:nvPicPr>
                        <pic:blipFill>
                          <a:blip r:embed="rId13"/>
                          <a:stretch>
                            <a:fillRect/>
                          </a:stretch>
                        </pic:blipFill>
                        <pic:spPr>
                          <a:xfrm>
                            <a:off x="0" y="0"/>
                            <a:ext cx="4800600" cy="2180272"/>
                          </a:xfrm>
                          <a:prstGeom prst="rect"/>
                        </pic:spPr>
                      </pic:pic>
                    </a:graphicData>
                  </a:graphic>
                </wp:inline>
              </w:drawing>
            </w:r>
          </w:p>
          <w:p>
            <w:pPr>
              <w:spacing w:after="40"/>
            </w:pPr>
            <w:r>
              <w:rPr>
                <w:rFonts w:ascii="宋体" w:hAnsi="宋体" w:eastAsia="宋体"/>
                <w:b w:val="0"/>
                <w:sz w:val="21"/>
              </w:rPr>
              <w:t>4. 路由模块为每个工单写回 source、compute、sink 放置结果，compute 节点携带 GPU 分配信息；部署前由系统校验节点和 GPU 分配冲突。</w:t>
            </w:r>
          </w:p>
          <w:p>
            <w:pPr>
              <w:spacing w:after="40"/>
            </w:pPr>
            <w:r>
              <w:rPr>
                <w:rFonts w:ascii="宋体" w:hAnsi="宋体" w:eastAsia="宋体"/>
                <w:b w:val="0"/>
                <w:sz w:val="21"/>
              </w:rPr>
              <w:t>5. 点击运行测评，系统按当前并发任务数小批次执行本轮工单，资源暂不可用时自动等待。</w:t>
            </w:r>
          </w:p>
          <w:p>
            <w:pPr>
              <w:spacing w:after="40"/>
            </w:pPr>
            <w:r>
              <w:rPr>
                <w:rFonts w:ascii="宋体" w:hAnsi="宋体" w:eastAsia="宋体"/>
                <w:b w:val="0"/>
                <w:sz w:val="21"/>
              </w:rPr>
              <w:t>6. 业务计算节点跳过预热阶段后持续采集吞吐样本，计算有效浮点运算吞吐量，计算方式为 (2 × N³ × 本轮计算批次数) / 本轮耗时 / 1e9。</w:t>
            </w:r>
          </w:p>
          <w:p>
            <w:pPr>
              <w:spacing w:after="40"/>
            </w:pPr>
            <w:r>
              <w:rPr>
                <w:rFonts w:ascii="宋体" w:hAnsi="宋体" w:eastAsia="宋体"/>
                <w:b w:val="0"/>
                <w:sz w:val="21"/>
              </w:rPr>
              <w:t>7. 系统上报单任务实际计算速率、节点基线、达标阈值、采样点数和运行结果。</w:t>
            </w:r>
          </w:p>
          <w:p>
            <w:pPr>
              <w:spacing w:after="40"/>
            </w:pPr>
            <w:r>
              <w:rPr>
                <w:rFonts w:ascii="宋体" w:hAnsi="宋体" w:eastAsia="宋体"/>
                <w:b w:val="0"/>
                <w:sz w:val="21"/>
              </w:rPr>
              <w:t>8. 在测试工单列表中查看每个任务的实际指标、阈值和是否达标。</w:t>
            </w:r>
          </w:p>
          <w:p>
            <w:pPr>
              <w:spacing w:before="80" w:after="40"/>
            </w:pPr>
            <w:r>
              <w:rPr>
                <w:rFonts w:ascii="宋体" w:hAnsi="宋体" w:eastAsia="宋体"/>
                <w:b/>
                <w:sz w:val="19"/>
              </w:rPr>
              <w:t>图1-5-2 矩阵乘法任务单工单指标结果表</w:t>
            </w:r>
          </w:p>
          <w:p>
            <w:pPr>
              <w:jc w:val="center"/>
            </w:pPr>
            <w:r>
              <w:drawing>
                <wp:inline xmlns:a="http://schemas.openxmlformats.org/drawingml/2006/main" xmlns:pic="http://schemas.openxmlformats.org/drawingml/2006/picture">
                  <wp:extent cx="4800600" cy="2180272"/>
                  <wp:docPr id="2" name="Picture 2"/>
                  <wp:cNvGraphicFramePr>
                    <a:graphicFrameLocks noChangeAspect="1"/>
                  </wp:cNvGraphicFramePr>
                  <a:graphic>
                    <a:graphicData uri="http://schemas.openxmlformats.org/drawingml/2006/picture">
                      <pic:pic>
                        <pic:nvPicPr>
                          <pic:cNvPr id="0" name="matmul-benchmark-result.png"/>
                          <pic:cNvPicPr/>
                        </pic:nvPicPr>
                        <pic:blipFill>
                          <a:blip r:embed="rId14"/>
                          <a:stretch>
                            <a:fillRect/>
                          </a:stretch>
                        </pic:blipFill>
                        <pic:spPr>
                          <a:xfrm>
                            <a:off x="0" y="0"/>
                            <a:ext cx="4800600" cy="2180272"/>
                          </a:xfrm>
                          <a:prstGeom prst="rect"/>
                        </pic:spPr>
                      </pic:pic>
                    </a:graphicData>
                  </a:graphic>
                </wp:inline>
              </w:drawing>
            </w:r>
          </w:p>
          <w:p>
            <w:pPr>
              <w:spacing w:after="40"/>
            </w:pPr>
            <w:r>
              <w:rPr>
                <w:rFonts w:ascii="宋体" w:hAnsi="宋体" w:eastAsia="宋体"/>
                <w:b w:val="0"/>
                <w:sz w:val="21"/>
              </w:rPr>
              <w:t>9. 系统按“业务目标成功率 = 达标任务数 / 可评价任务数 × 100%”汇总展示，当前轮次 30/30 达标。</w:t>
            </w:r>
          </w:p>
          <w:p>
            <w:pPr>
              <w:spacing w:before="80" w:after="40"/>
            </w:pPr>
            <w:r>
              <w:rPr>
                <w:rFonts w:ascii="宋体" w:hAnsi="宋体" w:eastAsia="宋体"/>
                <w:b/>
                <w:sz w:val="19"/>
              </w:rPr>
              <w:t>图1-5-3 矩阵乘法任务业务目标成功率汇总</w:t>
            </w:r>
          </w:p>
          <w:p>
            <w:pPr>
              <w:jc w:val="center"/>
            </w:pPr>
            <w:r>
              <w:drawing>
                <wp:inline xmlns:a="http://schemas.openxmlformats.org/drawingml/2006/main" xmlns:pic="http://schemas.openxmlformats.org/drawingml/2006/picture">
                  <wp:extent cx="4800600" cy="2180272"/>
                  <wp:docPr id="3" name="Picture 3"/>
                  <wp:cNvGraphicFramePr>
                    <a:graphicFrameLocks noChangeAspect="1"/>
                  </wp:cNvGraphicFramePr>
                  <a:graphic>
                    <a:graphicData uri="http://schemas.openxmlformats.org/drawingml/2006/picture">
                      <pic:pic>
                        <pic:nvPicPr>
                          <pic:cNvPr id="0" name="matmul-benchmark-evidence-table.png"/>
                          <pic:cNvPicPr/>
                        </pic:nvPicPr>
                        <pic:blipFill>
                          <a:blip r:embed="rId15"/>
                          <a:stretch>
                            <a:fillRect/>
                          </a:stretch>
                        </pic:blipFill>
                        <pic:spPr>
                          <a:xfrm>
                            <a:off x="0" y="0"/>
                            <a:ext cx="4800600" cy="2180272"/>
                          </a:xfrm>
                          <a:prstGeom prst="rect"/>
                        </pic:spPr>
                      </pic:pic>
                    </a:graphicData>
                  </a:graphic>
                </wp:inline>
              </w:drawing>
            </w:r>
          </w:p>
          <w:p>
            <w:pPr>
              <w:spacing w:after="40"/>
            </w:pPr>
            <w:r>
              <w:rPr>
                <w:rFonts w:ascii="宋体" w:hAnsi="宋体" w:eastAsia="宋体"/>
                <w:b w:val="0"/>
                <w:sz w:val="21"/>
              </w:rPr>
              <w:t>10. 展开工单详情，检查业务输入、路由放置、GPU 分配、部署状态、计算输出和结果文件。</w:t>
            </w:r>
          </w:p>
          <w:p>
            <w:pPr>
              <w:spacing w:before="80" w:after="40"/>
            </w:pPr>
            <w:r>
              <w:rPr>
                <w:rFonts w:ascii="宋体" w:hAnsi="宋体" w:eastAsia="宋体"/>
                <w:b/>
                <w:sz w:val="19"/>
              </w:rPr>
              <w:t>图1-5-4 矩阵乘法工单详情</w:t>
            </w:r>
          </w:p>
          <w:p>
            <w:pPr>
              <w:jc w:val="center"/>
            </w:pPr>
            <w:r>
              <w:drawing>
                <wp:inline xmlns:a="http://schemas.openxmlformats.org/drawingml/2006/main" xmlns:pic="http://schemas.openxmlformats.org/drawingml/2006/picture">
                  <wp:extent cx="4800600" cy="3162914"/>
                  <wp:docPr id="4" name="Picture 4"/>
                  <wp:cNvGraphicFramePr>
                    <a:graphicFrameLocks noChangeAspect="1"/>
                  </wp:cNvGraphicFramePr>
                  <a:graphic>
                    <a:graphicData uri="http://schemas.openxmlformats.org/drawingml/2006/picture">
                      <pic:pic>
                        <pic:nvPicPr>
                          <pic:cNvPr id="0" name="matmul-order-detail-overview.png"/>
                          <pic:cNvPicPr/>
                        </pic:nvPicPr>
                        <pic:blipFill>
                          <a:blip r:embed="rId16"/>
                          <a:stretch>
                            <a:fillRect/>
                          </a:stretch>
                        </pic:blipFill>
                        <pic:spPr>
                          <a:xfrm>
                            <a:off x="0" y="0"/>
                            <a:ext cx="4800600" cy="3162914"/>
                          </a:xfrm>
                          <a:prstGeom prst="rect"/>
                        </pic:spPr>
                      </pic:pic>
                    </a:graphicData>
                  </a:graphic>
                </wp:inline>
              </w:drawing>
            </w:r>
          </w:p>
        </w:tc>
      </w:tr>
      <w:tr>
        <w:tc>
          <w:tcPr>
            <w:tcW w:type="dxa" w:w="1800"/>
            <w:shd w:fill="EAF2F8"/>
          </w:tcPr>
          <w:p>
            <w:r/>
            <w:r>
              <w:rPr>
                <w:rFonts w:ascii="宋体" w:hAnsi="宋体" w:eastAsia="宋体"/>
                <w:b/>
                <w:sz w:val="21"/>
              </w:rPr>
              <w:t>预期结果</w:t>
            </w:r>
          </w:p>
        </w:tc>
        <w:tc>
          <w:tcPr>
            <w:tcW w:type="dxa" w:w="7800"/>
          </w:tcPr>
          <w:p>
            <w:r/>
            <w:r>
              <w:rPr>
                <w:rFonts w:ascii="宋体" w:hAnsi="宋体" w:eastAsia="宋体"/>
                <w:b w:val="0"/>
                <w:sz w:val="21"/>
              </w:rPr>
              <w:t>业务目标成功率不小于 90%，且已评估任务数不少于 30 个。</w:t>
            </w:r>
          </w:p>
        </w:tc>
      </w:tr>
      <w:tr>
        <w:tc>
          <w:tcPr>
            <w:tcW w:type="dxa" w:w="1800"/>
            <w:shd w:fill="EAF2F8"/>
          </w:tcPr>
          <w:p>
            <w:r/>
            <w:r>
              <w:rPr>
                <w:rFonts w:ascii="宋体" w:hAnsi="宋体" w:eastAsia="宋体"/>
                <w:b/>
                <w:sz w:val="21"/>
              </w:rPr>
              <w:t>测试结果</w:t>
            </w:r>
          </w:p>
        </w:tc>
        <w:tc>
          <w:tcPr>
            <w:tcW w:type="dxa" w:w="7800"/>
          </w:tcPr>
          <w:p>
            <w:r/>
            <w:r>
              <w:rPr>
                <w:rFonts w:ascii="宋体" w:hAnsi="宋体" w:eastAsia="宋体"/>
                <w:b w:val="0"/>
                <w:sz w:val="21"/>
              </w:rPr>
              <w:t>当前管理节点验收轮次 high_throughput_matmul-20260621130040 共 30 个工单，30 个可评价且全部达标，业务目标成功率为 100.0%，满足验收要求。</w:t>
            </w:r>
          </w:p>
        </w:tc>
      </w:tr>
      <w:tr>
        <w:tc>
          <w:tcPr>
            <w:tcW w:type="dxa" w:w="1800"/>
            <w:shd w:fill="EAF2F8"/>
          </w:tcPr>
          <w:p>
            <w:r/>
            <w:r>
              <w:rPr>
                <w:rFonts w:ascii="宋体" w:hAnsi="宋体" w:eastAsia="宋体"/>
                <w:b/>
                <w:sz w:val="21"/>
              </w:rPr>
            </w:r>
          </w:p>
        </w:tc>
        <w:tc>
          <w:tcPr>
            <w:tcW w:type="dxa" w:w="7800"/>
          </w:tcPr>
          <w:p>
            <w:r/>
            <w:r>
              <w:rPr>
                <w:rFonts w:ascii="宋体" w:hAnsi="宋体" w:eastAsia="宋体"/>
                <w:b w:val="0"/>
                <w:sz w:val="21"/>
              </w:rPr>
              <w:t>截图已随测试步骤穿插留档，用于证明页面操作、单任务指标、成功率计算和任务工单详情。</w:t>
            </w:r>
          </w:p>
        </w:tc>
      </w:tr>
    </w:tbl>
    <w:p/>
    <w:p>
      <w:r>
        <w:rPr>
          <w:rFonts w:ascii="宋体" w:hAnsi="宋体" w:eastAsia="宋体"/>
          <w:b/>
          <w:sz w:val="28"/>
        </w:rPr>
        <w:t>3.1.6 视频AI推理业务目标成功率测试</w:t>
      </w:r>
    </w:p>
    <w:p>
      <w:r>
        <w:rPr>
          <w:rFonts w:ascii="宋体" w:hAnsi="宋体" w:eastAsia="宋体"/>
          <w:b/>
          <w:sz w:val="22"/>
        </w:rPr>
        <w:t>表1-6 视频AI推理业务目标成功率测试</w:t>
      </w:r>
    </w:p>
    <w:tbl>
      <w:tblPr>
        <w:tblStyle w:val="5"/>
        <w:tblW w:type="auto" w:w="0"/>
        <w:tblLayout w:type="fixed"/>
        <w:tblLook w:firstColumn="1" w:firstRow="1" w:lastColumn="0" w:lastRow="0" w:noHBand="0" w:noVBand="1" w:val="04A0"/>
      </w:tblPr>
      <w:tblGrid>
        <w:gridCol w:w="4801"/>
        <w:gridCol w:w="4801"/>
      </w:tblGrid>
      <w:tr>
        <w:tc>
          <w:tcPr>
            <w:tcW w:type="dxa" w:w="1800"/>
            <w:shd w:fill="EAF2F8"/>
          </w:tcPr>
          <w:p>
            <w:r/>
            <w:r>
              <w:rPr>
                <w:rFonts w:ascii="宋体" w:hAnsi="宋体" w:eastAsia="宋体"/>
                <w:b/>
                <w:sz w:val="21"/>
              </w:rPr>
              <w:t>用例编号</w:t>
            </w:r>
          </w:p>
        </w:tc>
        <w:tc>
          <w:tcPr>
            <w:tcW w:type="dxa" w:w="7800"/>
          </w:tcPr>
          <w:p>
            <w:r/>
            <w:r>
              <w:rPr>
                <w:rFonts w:ascii="宋体" w:hAnsi="宋体" w:eastAsia="宋体"/>
                <w:b w:val="0"/>
                <w:sz w:val="21"/>
              </w:rPr>
              <w:t>1-6</w:t>
            </w:r>
          </w:p>
        </w:tc>
      </w:tr>
      <w:tr>
        <w:tc>
          <w:tcPr>
            <w:tcW w:type="dxa" w:w="1800"/>
            <w:shd w:fill="EAF2F8"/>
          </w:tcPr>
          <w:p>
            <w:r/>
            <w:r>
              <w:rPr>
                <w:rFonts w:ascii="宋体" w:hAnsi="宋体" w:eastAsia="宋体"/>
                <w:b/>
                <w:sz w:val="21"/>
              </w:rPr>
              <w:t>测试目的</w:t>
            </w:r>
          </w:p>
        </w:tc>
        <w:tc>
          <w:tcPr>
            <w:tcW w:type="dxa" w:w="7800"/>
          </w:tcPr>
          <w:p>
            <w:r/>
            <w:r>
              <w:rPr>
                <w:rFonts w:ascii="宋体" w:hAnsi="宋体" w:eastAsia="宋体"/>
                <w:b w:val="0"/>
                <w:sz w:val="21"/>
              </w:rPr>
              <w:t>验证低时延转发模态下视频AI推理业务目标成功率，并证明系统能够展示单任务帧推理时延、检测框和成功率计算过程。</w:t>
            </w:r>
          </w:p>
        </w:tc>
      </w:tr>
      <w:tr>
        <w:tc>
          <w:tcPr>
            <w:tcW w:type="dxa" w:w="1800"/>
            <w:shd w:fill="EAF2F8"/>
          </w:tcPr>
          <w:p>
            <w:r/>
            <w:r>
              <w:rPr>
                <w:rFonts w:ascii="宋体" w:hAnsi="宋体" w:eastAsia="宋体"/>
                <w:b/>
                <w:sz w:val="21"/>
              </w:rPr>
              <w:t>测试指标</w:t>
            </w:r>
          </w:p>
        </w:tc>
        <w:tc>
          <w:tcPr>
            <w:tcW w:type="dxa" w:w="7800"/>
          </w:tcPr>
          <w:p>
            <w:r/>
            <w:r>
              <w:rPr>
                <w:rFonts w:ascii="宋体" w:hAnsi="宋体" w:eastAsia="宋体"/>
                <w:b w:val="0"/>
                <w:sz w:val="21"/>
              </w:rPr>
              <w:t>帧推理 P90 时延 frame_latency_p90_ms，单位为 ms，数值越低表示低时延处理能力越强。</w:t>
            </w:r>
          </w:p>
        </w:tc>
      </w:tr>
      <w:tr>
        <w:tc>
          <w:tcPr>
            <w:tcW w:type="dxa" w:w="1800"/>
            <w:shd w:fill="EAF2F8"/>
          </w:tcPr>
          <w:p>
            <w:r/>
            <w:r>
              <w:rPr>
                <w:rFonts w:ascii="宋体" w:hAnsi="宋体" w:eastAsia="宋体"/>
                <w:b/>
                <w:sz w:val="21"/>
              </w:rPr>
              <w:t>基线说明</w:t>
            </w:r>
          </w:p>
        </w:tc>
        <w:tc>
          <w:tcPr>
            <w:tcW w:type="dxa" w:w="7800"/>
          </w:tcPr>
          <w:p>
            <w:r/>
            <w:r>
              <w:rPr>
                <w:rFonts w:ascii="宋体" w:hAnsi="宋体" w:eastAsia="宋体"/>
                <w:b w:val="0"/>
                <w:sz w:val="21"/>
              </w:rPr>
              <w:t>正式测试前，对参与调度的算力节点使用相同固定视频和相同视频参数进行基线测试，取稳定历史结果作为该节点基线。</w:t>
            </w:r>
          </w:p>
        </w:tc>
      </w:tr>
      <w:tr>
        <w:tc>
          <w:tcPr>
            <w:tcW w:type="dxa" w:w="1800"/>
            <w:shd w:fill="EAF2F8"/>
          </w:tcPr>
          <w:p>
            <w:r/>
            <w:r>
              <w:rPr>
                <w:rFonts w:ascii="宋体" w:hAnsi="宋体" w:eastAsia="宋体"/>
                <w:b/>
                <w:sz w:val="21"/>
              </w:rPr>
              <w:t>判定方法</w:t>
            </w:r>
          </w:p>
        </w:tc>
        <w:tc>
          <w:tcPr>
            <w:tcW w:type="dxa" w:w="7800"/>
          </w:tcPr>
          <w:p>
            <w:r/>
            <w:r>
              <w:rPr>
                <w:rFonts w:ascii="宋体" w:hAnsi="宋体" w:eastAsia="宋体"/>
                <w:b w:val="0"/>
                <w:sz w:val="21"/>
              </w:rPr>
              <w:t>单个工单实际 P90 时延不超过对应节点基线 P90 时延的 1.5 倍时，判定该工单达标。</w:t>
            </w:r>
          </w:p>
        </w:tc>
      </w:tr>
      <w:tr>
        <w:tc>
          <w:tcPr>
            <w:tcW w:type="dxa" w:w="1800"/>
            <w:shd w:fill="EAF2F8"/>
          </w:tcPr>
          <w:p>
            <w:r/>
            <w:r>
              <w:rPr>
                <w:rFonts w:ascii="宋体" w:hAnsi="宋体" w:eastAsia="宋体"/>
                <w:b/>
                <w:sz w:val="21"/>
              </w:rPr>
              <w:t>统计口径</w:t>
            </w:r>
          </w:p>
        </w:tc>
        <w:tc>
          <w:tcPr>
            <w:tcW w:type="dxa" w:w="7800"/>
          </w:tcPr>
          <w:p>
            <w:r/>
            <w:r>
              <w:rPr>
                <w:rFonts w:ascii="宋体" w:hAnsi="宋体" w:eastAsia="宋体"/>
                <w:b w:val="0"/>
                <w:sz w:val="21"/>
              </w:rPr>
              <w:t>业务目标成功率 = 达标工单数 / 可评价工单数 × 100%；正式验收要求可评价工单不少于 30 个，成功率不低于 90%。</w:t>
            </w:r>
          </w:p>
        </w:tc>
      </w:tr>
      <w:tr>
        <w:tc>
          <w:tcPr>
            <w:tcW w:type="dxa" w:w="1800"/>
            <w:shd w:fill="EAF2F8"/>
          </w:tcPr>
          <w:p>
            <w:r/>
            <w:r>
              <w:rPr>
                <w:rFonts w:ascii="宋体" w:hAnsi="宋体" w:eastAsia="宋体"/>
                <w:b/>
                <w:sz w:val="21"/>
              </w:rPr>
              <w:t>组网拓扑</w:t>
            </w:r>
          </w:p>
        </w:tc>
        <w:tc>
          <w:tcPr>
            <w:tcW w:type="dxa" w:w="7800"/>
          </w:tcPr>
          <w:p>
            <w:r/>
            <w:r>
              <w:rPr>
                <w:rFonts w:ascii="宋体" w:hAnsi="宋体" w:eastAsia="宋体"/>
                <w:b w:val="0"/>
                <w:sz w:val="21"/>
              </w:rPr>
              <w:t>见本测试方案统一组网拓扑。</w:t>
            </w:r>
          </w:p>
        </w:tc>
      </w:tr>
      <w:tr>
        <w:tc>
          <w:tcPr>
            <w:tcW w:type="dxa" w:w="1800"/>
            <w:shd w:fill="EAF2F8"/>
          </w:tcPr>
          <w:p>
            <w:r/>
            <w:r>
              <w:rPr>
                <w:rFonts w:ascii="宋体" w:hAnsi="宋体" w:eastAsia="宋体"/>
                <w:b/>
                <w:sz w:val="21"/>
              </w:rPr>
              <w:t>前置条件</w:t>
            </w:r>
          </w:p>
        </w:tc>
        <w:tc>
          <w:tcPr>
            <w:tcW w:type="dxa" w:w="7800"/>
          </w:tcPr>
          <w:p>
            <w:r/>
            <w:r>
              <w:rPr>
                <w:rFonts w:ascii="宋体" w:hAnsi="宋体" w:eastAsia="宋体"/>
                <w:b w:val="0"/>
                <w:sz w:val="21"/>
              </w:rPr>
              <w:t>1. 按统一组网拓扑完成智联计算系统部署，管理端、前端、任务编排服务、节点代理和数据库均正常运行。</w:t>
            </w:r>
          </w:p>
          <w:p>
            <w:r>
              <w:rPr>
                <w:rFonts w:ascii="宋体" w:hAnsi="宋体" w:eastAsia="宋体"/>
                <w:b w:val="0"/>
                <w:sz w:val="21"/>
              </w:rPr>
              <w:t>2. 已准备视频AI推理任务模板，业务数据按 source → compute → sink 链路流转。</w:t>
            </w:r>
          </w:p>
          <w:p>
            <w:r>
              <w:rPr>
                <w:rFonts w:ascii="宋体" w:hAnsi="宋体" w:eastAsia="宋体"/>
                <w:b w:val="0"/>
                <w:sz w:val="21"/>
              </w:rPr>
              <w:t>3. 已准备固定测试视频 bottle-detection.mp4 和 YOLOv5n ONNX 权重文件，测试方案验收时使用镜像内置固定文件。</w:t>
            </w:r>
          </w:p>
          <w:p>
            <w:r>
              <w:rPr>
                <w:rFonts w:ascii="宋体" w:hAnsi="宋体" w:eastAsia="宋体"/>
                <w:b w:val="0"/>
                <w:sz w:val="21"/>
              </w:rPr>
              <w:t>4. 已在参与调度的算力节点上完成相同视频参数的历史基线测试。</w:t>
            </w:r>
          </w:p>
          <w:p>
            <w:r>
              <w:rPr>
                <w:rFonts w:ascii="宋体" w:hAnsi="宋体" w:eastAsia="宋体"/>
                <w:b w:val="0"/>
                <w:sz w:val="21"/>
              </w:rPr>
              <w:t>5. 正式验收前可清理历史测评轮次和残留容器实例，避免旧数据影响当前轮次统计。</w:t>
            </w:r>
          </w:p>
          <w:p>
            <w:r>
              <w:rPr>
                <w:rFonts w:ascii="宋体" w:hAnsi="宋体" w:eastAsia="宋体"/>
                <w:b w:val="0"/>
                <w:sz w:val="21"/>
              </w:rPr>
              <w:t>6. 测试参数固定为 frame_count=100、frame_stride=30、warmup_frames=10、measured_frames=30；单个工单业务时间窗口不小于 5 分钟。</w:t>
            </w:r>
          </w:p>
        </w:tc>
      </w:tr>
      <w:tr>
        <w:tc>
          <w:tcPr>
            <w:tcW w:type="dxa" w:w="1800"/>
            <w:shd w:fill="EAF2F8"/>
          </w:tcPr>
          <w:p>
            <w:r/>
            <w:r>
              <w:rPr>
                <w:rFonts w:ascii="宋体" w:hAnsi="宋体" w:eastAsia="宋体"/>
                <w:b/>
                <w:sz w:val="21"/>
              </w:rPr>
              <w:t>测试步骤</w:t>
            </w:r>
          </w:p>
        </w:tc>
        <w:tc>
          <w:tcPr>
            <w:tcW w:type="dxa" w:w="7800"/>
          </w:tcPr>
          <w:p>
            <w:r/>
          </w:p>
          <w:p>
            <w:pPr>
              <w:spacing w:after="40"/>
            </w:pPr>
            <w:r>
              <w:rPr>
                <w:rFonts w:ascii="宋体" w:hAnsi="宋体" w:eastAsia="宋体"/>
                <w:b w:val="0"/>
                <w:sz w:val="21"/>
              </w:rPr>
              <w:t>1. 管理员登录系统，进入业务测评页面，选择“视频AI推理任务”。</w:t>
            </w:r>
          </w:p>
          <w:p>
            <w:pPr>
              <w:spacing w:after="40"/>
            </w:pPr>
            <w:r>
              <w:rPr>
                <w:rFonts w:ascii="宋体" w:hAnsi="宋体" w:eastAsia="宋体"/>
                <w:b w:val="0"/>
                <w:sz w:val="21"/>
              </w:rPr>
              <w:t>2. 检查基线区域，确认参与调度的计算节点均有当前视频参数对应的基线时延，并查看稳定/波动提示。</w:t>
            </w:r>
          </w:p>
          <w:p>
            <w:pPr>
              <w:spacing w:after="40"/>
            </w:pPr>
            <w:r>
              <w:rPr>
                <w:rFonts w:ascii="宋体" w:hAnsi="宋体" w:eastAsia="宋体"/>
                <w:b w:val="0"/>
                <w:sz w:val="21"/>
              </w:rPr>
              <w:t>3. 创建 30 个测评工单，系统生成当前视频AI推理正式验收轮次，并写入固定视频输入参数。</w:t>
            </w:r>
          </w:p>
          <w:p>
            <w:pPr>
              <w:spacing w:before="80" w:after="40"/>
            </w:pPr>
            <w:r>
              <w:rPr>
                <w:rFonts w:ascii="宋体" w:hAnsi="宋体" w:eastAsia="宋体"/>
                <w:b/>
                <w:sz w:val="19"/>
              </w:rPr>
              <w:t>图1-6-1 视频AI推理任务基线和固定测评参数</w:t>
            </w:r>
          </w:p>
          <w:p>
            <w:pPr>
              <w:jc w:val="center"/>
            </w:pPr>
            <w:r>
              <w:drawing>
                <wp:inline xmlns:a="http://schemas.openxmlformats.org/drawingml/2006/main" xmlns:pic="http://schemas.openxmlformats.org/drawingml/2006/picture">
                  <wp:extent cx="4800600" cy="2180272"/>
                  <wp:docPr id="5" name="Picture 5"/>
                  <wp:cNvGraphicFramePr>
                    <a:graphicFrameLocks noChangeAspect="1"/>
                  </wp:cNvGraphicFramePr>
                  <a:graphic>
                    <a:graphicData uri="http://schemas.openxmlformats.org/drawingml/2006/picture">
                      <pic:pic>
                        <pic:nvPicPr>
                          <pic:cNvPr id="0" name="video-benchmark-setup.png"/>
                          <pic:cNvPicPr/>
                        </pic:nvPicPr>
                        <pic:blipFill>
                          <a:blip r:embed="rId17"/>
                          <a:stretch>
                            <a:fillRect/>
                          </a:stretch>
                        </pic:blipFill>
                        <pic:spPr>
                          <a:xfrm>
                            <a:off x="0" y="0"/>
                            <a:ext cx="4800600" cy="2180272"/>
                          </a:xfrm>
                          <a:prstGeom prst="rect"/>
                        </pic:spPr>
                      </pic:pic>
                    </a:graphicData>
                  </a:graphic>
                </wp:inline>
              </w:drawing>
            </w:r>
          </w:p>
          <w:p>
            <w:pPr>
              <w:spacing w:after="40"/>
            </w:pPr>
            <w:r>
              <w:rPr>
                <w:rFonts w:ascii="宋体" w:hAnsi="宋体" w:eastAsia="宋体"/>
                <w:b w:val="0"/>
                <w:sz w:val="21"/>
              </w:rPr>
              <w:t>4. 路由模块写回 source、compute、sink 放置结果，compute 节点携带 GPU 分配信息；部署系统对 GPU 冲突进行兜底校验。</w:t>
            </w:r>
          </w:p>
          <w:p>
            <w:pPr>
              <w:spacing w:after="40"/>
            </w:pPr>
            <w:r>
              <w:rPr>
                <w:rFonts w:ascii="宋体" w:hAnsi="宋体" w:eastAsia="宋体"/>
                <w:b w:val="0"/>
                <w:sz w:val="21"/>
              </w:rPr>
              <w:t>5. 点击运行测评，系统按当前并发任务数小批次执行本轮工单，资源暂不可用时自动等待。</w:t>
            </w:r>
          </w:p>
          <w:p>
            <w:pPr>
              <w:spacing w:after="40"/>
            </w:pPr>
            <w:r>
              <w:rPr>
                <w:rFonts w:ascii="宋体" w:hAnsi="宋体" w:eastAsia="宋体"/>
                <w:b w:val="0"/>
                <w:sz w:val="21"/>
              </w:rPr>
              <w:t>6. source 节点读取固定测试视频并按 frame_stride 抽帧发送给 compute 节点。</w:t>
            </w:r>
          </w:p>
          <w:p>
            <w:pPr>
              <w:spacing w:after="40"/>
            </w:pPr>
            <w:r>
              <w:rPr>
                <w:rFonts w:ascii="宋体" w:hAnsi="宋体" w:eastAsia="宋体"/>
                <w:b w:val="0"/>
                <w:sz w:val="21"/>
              </w:rPr>
              <w:t>7. compute 节点加载 YOLOv5n 权重，跳过 warmup_frames 后统计 measured_frames 的逐帧推理时延，并生成中文分类标签和检测框。</w:t>
            </w:r>
          </w:p>
          <w:p>
            <w:pPr>
              <w:spacing w:after="40"/>
            </w:pPr>
            <w:r>
              <w:rPr>
                <w:rFonts w:ascii="宋体" w:hAnsi="宋体" w:eastAsia="宋体"/>
                <w:b w:val="0"/>
                <w:sz w:val="21"/>
              </w:rPr>
              <w:t>8. sink 节点汇总并上报 frame_latency_p90_ms、有效帧数、检测类别、画框坐标和带框预览图。</w:t>
            </w:r>
          </w:p>
          <w:p>
            <w:pPr>
              <w:spacing w:after="40"/>
            </w:pPr>
            <w:r>
              <w:rPr>
                <w:rFonts w:ascii="宋体" w:hAnsi="宋体" w:eastAsia="宋体"/>
                <w:b w:val="0"/>
                <w:sz w:val="21"/>
              </w:rPr>
              <w:t>9. 在测试工单列表中查看每个任务的 P90 帧推理时延、阈值和是否达标；视频时延越低越好，达标阈值按“节点基准 P90 时延 × 1.5”计算。</w:t>
            </w:r>
          </w:p>
          <w:p>
            <w:pPr>
              <w:spacing w:before="80" w:after="40"/>
            </w:pPr>
            <w:r>
              <w:rPr>
                <w:rFonts w:ascii="宋体" w:hAnsi="宋体" w:eastAsia="宋体"/>
                <w:b/>
                <w:sz w:val="19"/>
              </w:rPr>
              <w:t>图1-6-2 视频AI推理任务单工单帧时延结果表</w:t>
            </w:r>
          </w:p>
          <w:p>
            <w:pPr>
              <w:jc w:val="center"/>
            </w:pPr>
            <w:r>
              <w:drawing>
                <wp:inline xmlns:a="http://schemas.openxmlformats.org/drawingml/2006/main" xmlns:pic="http://schemas.openxmlformats.org/drawingml/2006/picture">
                  <wp:extent cx="4800600" cy="2180272"/>
                  <wp:docPr id="6" name="Picture 6"/>
                  <wp:cNvGraphicFramePr>
                    <a:graphicFrameLocks noChangeAspect="1"/>
                  </wp:cNvGraphicFramePr>
                  <a:graphic>
                    <a:graphicData uri="http://schemas.openxmlformats.org/drawingml/2006/picture">
                      <pic:pic>
                        <pic:nvPicPr>
                          <pic:cNvPr id="0" name="video-benchmark-result.png"/>
                          <pic:cNvPicPr/>
                        </pic:nvPicPr>
                        <pic:blipFill>
                          <a:blip r:embed="rId18"/>
                          <a:stretch>
                            <a:fillRect/>
                          </a:stretch>
                        </pic:blipFill>
                        <pic:spPr>
                          <a:xfrm>
                            <a:off x="0" y="0"/>
                            <a:ext cx="4800600" cy="2180272"/>
                          </a:xfrm>
                          <a:prstGeom prst="rect"/>
                        </pic:spPr>
                      </pic:pic>
                    </a:graphicData>
                  </a:graphic>
                </wp:inline>
              </w:drawing>
            </w:r>
          </w:p>
          <w:p>
            <w:pPr>
              <w:spacing w:after="40"/>
            </w:pPr>
            <w:r>
              <w:rPr>
                <w:rFonts w:ascii="宋体" w:hAnsi="宋体" w:eastAsia="宋体"/>
                <w:b w:val="0"/>
                <w:sz w:val="21"/>
              </w:rPr>
              <w:t>10. 系统按“业务目标成功率 = 达标任务数 / 可评价任务数 × 100%”汇总展示。正式留档需使用不少于 30 个可评价工单的验收轮次。</w:t>
            </w:r>
          </w:p>
          <w:p>
            <w:pPr>
              <w:spacing w:before="80" w:after="40"/>
            </w:pPr>
            <w:r>
              <w:rPr>
                <w:rFonts w:ascii="宋体" w:hAnsi="宋体" w:eastAsia="宋体"/>
                <w:b/>
                <w:sz w:val="19"/>
              </w:rPr>
              <w:t>图1-6-3 视频AI推理任务业务目标成功率汇总</w:t>
            </w:r>
          </w:p>
          <w:p>
            <w:pPr>
              <w:jc w:val="center"/>
            </w:pPr>
            <w:r>
              <w:drawing>
                <wp:inline xmlns:a="http://schemas.openxmlformats.org/drawingml/2006/main" xmlns:pic="http://schemas.openxmlformats.org/drawingml/2006/picture">
                  <wp:extent cx="4800600" cy="2180272"/>
                  <wp:docPr id="7" name="Picture 7"/>
                  <wp:cNvGraphicFramePr>
                    <a:graphicFrameLocks noChangeAspect="1"/>
                  </wp:cNvGraphicFramePr>
                  <a:graphic>
                    <a:graphicData uri="http://schemas.openxmlformats.org/drawingml/2006/picture">
                      <pic:pic>
                        <pic:nvPicPr>
                          <pic:cNvPr id="0" name="video-benchmark-evidence-table.png"/>
                          <pic:cNvPicPr/>
                        </pic:nvPicPr>
                        <pic:blipFill>
                          <a:blip r:embed="rId19"/>
                          <a:stretch>
                            <a:fillRect/>
                          </a:stretch>
                        </pic:blipFill>
                        <pic:spPr>
                          <a:xfrm>
                            <a:off x="0" y="0"/>
                            <a:ext cx="4800600" cy="2180272"/>
                          </a:xfrm>
                          <a:prstGeom prst="rect"/>
                        </pic:spPr>
                      </pic:pic>
                    </a:graphicData>
                  </a:graphic>
                </wp:inline>
              </w:drawing>
            </w:r>
          </w:p>
          <w:p>
            <w:pPr>
              <w:spacing w:after="40"/>
            </w:pPr>
            <w:r>
              <w:rPr>
                <w:rFonts w:ascii="宋体" w:hAnsi="宋体" w:eastAsia="宋体"/>
                <w:b w:val="0"/>
                <w:sz w:val="21"/>
              </w:rPr>
              <w:t>11. 展开工单详情，检查业务输入、路由放置、GPU 分配、部署状态、检测类别、画框坐标和带框预览图。</w:t>
            </w:r>
          </w:p>
          <w:p>
            <w:pPr>
              <w:spacing w:before="80" w:after="40"/>
            </w:pPr>
            <w:r>
              <w:rPr>
                <w:rFonts w:ascii="宋体" w:hAnsi="宋体" w:eastAsia="宋体"/>
                <w:b/>
                <w:sz w:val="19"/>
              </w:rPr>
              <w:t>图1-6-4 视频AI推理工单详情带框预览</w:t>
            </w:r>
          </w:p>
          <w:p>
            <w:pPr>
              <w:jc w:val="center"/>
            </w:pPr>
            <w:r>
              <w:drawing>
                <wp:inline xmlns:a="http://schemas.openxmlformats.org/drawingml/2006/main" xmlns:pic="http://schemas.openxmlformats.org/drawingml/2006/picture">
                  <wp:extent cx="4800600" cy="3162914"/>
                  <wp:docPr id="8" name="Picture 8"/>
                  <wp:cNvGraphicFramePr>
                    <a:graphicFrameLocks noChangeAspect="1"/>
                  </wp:cNvGraphicFramePr>
                  <a:graphic>
                    <a:graphicData uri="http://schemas.openxmlformats.org/drawingml/2006/picture">
                      <pic:pic>
                        <pic:nvPicPr>
                          <pic:cNvPr id="0" name="video-order-detail-result-preview.png"/>
                          <pic:cNvPicPr/>
                        </pic:nvPicPr>
                        <pic:blipFill>
                          <a:blip r:embed="rId20"/>
                          <a:stretch>
                            <a:fillRect/>
                          </a:stretch>
                        </pic:blipFill>
                        <pic:spPr>
                          <a:xfrm>
                            <a:off x="0" y="0"/>
                            <a:ext cx="4800600" cy="3162914"/>
                          </a:xfrm>
                          <a:prstGeom prst="rect"/>
                        </pic:spPr>
                      </pic:pic>
                    </a:graphicData>
                  </a:graphic>
                </wp:inline>
              </w:drawing>
            </w:r>
          </w:p>
        </w:tc>
      </w:tr>
      <w:tr>
        <w:tc>
          <w:tcPr>
            <w:tcW w:type="dxa" w:w="1800"/>
            <w:shd w:fill="EAF2F8"/>
          </w:tcPr>
          <w:p>
            <w:r/>
            <w:r>
              <w:rPr>
                <w:rFonts w:ascii="宋体" w:hAnsi="宋体" w:eastAsia="宋体"/>
                <w:b/>
                <w:sz w:val="21"/>
              </w:rPr>
              <w:t>预期结果</w:t>
            </w:r>
          </w:p>
        </w:tc>
        <w:tc>
          <w:tcPr>
            <w:tcW w:type="dxa" w:w="7800"/>
          </w:tcPr>
          <w:p>
            <w:r/>
            <w:r>
              <w:rPr>
                <w:rFonts w:ascii="宋体" w:hAnsi="宋体" w:eastAsia="宋体"/>
                <w:b w:val="0"/>
                <w:sz w:val="21"/>
              </w:rPr>
              <w:t>业务目标成功率不小于 90%，且已评估任务数不少于 30 个。</w:t>
            </w:r>
          </w:p>
        </w:tc>
      </w:tr>
      <w:tr>
        <w:tc>
          <w:tcPr>
            <w:tcW w:type="dxa" w:w="1800"/>
            <w:shd w:fill="EAF2F8"/>
          </w:tcPr>
          <w:p>
            <w:r/>
            <w:r>
              <w:rPr>
                <w:rFonts w:ascii="宋体" w:hAnsi="宋体" w:eastAsia="宋体"/>
                <w:b/>
                <w:sz w:val="21"/>
              </w:rPr>
              <w:t>测试结果</w:t>
            </w:r>
          </w:p>
        </w:tc>
        <w:tc>
          <w:tcPr>
            <w:tcW w:type="dxa" w:w="7800"/>
          </w:tcPr>
          <w:p>
            <w:r/>
            <w:r>
              <w:rPr>
                <w:rFonts w:ascii="宋体" w:hAnsi="宋体" w:eastAsia="宋体"/>
                <w:b w:val="0"/>
                <w:sz w:val="21"/>
              </w:rPr>
              <w:t>当前管理节点验收轮次 low_latency_video_pipeline-20260621133404 共 30 个工单，30 个可评价且全部达标，业务目标成功率为 100.0%，满足验收要求；工单详情可展示 YOLO 检测框、中文类别标签、GPU 分配和帧时延元数据。</w:t>
            </w:r>
          </w:p>
        </w:tc>
      </w:tr>
      <w:tr>
        <w:tc>
          <w:tcPr>
            <w:tcW w:type="dxa" w:w="1800"/>
            <w:shd w:fill="EAF2F8"/>
          </w:tcPr>
          <w:p>
            <w:r/>
            <w:r>
              <w:rPr>
                <w:rFonts w:ascii="宋体" w:hAnsi="宋体" w:eastAsia="宋体"/>
                <w:b/>
                <w:sz w:val="21"/>
              </w:rPr>
            </w:r>
          </w:p>
        </w:tc>
        <w:tc>
          <w:tcPr>
            <w:tcW w:type="dxa" w:w="7800"/>
          </w:tcPr>
          <w:p>
            <w:r/>
            <w:r>
              <w:rPr>
                <w:rFonts w:ascii="宋体" w:hAnsi="宋体" w:eastAsia="宋体"/>
                <w:b w:val="0"/>
                <w:sz w:val="21"/>
              </w:rPr>
              <w:t>截图已随测试步骤穿插留档，用于证明页面操作、单任务指标、成功率计算和任务工单详情。</w:t>
            </w:r>
          </w:p>
        </w:tc>
      </w:tr>
    </w:tbl>
    <w:p/>
    <w:p>
      <w:r>
        <w:rPr>
          <w:rFonts w:ascii="宋体" w:hAnsi="宋体" w:eastAsia="宋体"/>
          <w:b/>
          <w:sz w:val="28"/>
        </w:rPr>
        <w:t>3.2.1 用户意图解析功能测试</w:t>
      </w:r>
    </w:p>
    <w:p>
      <w:r>
        <w:rPr>
          <w:rFonts w:ascii="宋体" w:hAnsi="宋体" w:eastAsia="宋体"/>
          <w:b/>
          <w:sz w:val="22"/>
        </w:rPr>
        <w:t>表2-1 用户意图解析功能测试</w:t>
      </w:r>
    </w:p>
    <w:tbl>
      <w:tblPr>
        <w:tblStyle w:val="5"/>
        <w:tblW w:type="auto" w:w="0"/>
        <w:tblLayout w:type="fixed"/>
        <w:tblLook w:firstColumn="1" w:firstRow="1" w:lastColumn="0" w:lastRow="0" w:noHBand="0" w:noVBand="1" w:val="04A0"/>
      </w:tblPr>
      <w:tblGrid>
        <w:gridCol w:w="4801"/>
        <w:gridCol w:w="4801"/>
      </w:tblGrid>
      <w:tr>
        <w:tc>
          <w:tcPr>
            <w:tcW w:type="dxa" w:w="1800"/>
            <w:shd w:fill="EAF2F8"/>
          </w:tcPr>
          <w:p>
            <w:r/>
            <w:r>
              <w:rPr>
                <w:rFonts w:ascii="宋体" w:hAnsi="宋体" w:eastAsia="宋体"/>
                <w:b/>
                <w:sz w:val="21"/>
              </w:rPr>
              <w:t>用例编号</w:t>
            </w:r>
          </w:p>
        </w:tc>
        <w:tc>
          <w:tcPr>
            <w:tcW w:type="dxa" w:w="7800"/>
          </w:tcPr>
          <w:p>
            <w:r/>
            <w:r>
              <w:rPr>
                <w:rFonts w:ascii="宋体" w:hAnsi="宋体" w:eastAsia="宋体"/>
                <w:b w:val="0"/>
                <w:sz w:val="21"/>
              </w:rPr>
              <w:t>2-1</w:t>
            </w:r>
          </w:p>
        </w:tc>
      </w:tr>
      <w:tr>
        <w:tc>
          <w:tcPr>
            <w:tcW w:type="dxa" w:w="1800"/>
            <w:shd w:fill="EAF2F8"/>
          </w:tcPr>
          <w:p>
            <w:r/>
            <w:r>
              <w:rPr>
                <w:rFonts w:ascii="宋体" w:hAnsi="宋体" w:eastAsia="宋体"/>
                <w:b/>
                <w:sz w:val="21"/>
              </w:rPr>
              <w:t>测试目的</w:t>
            </w:r>
          </w:p>
        </w:tc>
        <w:tc>
          <w:tcPr>
            <w:tcW w:type="dxa" w:w="7800"/>
          </w:tcPr>
          <w:p>
            <w:r/>
            <w:r>
              <w:rPr>
                <w:rFonts w:ascii="宋体" w:hAnsi="宋体" w:eastAsia="宋体"/>
                <w:b w:val="0"/>
                <w:sz w:val="21"/>
              </w:rPr>
              <w:t>验证用户通过对话输入业务需求后，系统能够生成结构化解析结果，并完成工单提交。</w:t>
            </w:r>
          </w:p>
        </w:tc>
      </w:tr>
      <w:tr>
        <w:tc>
          <w:tcPr>
            <w:tcW w:type="dxa" w:w="1800"/>
            <w:shd w:fill="EAF2F8"/>
          </w:tcPr>
          <w:p>
            <w:r/>
            <w:r>
              <w:rPr>
                <w:rFonts w:ascii="宋体" w:hAnsi="宋体" w:eastAsia="宋体"/>
                <w:b/>
                <w:sz w:val="21"/>
              </w:rPr>
              <w:t>判定方法</w:t>
            </w:r>
          </w:p>
        </w:tc>
        <w:tc>
          <w:tcPr>
            <w:tcW w:type="dxa" w:w="7800"/>
          </w:tcPr>
          <w:p>
            <w:r/>
            <w:r>
              <w:rPr>
                <w:rFonts w:ascii="宋体" w:hAnsi="宋体" w:eastAsia="宋体"/>
                <w:b w:val="0"/>
                <w:sz w:val="21"/>
              </w:rPr>
              <w:t>本用例为功能性测试，不计算准确率；系统能够根据固定输入正常返回结构化解析结果并完成工单提交，即判定通过。</w:t>
            </w:r>
          </w:p>
        </w:tc>
      </w:tr>
      <w:tr>
        <w:tc>
          <w:tcPr>
            <w:tcW w:type="dxa" w:w="1800"/>
            <w:shd w:fill="EAF2F8"/>
          </w:tcPr>
          <w:p>
            <w:r/>
            <w:r>
              <w:rPr>
                <w:rFonts w:ascii="宋体" w:hAnsi="宋体" w:eastAsia="宋体"/>
                <w:b/>
                <w:sz w:val="21"/>
              </w:rPr>
              <w:t>前置条件</w:t>
            </w:r>
          </w:p>
        </w:tc>
        <w:tc>
          <w:tcPr>
            <w:tcW w:type="dxa" w:w="7800"/>
          </w:tcPr>
          <w:p>
            <w:r/>
            <w:r>
              <w:rPr>
                <w:rFonts w:ascii="宋体" w:hAnsi="宋体" w:eastAsia="宋体"/>
                <w:b w:val="0"/>
                <w:sz w:val="21"/>
              </w:rPr>
              <w:t>1. 系统管理端和用户端模块部署正常，用户已完成登录。</w:t>
            </w:r>
          </w:p>
          <w:p>
            <w:r>
              <w:rPr>
                <w:rFonts w:ascii="宋体" w:hAnsi="宋体" w:eastAsia="宋体"/>
                <w:b w:val="0"/>
                <w:sz w:val="21"/>
              </w:rPr>
              <w:t>2. 后端意图解析工作流可正常运行，已配置支持的业务类型、节点名称和参数校验规则。</w:t>
            </w:r>
          </w:p>
          <w:p>
            <w:r>
              <w:rPr>
                <w:rFonts w:ascii="宋体" w:hAnsi="宋体" w:eastAsia="宋体"/>
                <w:b w:val="0"/>
                <w:sz w:val="21"/>
              </w:rPr>
              <w:t>3. 系统中已维护 h1-h13 运营商端点和 compute-1~3 算力节点；用户输入的源/目的端点使用 h1-h13，算力节点由系统或路由模块分配。</w:t>
            </w:r>
          </w:p>
        </w:tc>
      </w:tr>
      <w:tr>
        <w:tc>
          <w:tcPr>
            <w:tcW w:type="dxa" w:w="1800"/>
            <w:shd w:fill="EAF2F8"/>
          </w:tcPr>
          <w:p>
            <w:r/>
            <w:r>
              <w:rPr>
                <w:rFonts w:ascii="宋体" w:hAnsi="宋体" w:eastAsia="宋体"/>
                <w:b/>
                <w:sz w:val="21"/>
              </w:rPr>
              <w:t>测试步骤</w:t>
            </w:r>
          </w:p>
        </w:tc>
        <w:tc>
          <w:tcPr>
            <w:tcW w:type="dxa" w:w="7800"/>
          </w:tcPr>
          <w:p>
            <w:r/>
          </w:p>
          <w:p>
            <w:pPr>
              <w:spacing w:after="40"/>
            </w:pPr>
            <w:r>
              <w:rPr>
                <w:rFonts w:ascii="宋体" w:hAnsi="宋体" w:eastAsia="宋体"/>
                <w:b w:val="0"/>
                <w:sz w:val="21"/>
              </w:rPr>
              <w:t>1. 用户进入意图对话页面。</w:t>
            </w:r>
          </w:p>
          <w:p>
            <w:pPr>
              <w:spacing w:after="40"/>
            </w:pPr>
            <w:r>
              <w:rPr>
                <w:rFonts w:ascii="宋体" w:hAnsi="宋体" w:eastAsia="宋体"/>
                <w:b w:val="0"/>
                <w:sz w:val="21"/>
              </w:rPr>
              <w:t>2. 输入完整测试文本：我想部署视频AI推理业务，从 h1 到 h2，使用 yolo 模型，分辨率 720p，抽取 100 帧，30fps，现在开始运行 10 分钟，采用低时延转发策略。</w:t>
            </w:r>
          </w:p>
          <w:p>
            <w:pPr>
              <w:spacing w:after="40"/>
            </w:pPr>
            <w:r>
              <w:rPr>
                <w:rFonts w:ascii="宋体" w:hAnsi="宋体" w:eastAsia="宋体"/>
                <w:b w:val="0"/>
                <w:sz w:val="21"/>
              </w:rPr>
              <w:t>3. 系统返回结构化解析结果，包括业务类型、所属模态、源端点、目的端点、业务时间窗口、任务参数和路由策略。</w:t>
            </w:r>
          </w:p>
          <w:p>
            <w:pPr>
              <w:spacing w:after="40"/>
            </w:pPr>
            <w:r>
              <w:rPr>
                <w:rFonts w:ascii="宋体" w:hAnsi="宋体" w:eastAsia="宋体"/>
                <w:b w:val="0"/>
                <w:sz w:val="21"/>
              </w:rPr>
              <w:t>4. 用户确认提交任务，系统生成工单并在工单中心展示任务状态。</w:t>
            </w:r>
          </w:p>
          <w:p>
            <w:pPr>
              <w:spacing w:before="80" w:after="40"/>
            </w:pPr>
            <w:r>
              <w:rPr>
                <w:rFonts w:ascii="宋体" w:hAnsi="宋体" w:eastAsia="宋体"/>
                <w:b/>
                <w:sz w:val="19"/>
              </w:rPr>
              <w:t>图2-1-1 用户意图对话与参数解析结果</w:t>
            </w:r>
          </w:p>
          <w:p>
            <w:pPr>
              <w:jc w:val="center"/>
            </w:pPr>
            <w:r>
              <w:drawing>
                <wp:inline xmlns:a="http://schemas.openxmlformats.org/drawingml/2006/main" xmlns:pic="http://schemas.openxmlformats.org/drawingml/2006/picture">
                  <wp:extent cx="4800600" cy="2700338"/>
                  <wp:docPr id="9" name="Picture 9"/>
                  <wp:cNvGraphicFramePr>
                    <a:graphicFrameLocks noChangeAspect="1"/>
                  </wp:cNvGraphicFramePr>
                  <a:graphic>
                    <a:graphicData uri="http://schemas.openxmlformats.org/drawingml/2006/picture">
                      <pic:pic>
                        <pic:nvPicPr>
                          <pic:cNvPr id="0" name="intent-chat-page.png"/>
                          <pic:cNvPicPr/>
                        </pic:nvPicPr>
                        <pic:blipFill>
                          <a:blip r:embed="rId21"/>
                          <a:stretch>
                            <a:fillRect/>
                          </a:stretch>
                        </pic:blipFill>
                        <pic:spPr>
                          <a:xfrm>
                            <a:off x="0" y="0"/>
                            <a:ext cx="4800600" cy="2700338"/>
                          </a:xfrm>
                          <a:prstGeom prst="rect"/>
                        </pic:spPr>
                      </pic:pic>
                    </a:graphicData>
                  </a:graphic>
                </wp:inline>
              </w:drawing>
            </w:r>
          </w:p>
          <w:p>
            <w:pPr>
              <w:spacing w:after="40"/>
            </w:pPr>
            <w:r>
              <w:rPr>
                <w:rFonts w:ascii="宋体" w:hAnsi="宋体" w:eastAsia="宋体"/>
                <w:b w:val="0"/>
                <w:sz w:val="21"/>
              </w:rPr>
              <w:t>5. 新建对话，输入缺失参数测试文本：我想做矩阵乘法任务，从 h1 到 h2，1024 阶矩阵，50 批。确认系统提示需要补充业务运行时间，且补齐前不能提交工单。</w:t>
            </w:r>
          </w:p>
          <w:p>
            <w:pPr>
              <w:spacing w:after="40"/>
            </w:pPr>
            <w:r>
              <w:rPr>
                <w:rFonts w:ascii="宋体" w:hAnsi="宋体" w:eastAsia="宋体"/>
                <w:b w:val="0"/>
                <w:sz w:val="21"/>
              </w:rPr>
              <w:t>6. 继续补充：现在开始运行 10 分钟。确认系统合并上一轮草稿并允许提交。</w:t>
            </w:r>
          </w:p>
          <w:p>
            <w:pPr>
              <w:spacing w:after="40"/>
            </w:pPr>
            <w:r>
              <w:rPr>
                <w:rFonts w:ascii="宋体" w:hAnsi="宋体" w:eastAsia="宋体"/>
                <w:b w:val="0"/>
                <w:sz w:val="21"/>
              </w:rPr>
              <w:t>7. 新建对话，输入非法节点测试文本：从 compute-1 到 h2 做矩阵乘法任务，1024 阶矩阵，50 批，现在开始运行 10 分钟。确认系统提示源端点不合法或不能使用计算节点作为用户源/目的端点，且不能提交工单。</w:t>
            </w:r>
          </w:p>
          <w:p>
            <w:pPr>
              <w:spacing w:after="40"/>
            </w:pPr>
            <w:r>
              <w:rPr>
                <w:rFonts w:ascii="宋体" w:hAnsi="宋体" w:eastAsia="宋体"/>
                <w:b w:val="0"/>
                <w:sz w:val="21"/>
              </w:rPr>
              <w:t>8. 新建对话，输入非法参数测试文本：从 h1 到 h2 做视频AI推理，720p，抽取 100 帧，500fps，现在开始运行 10 分钟。确认系统提示参数不合理，要求修正后才能提交。</w:t>
            </w:r>
          </w:p>
        </w:tc>
      </w:tr>
      <w:tr>
        <w:tc>
          <w:tcPr>
            <w:tcW w:type="dxa" w:w="1800"/>
            <w:shd w:fill="EAF2F8"/>
          </w:tcPr>
          <w:p>
            <w:r/>
            <w:r>
              <w:rPr>
                <w:rFonts w:ascii="宋体" w:hAnsi="宋体" w:eastAsia="宋体"/>
                <w:b/>
                <w:sz w:val="21"/>
              </w:rPr>
              <w:t>预期结果</w:t>
            </w:r>
          </w:p>
        </w:tc>
        <w:tc>
          <w:tcPr>
            <w:tcW w:type="dxa" w:w="7800"/>
          </w:tcPr>
          <w:p>
            <w:r/>
            <w:r>
              <w:rPr>
                <w:rFonts w:ascii="宋体" w:hAnsi="宋体" w:eastAsia="宋体"/>
                <w:b w:val="0"/>
                <w:sz w:val="21"/>
              </w:rPr>
              <w:t>系统能够完成完整输入解析和工单提交；对缺失参数能够追问补全；对不存在节点、计算节点误填为源/目的端点、明显不合理参数能够给出中文提示并阻止提交。</w:t>
            </w:r>
          </w:p>
        </w:tc>
      </w:tr>
      <w:tr>
        <w:tc>
          <w:tcPr>
            <w:tcW w:type="dxa" w:w="1800"/>
            <w:shd w:fill="EAF2F8"/>
          </w:tcPr>
          <w:p>
            <w:r/>
            <w:r>
              <w:rPr>
                <w:rFonts w:ascii="宋体" w:hAnsi="宋体" w:eastAsia="宋体"/>
                <w:b/>
                <w:sz w:val="21"/>
              </w:rPr>
              <w:t>测试结果</w:t>
            </w:r>
          </w:p>
        </w:tc>
        <w:tc>
          <w:tcPr>
            <w:tcW w:type="dxa" w:w="7800"/>
          </w:tcPr>
          <w:p>
            <w:r/>
            <w:r>
              <w:rPr>
                <w:rFonts w:ascii="宋体" w:hAnsi="宋体" w:eastAsia="宋体"/>
                <w:b w:val="0"/>
                <w:sz w:val="21"/>
              </w:rPr>
              <w:t>当前系统已实现意图对话、参数草稿、多轮补全、节点与参数校验、确认提交、工单生成和路由请求记录；正式验收时保存对话页面、结构化参数、缺参/非法值提示和工单详情截图。</w:t>
            </w:r>
          </w:p>
        </w:tc>
      </w:tr>
      <w:tr>
        <w:tc>
          <w:tcPr>
            <w:tcW w:type="dxa" w:w="1800"/>
            <w:shd w:fill="EAF2F8"/>
          </w:tcPr>
          <w:p>
            <w:r/>
            <w:r>
              <w:rPr>
                <w:rFonts w:ascii="宋体" w:hAnsi="宋体" w:eastAsia="宋体"/>
                <w:b/>
                <w:sz w:val="21"/>
              </w:rPr>
            </w:r>
          </w:p>
        </w:tc>
        <w:tc>
          <w:tcPr>
            <w:tcW w:type="dxa" w:w="7800"/>
          </w:tcPr>
          <w:p>
            <w:r/>
            <w:r>
              <w:rPr>
                <w:rFonts w:ascii="宋体" w:hAnsi="宋体" w:eastAsia="宋体"/>
                <w:b w:val="0"/>
                <w:sz w:val="21"/>
              </w:rPr>
              <w:t>截图已随测试步骤穿插留档，用于证明页面操作、单任务指标、成功率计算和任务工单详情。</w:t>
            </w:r>
          </w:p>
        </w:tc>
      </w:tr>
    </w:tbl>
    <w:p/>
    <w:p>
      <w:r>
        <w:rPr>
          <w:rFonts w:ascii="宋体" w:hAnsi="宋体" w:eastAsia="宋体"/>
          <w:b/>
          <w:sz w:val="28"/>
        </w:rPr>
        <w:t>3.2.2 意图解析参数提取准确率测试</w:t>
      </w:r>
    </w:p>
    <w:p>
      <w:r>
        <w:rPr>
          <w:rFonts w:ascii="宋体" w:hAnsi="宋体" w:eastAsia="宋体"/>
          <w:b/>
          <w:sz w:val="22"/>
        </w:rPr>
        <w:t>表2-2 意图解析参数提取准确率测试</w:t>
      </w:r>
    </w:p>
    <w:tbl>
      <w:tblPr>
        <w:tblStyle w:val="5"/>
        <w:tblW w:type="auto" w:w="0"/>
        <w:tblLayout w:type="fixed"/>
        <w:tblLook w:firstColumn="1" w:firstRow="1" w:lastColumn="0" w:lastRow="0" w:noHBand="0" w:noVBand="1" w:val="04A0"/>
      </w:tblPr>
      <w:tblGrid>
        <w:gridCol w:w="4801"/>
        <w:gridCol w:w="4801"/>
      </w:tblGrid>
      <w:tr>
        <w:tc>
          <w:tcPr>
            <w:tcW w:type="dxa" w:w="1800"/>
            <w:shd w:fill="EAF2F8"/>
          </w:tcPr>
          <w:p>
            <w:r/>
            <w:r>
              <w:rPr>
                <w:rFonts w:ascii="宋体" w:hAnsi="宋体" w:eastAsia="宋体"/>
                <w:b/>
                <w:sz w:val="21"/>
              </w:rPr>
              <w:t>用例编号</w:t>
            </w:r>
          </w:p>
        </w:tc>
        <w:tc>
          <w:tcPr>
            <w:tcW w:type="dxa" w:w="7800"/>
          </w:tcPr>
          <w:p>
            <w:r/>
            <w:r>
              <w:rPr>
                <w:rFonts w:ascii="宋体" w:hAnsi="宋体" w:eastAsia="宋体"/>
                <w:b w:val="0"/>
                <w:sz w:val="21"/>
              </w:rPr>
              <w:t>2-2</w:t>
            </w:r>
          </w:p>
        </w:tc>
      </w:tr>
      <w:tr>
        <w:tc>
          <w:tcPr>
            <w:tcW w:type="dxa" w:w="1800"/>
            <w:shd w:fill="EAF2F8"/>
          </w:tcPr>
          <w:p>
            <w:r/>
            <w:r>
              <w:rPr>
                <w:rFonts w:ascii="宋体" w:hAnsi="宋体" w:eastAsia="宋体"/>
                <w:b/>
                <w:sz w:val="21"/>
              </w:rPr>
              <w:t>测试目的</w:t>
            </w:r>
          </w:p>
        </w:tc>
        <w:tc>
          <w:tcPr>
            <w:tcW w:type="dxa" w:w="7800"/>
          </w:tcPr>
          <w:p>
            <w:r/>
            <w:r>
              <w:rPr>
                <w:rFonts w:ascii="宋体" w:hAnsi="宋体" w:eastAsia="宋体"/>
                <w:b w:val="0"/>
                <w:sz w:val="21"/>
              </w:rPr>
              <w:t>验证固定数据集下意图解析参数提取准确率达到不低于 90% 的验收要求。</w:t>
            </w:r>
          </w:p>
        </w:tc>
      </w:tr>
      <w:tr>
        <w:tc>
          <w:tcPr>
            <w:tcW w:type="dxa" w:w="1800"/>
            <w:shd w:fill="EAF2F8"/>
          </w:tcPr>
          <w:p>
            <w:r/>
            <w:r>
              <w:rPr>
                <w:rFonts w:ascii="宋体" w:hAnsi="宋体" w:eastAsia="宋体"/>
                <w:b/>
                <w:sz w:val="21"/>
              </w:rPr>
              <w:t>测试指标</w:t>
            </w:r>
          </w:p>
        </w:tc>
        <w:tc>
          <w:tcPr>
            <w:tcW w:type="dxa" w:w="7800"/>
          </w:tcPr>
          <w:p>
            <w:r/>
            <w:r>
              <w:rPr>
                <w:rFonts w:ascii="宋体" w:hAnsi="宋体" w:eastAsia="宋体"/>
                <w:b w:val="0"/>
                <w:sz w:val="21"/>
              </w:rPr>
              <w:t>意图解析参数提取准确率，用于衡量系统从自然语言需求中提取关键任务参数的正确程度。</w:t>
            </w:r>
          </w:p>
        </w:tc>
      </w:tr>
      <w:tr>
        <w:tc>
          <w:tcPr>
            <w:tcW w:type="dxa" w:w="1800"/>
            <w:shd w:fill="EAF2F8"/>
          </w:tcPr>
          <w:p>
            <w:r/>
            <w:r>
              <w:rPr>
                <w:rFonts w:ascii="宋体" w:hAnsi="宋体" w:eastAsia="宋体"/>
                <w:b/>
                <w:sz w:val="21"/>
              </w:rPr>
              <w:t>判定方法</w:t>
            </w:r>
          </w:p>
        </w:tc>
        <w:tc>
          <w:tcPr>
            <w:tcW w:type="dxa" w:w="7800"/>
          </w:tcPr>
          <w:p>
            <w:r/>
            <w:r>
              <w:rPr>
                <w:rFonts w:ascii="宋体" w:hAnsi="宋体" w:eastAsia="宋体"/>
                <w:b w:val="0"/>
                <w:sz w:val="21"/>
              </w:rPr>
              <w:t>单条样本的关键字段与人工标注结果一致时，判定该样本正确；期望缺失的字段不应被系统幻觉补全。</w:t>
            </w:r>
          </w:p>
        </w:tc>
      </w:tr>
      <w:tr>
        <w:tc>
          <w:tcPr>
            <w:tcW w:type="dxa" w:w="1800"/>
            <w:shd w:fill="EAF2F8"/>
          </w:tcPr>
          <w:p>
            <w:r/>
            <w:r>
              <w:rPr>
                <w:rFonts w:ascii="宋体" w:hAnsi="宋体" w:eastAsia="宋体"/>
                <w:b/>
                <w:sz w:val="21"/>
              </w:rPr>
              <w:t>统计口径</w:t>
            </w:r>
          </w:p>
        </w:tc>
        <w:tc>
          <w:tcPr>
            <w:tcW w:type="dxa" w:w="7800"/>
          </w:tcPr>
          <w:p>
            <w:r/>
            <w:r>
              <w:rPr>
                <w:rFonts w:ascii="宋体" w:hAnsi="宋体" w:eastAsia="宋体"/>
                <w:b w:val="0"/>
                <w:sz w:val="21"/>
              </w:rPr>
              <w:t>参数提取准确率 = 正确样本数 / 总样本数 × 100%；正式验收要求准确率不低于 90%。</w:t>
            </w:r>
          </w:p>
        </w:tc>
      </w:tr>
      <w:tr>
        <w:tc>
          <w:tcPr>
            <w:tcW w:type="dxa" w:w="1800"/>
            <w:shd w:fill="EAF2F8"/>
          </w:tcPr>
          <w:p>
            <w:r/>
            <w:r>
              <w:rPr>
                <w:rFonts w:ascii="宋体" w:hAnsi="宋体" w:eastAsia="宋体"/>
                <w:b/>
                <w:sz w:val="21"/>
              </w:rPr>
              <w:t>前置条件</w:t>
            </w:r>
          </w:p>
        </w:tc>
        <w:tc>
          <w:tcPr>
            <w:tcW w:type="dxa" w:w="7800"/>
          </w:tcPr>
          <w:p>
            <w:r/>
            <w:r>
              <w:rPr>
                <w:rFonts w:ascii="宋体" w:hAnsi="宋体" w:eastAsia="宋体"/>
                <w:b w:val="0"/>
                <w:sz w:val="21"/>
              </w:rPr>
              <w:t>1. 管理员已登录系统，意图评测页面可正常访问。</w:t>
            </w:r>
          </w:p>
          <w:p>
            <w:r>
              <w:rPr>
                <w:rFonts w:ascii="宋体" w:hAnsi="宋体" w:eastAsia="宋体"/>
                <w:b w:val="0"/>
                <w:sz w:val="21"/>
              </w:rPr>
              <w:t>2. 已准备固定意图解析数据集，数据集由自然语言业务需求文本和人工标注结果组成，覆盖不同业务类型、模态、完整输入和缺失参数等常见情况。</w:t>
            </w:r>
          </w:p>
          <w:p>
            <w:r>
              <w:rPr>
                <w:rFonts w:ascii="宋体" w:hAnsi="宋体" w:eastAsia="宋体"/>
                <w:b w:val="0"/>
                <w:sz w:val="21"/>
              </w:rPr>
              <w:t>3. 在线大模型/智能体评测所需模型配置可用。</w:t>
            </w:r>
          </w:p>
        </w:tc>
      </w:tr>
      <w:tr>
        <w:tc>
          <w:tcPr>
            <w:tcW w:type="dxa" w:w="1800"/>
            <w:shd w:fill="EAF2F8"/>
          </w:tcPr>
          <w:p>
            <w:r/>
            <w:r>
              <w:rPr>
                <w:rFonts w:ascii="宋体" w:hAnsi="宋体" w:eastAsia="宋体"/>
                <w:b/>
                <w:sz w:val="21"/>
              </w:rPr>
              <w:t>测试步骤</w:t>
            </w:r>
          </w:p>
        </w:tc>
        <w:tc>
          <w:tcPr>
            <w:tcW w:type="dxa" w:w="7800"/>
          </w:tcPr>
          <w:p>
            <w:r/>
          </w:p>
          <w:p>
            <w:pPr>
              <w:spacing w:after="40"/>
            </w:pPr>
            <w:r>
              <w:rPr>
                <w:rFonts w:ascii="宋体" w:hAnsi="宋体" w:eastAsia="宋体"/>
                <w:b w:val="0"/>
                <w:sz w:val="21"/>
              </w:rPr>
              <w:t>1. 管理员进入意图评测页面，确认固定数据集规模和验收目标。</w:t>
            </w:r>
          </w:p>
          <w:p>
            <w:pPr>
              <w:spacing w:after="40"/>
            </w:pPr>
            <w:r>
              <w:rPr>
                <w:rFonts w:ascii="宋体" w:hAnsi="宋体" w:eastAsia="宋体"/>
                <w:b w:val="0"/>
                <w:sz w:val="21"/>
              </w:rPr>
              <w:t>2. 选择在线评测模型，运行智能体/大模型意图解析评测。</w:t>
            </w:r>
          </w:p>
          <w:p>
            <w:pPr>
              <w:spacing w:after="40"/>
            </w:pPr>
            <w:r>
              <w:rPr>
                <w:rFonts w:ascii="宋体" w:hAnsi="宋体" w:eastAsia="宋体"/>
                <w:b w:val="0"/>
                <w:sz w:val="21"/>
              </w:rPr>
              <w:t>3. 系统逐条调用在线接口完成数据集评测，展示评测编号、模型名称、总样本数、正确样本数和准确率。</w:t>
            </w:r>
          </w:p>
          <w:p>
            <w:pPr>
              <w:spacing w:after="40"/>
            </w:pPr>
            <w:r>
              <w:rPr>
                <w:rFonts w:ascii="宋体" w:hAnsi="宋体" w:eastAsia="宋体"/>
                <w:b w:val="0"/>
                <w:sz w:val="21"/>
              </w:rPr>
              <w:t>4. 系统按样本类型和字段展示准确率统计，便于定位失败样本和易错字段。</w:t>
            </w:r>
          </w:p>
          <w:p>
            <w:pPr>
              <w:spacing w:before="80" w:after="40"/>
            </w:pPr>
            <w:r>
              <w:rPr>
                <w:rFonts w:ascii="宋体" w:hAnsi="宋体" w:eastAsia="宋体"/>
                <w:b/>
                <w:sz w:val="19"/>
              </w:rPr>
              <w:t>图2-2-1 意图解析参数提取准确率评测看板</w:t>
            </w:r>
          </w:p>
          <w:p>
            <w:pPr>
              <w:jc w:val="center"/>
            </w:pPr>
            <w:r>
              <w:drawing>
                <wp:inline xmlns:a="http://schemas.openxmlformats.org/drawingml/2006/main" xmlns:pic="http://schemas.openxmlformats.org/drawingml/2006/picture">
                  <wp:extent cx="4800600" cy="2194560"/>
                  <wp:docPr id="10" name="Picture 10"/>
                  <wp:cNvGraphicFramePr>
                    <a:graphicFrameLocks noChangeAspect="1"/>
                  </wp:cNvGraphicFramePr>
                  <a:graphic>
                    <a:graphicData uri="http://schemas.openxmlformats.org/drawingml/2006/picture">
                      <pic:pic>
                        <pic:nvPicPr>
                          <pic:cNvPr id="0" name="intent-evaluation-dashboard.png"/>
                          <pic:cNvPicPr/>
                        </pic:nvPicPr>
                        <pic:blipFill>
                          <a:blip r:embed="rId22"/>
                          <a:stretch>
                            <a:fillRect/>
                          </a:stretch>
                        </pic:blipFill>
                        <pic:spPr>
                          <a:xfrm>
                            <a:off x="0" y="0"/>
                            <a:ext cx="4800600" cy="2194560"/>
                          </a:xfrm>
                          <a:prstGeom prst="rect"/>
                        </pic:spPr>
                      </pic:pic>
                    </a:graphicData>
                  </a:graphic>
                </wp:inline>
              </w:drawing>
            </w:r>
          </w:p>
          <w:p>
            <w:pPr>
              <w:spacing w:after="40"/>
            </w:pPr>
            <w:r>
              <w:rPr>
                <w:rFonts w:ascii="宋体" w:hAnsi="宋体" w:eastAsia="宋体"/>
                <w:b w:val="0"/>
                <w:sz w:val="21"/>
              </w:rPr>
              <w:t>5. 打开评测样本列表，查看样本输入、解析结果、期望结果、字段判定和失败字段。</w:t>
            </w:r>
          </w:p>
          <w:p>
            <w:pPr>
              <w:spacing w:before="80" w:after="40"/>
            </w:pPr>
            <w:r>
              <w:rPr>
                <w:rFonts w:ascii="宋体" w:hAnsi="宋体" w:eastAsia="宋体"/>
                <w:b/>
                <w:sz w:val="19"/>
              </w:rPr>
              <w:t>图2-2-2 意图解析评测样本明细</w:t>
            </w:r>
          </w:p>
          <w:p>
            <w:pPr>
              <w:jc w:val="center"/>
            </w:pPr>
            <w:r>
              <w:drawing>
                <wp:inline xmlns:a="http://schemas.openxmlformats.org/drawingml/2006/main" xmlns:pic="http://schemas.openxmlformats.org/drawingml/2006/picture">
                  <wp:extent cx="4800600" cy="2194560"/>
                  <wp:docPr id="11" name="Picture 11"/>
                  <wp:cNvGraphicFramePr>
                    <a:graphicFrameLocks noChangeAspect="1"/>
                  </wp:cNvGraphicFramePr>
                  <a:graphic>
                    <a:graphicData uri="http://schemas.openxmlformats.org/drawingml/2006/picture">
                      <pic:pic>
                        <pic:nvPicPr>
                          <pic:cNvPr id="0" name="intent-evaluation-samples.png"/>
                          <pic:cNvPicPr/>
                        </pic:nvPicPr>
                        <pic:blipFill>
                          <a:blip r:embed="rId23"/>
                          <a:stretch>
                            <a:fillRect/>
                          </a:stretch>
                        </pic:blipFill>
                        <pic:spPr>
                          <a:xfrm>
                            <a:off x="0" y="0"/>
                            <a:ext cx="4800600" cy="2194560"/>
                          </a:xfrm>
                          <a:prstGeom prst="rect"/>
                        </pic:spPr>
                      </pic:pic>
                    </a:graphicData>
                  </a:graphic>
                </wp:inline>
              </w:drawing>
            </w:r>
          </w:p>
        </w:tc>
      </w:tr>
      <w:tr>
        <w:tc>
          <w:tcPr>
            <w:tcW w:type="dxa" w:w="1800"/>
            <w:shd w:fill="EAF2F8"/>
          </w:tcPr>
          <w:p>
            <w:r/>
            <w:r>
              <w:rPr>
                <w:rFonts w:ascii="宋体" w:hAnsi="宋体" w:eastAsia="宋体"/>
                <w:b/>
                <w:sz w:val="21"/>
              </w:rPr>
              <w:t>预期结果</w:t>
            </w:r>
          </w:p>
        </w:tc>
        <w:tc>
          <w:tcPr>
            <w:tcW w:type="dxa" w:w="7800"/>
          </w:tcPr>
          <w:p>
            <w:r/>
            <w:r>
              <w:rPr>
                <w:rFonts w:ascii="宋体" w:hAnsi="宋体" w:eastAsia="宋体"/>
                <w:b w:val="0"/>
                <w:sz w:val="21"/>
              </w:rPr>
              <w:t>参数提取准确率不小于 90%。</w:t>
            </w:r>
          </w:p>
        </w:tc>
      </w:tr>
      <w:tr>
        <w:tc>
          <w:tcPr>
            <w:tcW w:type="dxa" w:w="1800"/>
            <w:shd w:fill="EAF2F8"/>
          </w:tcPr>
          <w:p>
            <w:r/>
            <w:r>
              <w:rPr>
                <w:rFonts w:ascii="宋体" w:hAnsi="宋体" w:eastAsia="宋体"/>
                <w:b/>
                <w:sz w:val="21"/>
              </w:rPr>
              <w:t>测试结果</w:t>
            </w:r>
          </w:p>
        </w:tc>
        <w:tc>
          <w:tcPr>
            <w:tcW w:type="dxa" w:w="7800"/>
          </w:tcPr>
          <w:p>
            <w:r/>
            <w:r>
              <w:rPr>
                <w:rFonts w:ascii="宋体" w:hAnsi="宋体" w:eastAsia="宋体"/>
                <w:b w:val="0"/>
                <w:sz w:val="21"/>
              </w:rPr>
              <w:t>已在管理节点使用在线大模型/智能体对 360 条固定数据集完成逐条评测，正确 349 条，准确率 96.9%，达到 ≥90% 验收目标；评测编号为 online-eval-20260621-003559-2794dec2。</w:t>
            </w:r>
          </w:p>
        </w:tc>
      </w:tr>
      <w:tr>
        <w:tc>
          <w:tcPr>
            <w:tcW w:type="dxa" w:w="1800"/>
            <w:shd w:fill="EAF2F8"/>
          </w:tcPr>
          <w:p>
            <w:r/>
            <w:r>
              <w:rPr>
                <w:rFonts w:ascii="宋体" w:hAnsi="宋体" w:eastAsia="宋体"/>
                <w:b/>
                <w:sz w:val="21"/>
              </w:rPr>
            </w:r>
          </w:p>
        </w:tc>
        <w:tc>
          <w:tcPr>
            <w:tcW w:type="dxa" w:w="7800"/>
          </w:tcPr>
          <w:p>
            <w:r/>
            <w:r>
              <w:rPr>
                <w:rFonts w:ascii="宋体" w:hAnsi="宋体" w:eastAsia="宋体"/>
                <w:b w:val="0"/>
                <w:sz w:val="21"/>
              </w:rPr>
              <w:t>截图已随测试步骤穿插留档，用于证明页面操作、单任务指标、成功率计算和任务工单详情。</w:t>
            </w:r>
          </w:p>
        </w:tc>
      </w:tr>
    </w:tbl>
    <w:p/>
    <w:sectPr>
      <w:pgSz w:w="11906" w:h="16838"/>
      <w:pgMar w:top="1152" w:right="1152" w:bottom="1152" w:left="1152"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仿宋">
    <w:altName w:val="方正仿宋_GBK"/>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E52FC"/>
    <w:multiLevelType w:val="singleLevel"/>
    <w:tmpl w:val="931E52FC"/>
    <w:lvl w:ilvl="0" w:tentative="0">
      <w:start w:val="1"/>
      <w:numFmt w:val="decimal"/>
      <w:suff w:val="nothing"/>
      <w:lvlText w:val="（%1）"/>
      <w:lvlJc w:val="left"/>
    </w:lvl>
  </w:abstractNum>
  <w:abstractNum w:abstractNumId="1">
    <w:nsid w:val="037C693E"/>
    <w:multiLevelType w:val="multilevel"/>
    <w:tmpl w:val="037C693E"/>
    <w:lvl w:ilvl="0" w:tentative="0">
      <w:start w:val="1"/>
      <w:numFmt w:val="decimalEnclosedCircle"/>
      <w:lvlText w:val="%1"/>
      <w:lvlJc w:val="left"/>
      <w:pPr>
        <w:ind w:left="360" w:hanging="360"/>
      </w:pPr>
      <w:rPr>
        <w:rFonts w:hint="default" w:ascii="宋体" w:hAnsi="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92C2FA7"/>
    <w:multiLevelType w:val="multilevel"/>
    <w:tmpl w:val="292C2F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670"/>
    <w:rsid w:val="000E4670"/>
    <w:rsid w:val="00265288"/>
    <w:rsid w:val="00905783"/>
    <w:rsid w:val="00FA5404"/>
    <w:rsid w:val="D1FEB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3"/>
    <w:basedOn w:val="1"/>
    <w:next w:val="1"/>
    <w:link w:val="7"/>
    <w:unhideWhenUsed/>
    <w:qFormat/>
    <w:uiPriority w:val="9"/>
    <w:pPr>
      <w:keepNext/>
      <w:keepLines/>
      <w:spacing w:before="260" w:after="260" w:line="413" w:lineRule="auto"/>
      <w:outlineLvl w:val="2"/>
    </w:pPr>
    <w:rPr>
      <w:b/>
      <w:sz w:val="32"/>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qFormat/>
    <w:uiPriority w:val="99"/>
    <w:pPr>
      <w:widowControl/>
      <w:spacing w:before="100" w:beforeAutospacing="1" w:after="100" w:afterAutospacing="1"/>
      <w:jc w:val="left"/>
    </w:pPr>
    <w:rPr>
      <w:rFonts w:ascii="Arial Unicode MS" w:hAnsi="Arial Unicode MS" w:eastAsia="Arial Unicode MS" w:cs="Arial Unicode MS"/>
      <w:kern w:val="0"/>
    </w:rPr>
  </w:style>
  <w:style w:type="table" w:styleId="5">
    <w:name w:val="Table Grid"/>
    <w:basedOn w:val="4"/>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标题 3 字符"/>
    <w:basedOn w:val="6"/>
    <w:link w:val="2"/>
    <w:uiPriority w:val="9"/>
    <w:rPr>
      <w:rFonts w:ascii="Times New Roman" w:hAnsi="Times New Roman" w:eastAsia="宋体"/>
      <w:b/>
      <w:sz w:val="32"/>
      <w:szCs w:val="24"/>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672</Words>
  <Characters>3834</Characters>
  <Lines>31</Lines>
  <Paragraphs>8</Paragraphs>
  <TotalTime>0</TotalTime>
  <ScaleCrop>false</ScaleCrop>
  <LinksUpToDate>false</LinksUpToDate>
  <CharactersWithSpaces>4498</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2026-05-26T11:40:00Z</dcterms:created>
  <dc:creator>lord deer</dc:creator>
  <cp:lastModifiedBy>张嘉梁</cp:lastModifiedBy>
  <dcterms:modified xsi:type="dcterms:W3CDTF">2026-06-08T15:26:31Z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7797F5A7EBECD6B4A76E266A0F2E97E6_42</vt:lpwstr>
  </property>
</Properties>
</file>