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240"/>
        <w:jc w:val="center"/>
      </w:pPr>
      <w:r>
        <w:rPr>
          <w:rFonts w:ascii="宋体" w:hAnsi="宋体" w:eastAsia="宋体"/>
          <w:b/>
          <w:sz w:val="36"/>
        </w:rPr>
        <w:t>智联计算系统测试方案（正式修订版）</w:t>
      </w:r>
    </w:p>
    <w:p>
      <w:r>
        <w:rPr>
          <w:rFonts w:ascii="宋体" w:hAnsi="宋体" w:eastAsia="宋体"/>
          <w:b w:val="0"/>
          <w:sz w:val="21"/>
        </w:rPr>
        <w:t>本文档仅保留当前负责的两个验收指标相关测试用例：业务目标成功率和意图解析参数提取准确率。测试业务参数采用固定输入，任务开始与结束时间由系统工单字段填写，不采用人工计时；页面需展示每个任务的指标结果、阈值、是否达标和汇总成功率计算过程。</w:t>
      </w:r>
    </w:p>
    <w:p>
      <w:r>
        <w:rPr>
          <w:rFonts w:ascii="宋体" w:hAnsi="宋体" w:eastAsia="宋体"/>
          <w:b/>
          <w:sz w:val="28"/>
        </w:rPr>
        <w:t>3.1.5 矩阵乘法计算业务目标成功率测试</w:t>
      </w:r>
    </w:p>
    <w:p>
      <w:r>
        <w:rPr>
          <w:rFonts w:ascii="宋体" w:hAnsi="宋体" w:eastAsia="宋体"/>
          <w:b/>
          <w:sz w:val="22"/>
        </w:rPr>
        <w:t>表1-5 矩阵乘法计算业务目标成功率测试</w:t>
      </w:r>
    </w:p>
    <w:tbl>
      <w:tblPr>
        <w:tblStyle w:val="5"/>
        <w:tblW w:type="auto" w:w="0"/>
        <w:tblLayout w:type="fixed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用例编号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1-5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测试目的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验证高通量计算模态下矩阵乘法计算业务目标成功率，并证明系统能够展示单任务计算速率指标和成功率计算过程。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组网拓扑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见本测试方案统一组网拓扑。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前置条件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 按统一组网拓扑完成智联计算系统部署，管理端、前端、任务编排服务、节点代理和数据库均正常运行。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2. 已准备矩阵乘法计算任务模板，业务数据按 source → compute → sink 链路流转。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3. 已在参与调度的算力节点上完成相同固定参数的历史基线测试。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4. 测试参数固定为 matrix_size=1024、batch_count=50、observation_duration_sec=10、min_samples=5；单个工单业务时间窗口不小于 5 分钟。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测试步骤</w:t>
            </w:r>
          </w:p>
        </w:tc>
        <w:tc>
          <w:tcPr>
            <w:tcW w:type="dxa" w:w="7800"/>
          </w:tcPr>
          <w:p>
            <w:r/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1. 管理员登录系统，进入业务测评页面，选择“矩阵乘法计算任务”。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2. 检查基线区域，确认参与调度的计算节点均有稳定基线值。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3. 创建 30 个压测工单，系统生成当前验收轮次 matmul-formal-20260610-01，并写入固定业务参数。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图1-5-1 矩阵乘法任务基线和固定压测参数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tmul-benchmark-setup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4. 路由模块为每个工单写回 source、compute、sink 放置结果，compute 节点携带 GPU 分配信息；外部路由系统未接入时可使用内置随机路由策略完成闭环演示。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5. 点击自动执行，系统按计算节点和 GPU 编号形成执行槽位，单槽位单任务并发，避免 GPU 争用影响业务目标判定。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6. 业务计算节点跳过预热阶段后持续采集吞吐样本，计算有效浮点运算吞吐量，计算方式为 (2 × N³ × 本轮计算批次数) / 本轮耗时 / 1e9。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7. 系统上报单任务实际计算速率、节点基线、达标阈值、采样点数和运行结果。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8. 在工单列表中查看每个任务的实际指标、阈值和是否达标。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图1-5-2 矩阵乘法任务单工单指标结果表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tmul-benchmark-resul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9. 系统按“业务目标成功率 = 达标任务数 / 可评价任务数 × 100%”汇总展示，当前轮次 30/30 达标。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图1-5-3 矩阵乘法任务业务目标成功率汇总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tmul-benchmark-evidence-tab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10. 展开工单详情，检查业务输入、路由放置、GPU 分配、计算输出和提交给路由系统的 DAG JSON。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图1-5-4 矩阵乘法工单详情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tmul-order-detail-overview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业务目标成功率不小于 90%，且已评估任务数不少于 30 个。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测试结果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当前轮次 matmul-formal-20260610-01 共 30 个工单，30 个可评价且全部达标，业务目标成功率为 100.0%，满足验收要求。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截图已随测试步骤穿插留档，用于证明页面操作、单任务指标、成功率计算和结果详情。</w:t>
            </w:r>
          </w:p>
        </w:tc>
      </w:tr>
    </w:tbl>
    <w:p/>
    <w:p>
      <w:r>
        <w:rPr>
          <w:rFonts w:ascii="宋体" w:hAnsi="宋体" w:eastAsia="宋体"/>
          <w:b/>
          <w:sz w:val="28"/>
        </w:rPr>
        <w:t>3.1.6 视频AI推理业务目标成功率测试</w:t>
      </w:r>
    </w:p>
    <w:p>
      <w:r>
        <w:rPr>
          <w:rFonts w:ascii="宋体" w:hAnsi="宋体" w:eastAsia="宋体"/>
          <w:b/>
          <w:sz w:val="22"/>
        </w:rPr>
        <w:t>表1-6 视频AI推理业务目标成功率测试</w:t>
      </w:r>
    </w:p>
    <w:tbl>
      <w:tblPr>
        <w:tblStyle w:val="5"/>
        <w:tblW w:type="auto" w:w="0"/>
        <w:tblLayout w:type="fixed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用例编号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1-6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测试目的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验证低时延转发模态下视频AI推理业务目标成功率，并证明系统能够展示单任务帧推理时延、检测框和成功率计算过程。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组网拓扑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见本测试方案统一组网拓扑。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前置条件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 按统一组网拓扑完成智联计算系统部署，管理端、前端、任务编排服务、节点代理和数据库均正常运行。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2. 已准备视频AI推理任务模板，业务数据按 source → compute → sink 链路流转。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3. 已准备固定测试视频 bottle-detection.mp4 和 YOLOv5n ONNX 权重文件，测试方案验收时使用镜像内置固定文件。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4. 已在参与调度的算力节点上完成相同视频参数的历史基线测试。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5. 测试参数固定为 frame_count=100、frame_stride=30、warmup_frames=10、measured_frames=30；单个工单业务时间窗口不小于 5 分钟。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测试步骤</w:t>
            </w:r>
          </w:p>
        </w:tc>
        <w:tc>
          <w:tcPr>
            <w:tcW w:type="dxa" w:w="7800"/>
          </w:tcPr>
          <w:p>
            <w:r/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1. 管理员登录系统，进入业务测评页面，选择“视频AI推理任务”。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2. 检查基线区域，确认参与调度的计算节点均有当前视频参数对应的稳定基线时延。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3. 创建 30 个压测工单，系统生成当前验收轮次 video-formal-20260610-01，并写入固定视频输入参数。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图1-6-1 视频AI推理任务基线和固定压测参数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ideo-benchmark-setup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4. 路由模块写回 source、compute、sink 放置结果，compute 节点携带 GPU 分配信息；部署系统对 GPU 冲突进行兜底校验。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5. 点击自动执行，系统按计算节点和 GPU 编号形成执行槽位，单槽位单任务并发，避免同一 GPU 被多个视频推理任务争用。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6. source 节点读取固定测试视频并按 frame_stride 抽帧发送给 compute 节点。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7. compute 节点加载 YOLOv5n 权重，跳过 warmup_frames 后统计 measured_frames 的逐帧推理时延，并生成中文分类标签和检测框。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8. sink 节点汇总并上报 frame_latency_p90_ms、有效帧数、检测类别、画框坐标和带框预览图。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9. 在工单列表中查看每个任务的 P90 帧推理时延、阈值和是否达标。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图1-6-2 视频AI推理任务单工单帧时延结果表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ideo-benchmark-resul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10. 系统按“业务目标成功率 = 达标任务数 / 可评价任务数 × 100%”汇总展示，当前轮次 30/30 达标。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图1-6-3 视频AI推理任务业务目标成功率汇总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ideo-benchmark-evidence-tabl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11. 展开工单详情，检查业务输入、DAG JSON、GPU 分配、检测类别、画框坐标和带框预览图。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图1-6-4 视频AI推理工单详情带框预览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ideo-order-detail-result-preview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业务目标成功率不小于 90%，且已评估任务数不少于 30 个。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测试结果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当前轮次 video-formal-20260610-01 共 30 个工单，30 个可评价且全部达标，业务目标成功率为 100.0%；工单详情可展示 YOLO 检测框、中文类别标签、GPU 分配和帧时延元数据。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截图已随测试步骤穿插留档，用于证明页面操作、单任务指标、成功率计算和结果详情。</w:t>
            </w:r>
          </w:p>
        </w:tc>
      </w:tr>
    </w:tbl>
    <w:p/>
    <w:p>
      <w:r>
        <w:rPr>
          <w:rFonts w:ascii="宋体" w:hAnsi="宋体" w:eastAsia="宋体"/>
          <w:b/>
          <w:sz w:val="28"/>
        </w:rPr>
        <w:t>3.2.1 用户意图解析功能测试</w:t>
      </w:r>
    </w:p>
    <w:p>
      <w:r>
        <w:rPr>
          <w:rFonts w:ascii="宋体" w:hAnsi="宋体" w:eastAsia="宋体"/>
          <w:b/>
          <w:sz w:val="22"/>
        </w:rPr>
        <w:t>表2-1 用户意图解析功能测试</w:t>
      </w:r>
    </w:p>
    <w:tbl>
      <w:tblPr>
        <w:tblStyle w:val="5"/>
        <w:tblW w:type="auto" w:w="0"/>
        <w:tblLayout w:type="fixed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用例编号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2-1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测试目的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验证用户通过对话输入业务需求后，系统能够生成结构化解析结果，并提供路由 DAG JSON 预览或工单提交入口。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前置条件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 系统管理端和用户端模块部署正常，用户已完成登录。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2. 后端意图解析工作流可正常运行，已配置支持的业务类型、节点名称和参数校验规则。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测试步骤</w:t>
            </w:r>
          </w:p>
        </w:tc>
        <w:tc>
          <w:tcPr>
            <w:tcW w:type="dxa" w:w="7800"/>
          </w:tcPr>
          <w:p>
            <w:r/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1. 用户进入意图对话页面。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2. 输入固定业务请求：从 compute-1 到 compute-2 创建矩阵乘法任务，填写业务开始和结束时间，并说明路由策略倾向。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3. 系统返回结构化解析结果，包括业务类型、源节点、目的节点、业务时间窗口、任务参数和模态标签。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4. 用户查看路由 DAG JSON 预览，确认 source、compute、sink 节点、资源需求和链路带宽字段已生成。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图2-1-1 用户意图对话与参数解析结果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tent-chat-p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系统能正常返回生成解析结果即可。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测试结果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当前系统已实现意图对话、参数草稿、确认提交、工单生成和路由请求记录，可在页面展示结构化参数和 DAG JSON。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截图已随测试步骤穿插留档，用于证明页面操作、单任务指标、成功率计算和结果详情。</w:t>
            </w:r>
          </w:p>
        </w:tc>
      </w:tr>
    </w:tbl>
    <w:p/>
    <w:p>
      <w:r>
        <w:rPr>
          <w:rFonts w:ascii="宋体" w:hAnsi="宋体" w:eastAsia="宋体"/>
          <w:b/>
          <w:sz w:val="28"/>
        </w:rPr>
        <w:t>3.2.2 意图解析参数提取准确率测试</w:t>
      </w:r>
    </w:p>
    <w:p>
      <w:r>
        <w:rPr>
          <w:rFonts w:ascii="宋体" w:hAnsi="宋体" w:eastAsia="宋体"/>
          <w:b/>
          <w:sz w:val="22"/>
        </w:rPr>
        <w:t>表2-2 意图解析参数提取准确率测试</w:t>
      </w:r>
    </w:p>
    <w:tbl>
      <w:tblPr>
        <w:tblStyle w:val="5"/>
        <w:tblW w:type="auto" w:w="0"/>
        <w:tblLayout w:type="fixed"/>
        <w:tblLook w:firstColumn="1" w:firstRow="1" w:lastColumn="0" w:lastRow="0" w:noHBand="0" w:noVBand="1" w:val="04A0"/>
      </w:tblPr>
      <w:tblGrid>
        <w:gridCol w:w="4801"/>
        <w:gridCol w:w="4801"/>
      </w:tblGrid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用例编号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2-2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测试目的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验证固定数据集下意图解析参数提取准确率达到不低于 90% 的验收要求。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前置条件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 管理员已登录系统，意图评测页面可正常访问。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2. 已准备固定意图解析数据集，数据集覆盖多类业务模态、路由策略倾向、口语化表达、缺字段和错误节点等情况。</w:t>
            </w:r>
          </w:p>
          <w:p>
            <w:r>
              <w:rPr>
                <w:rFonts w:ascii="宋体" w:hAnsi="宋体" w:eastAsia="宋体"/>
                <w:b w:val="0"/>
                <w:sz w:val="21"/>
              </w:rPr>
              <w:t>3. 大模型/智能体评测所需模型配置可用；规则解析仅作为大模型不可用时的兜底回归。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测试步骤</w:t>
            </w:r>
          </w:p>
        </w:tc>
        <w:tc>
          <w:tcPr>
            <w:tcW w:type="dxa" w:w="7800"/>
          </w:tcPr>
          <w:p>
            <w:r/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1. 管理员进入意图评测页面，确认固定数据集规模和验收目标。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2. 选择支持批量推理的大模型，运行智能体/大模型意图解析评测。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3. 系统异步完成数据集评测，展示评测编号、模型名称、总样本数、正确样本数和准确率。</w:t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4. 系统按样本类型和字段展示准确率统计，便于定位失败样本和易错字段。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图2-2-1 意图解析参数提取准确率评测看板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tent-evaluation-dashboar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rFonts w:ascii="宋体" w:hAnsi="宋体" w:eastAsia="宋体"/>
                <w:b w:val="0"/>
                <w:sz w:val="21"/>
              </w:rPr>
              <w:t>5. 打开评测样本列表，查看样本输入、解析结果、期望结果、字段判定和失败字段。</w:t>
            </w:r>
          </w:p>
          <w:p>
            <w:pPr>
              <w:spacing w:before="80" w:after="40"/>
            </w:pPr>
            <w:r>
              <w:rPr>
                <w:rFonts w:ascii="宋体" w:hAnsi="宋体" w:eastAsia="宋体"/>
                <w:b/>
                <w:sz w:val="19"/>
              </w:rPr>
              <w:t>图2-2-2 意图解析评测样本明细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00600" cy="316291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tent-evaluation-samples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3162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预期结果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参数提取准确率不小于 90%。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测试结果</w:t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已使用 qwen3.7-plus 对 360 条固定数据集完成大模型/智能体批量评测，正确 348 条，准确率 96.7%，达到 ≥90% 验收目标；评测编号为 intent-eval-20260608-174844-8ca41b57。</w:t>
            </w:r>
          </w:p>
        </w:tc>
      </w:tr>
      <w:tr>
        <w:tc>
          <w:tcPr>
            <w:tcW w:type="dxa" w:w="1800"/>
            <w:shd w:fill="EAF2F8"/>
          </w:tcPr>
          <w:p>
            <w:r/>
            <w:r>
              <w:rPr>
                <w:rFonts w:ascii="宋体" w:hAnsi="宋体" w:eastAsia="宋体"/>
                <w:b/>
                <w:sz w:val="21"/>
              </w:rPr>
            </w:r>
          </w:p>
        </w:tc>
        <w:tc>
          <w:tcPr>
            <w:tcW w:type="dxa" w:w="780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截图已随测试步骤穿插留档，用于证明页面操作、单任务指标、成功率计算和结果详情。</w:t>
            </w:r>
          </w:p>
        </w:tc>
      </w:tr>
    </w:tbl>
    <w:p/>
    <w:sectPr>
      <w:pgSz w:w="11906" w:h="16838"/>
      <w:pgMar w:top="1152" w:right="1152" w:bottom="1152" w:left="1152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仿宋">
    <w:altName w:val="方正仿宋_GB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Cambria Math">
    <w:altName w:val="Kingsoft Math"/>
    <w:panose1 w:val="02040503050406030204"/>
    <w:charset w:val="00"/>
    <w:family w:val="roman"/>
    <w:pitch w:val="default"/>
    <w:sig w:usb0="00000000" w:usb1="00000000" w:usb2="02000000" w:usb3="00000000" w:csb0="0000019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31E52FC"/>
    <w:multiLevelType w:val="singleLevel"/>
    <w:tmpl w:val="931E52FC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037C693E"/>
    <w:multiLevelType w:val="multilevel"/>
    <w:tmpl w:val="037C693E"/>
    <w:lvl w:ilvl="0" w:tentative="0">
      <w:start w:val="1"/>
      <w:numFmt w:val="decimalEnclosedCircle"/>
      <w:lvlText w:val="%1"/>
      <w:lvlJc w:val="left"/>
      <w:pPr>
        <w:ind w:left="360" w:hanging="360"/>
      </w:pPr>
      <w:rPr>
        <w:rFonts w:hint="default" w:ascii="宋体" w:hAnsi="宋体" w:cs="宋体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92C2FA7"/>
    <w:multiLevelType w:val="multilevel"/>
    <w:tmpl w:val="292C2FA7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2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4670"/>
    <w:rsid w:val="000E4670"/>
    <w:rsid w:val="00265288"/>
    <w:rsid w:val="00905783"/>
    <w:rsid w:val="00FA5404"/>
    <w:rsid w:val="D1FEB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3"/>
    <w:basedOn w:val="1"/>
    <w:next w:val="1"/>
    <w:link w:val="7"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99"/>
    <w:pPr>
      <w:widowControl/>
      <w:spacing w:before="100" w:beforeAutospacing="1" w:after="100" w:afterAutospacing="1"/>
      <w:jc w:val="left"/>
    </w:pPr>
    <w:rPr>
      <w:rFonts w:ascii="Arial Unicode MS" w:hAnsi="Arial Unicode MS" w:eastAsia="Arial Unicode MS" w:cs="Arial Unicode MS"/>
      <w:kern w:val="0"/>
    </w:rPr>
  </w:style>
  <w:style w:type="table" w:styleId="5">
    <w:name w:val="Table Grid"/>
    <w:basedOn w:val="4"/>
    <w:qFormat/>
    <w:uiPriority w:val="39"/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标题 3 字符"/>
    <w:basedOn w:val="6"/>
    <w:link w:val="2"/>
    <w:uiPriority w:val="9"/>
    <w:rPr>
      <w:rFonts w:ascii="Times New Roman" w:hAnsi="Times New Roman" w:eastAsia="宋体"/>
      <w:b/>
      <w:sz w:val="32"/>
      <w:szCs w:val="24"/>
    </w:rPr>
  </w:style>
  <w:style w:type="paragraph" w:styleId="8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672</Words>
  <Characters>3834</Characters>
  <Lines>31</Lines>
  <Paragraphs>8</Paragraphs>
  <TotalTime>0</TotalTime>
  <ScaleCrop>false</ScaleCrop>
  <LinksUpToDate>false</LinksUpToDate>
  <CharactersWithSpaces>4498</CharactersWithSpaces>
  <Application>WPS Office_6.13.2.8918_F1E327BC-269C-435d-A152-05C5408002CA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2026-05-26T11:40:00Z</dcterms:created>
  <dc:creator>lord deer</dc:creator>
  <cp:lastModifiedBy>张嘉梁</cp:lastModifiedBy>
  <dcterms:modified xsi:type="dcterms:W3CDTF">2026-06-08T15:26:31Z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2052-6.13.2.8918</vt:lpwstr>
  </property>
  <property fmtid="{D5CDD505-2E9C-101B-9397-08002B2CF9AE}" pid="3" name="ICV">
    <vt:lpwstr>7797F5A7EBECD6B4A76E266A0F2E97E6_42</vt:lpwstr>
  </property>
</Properties>
</file>