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240"/>
        <w:jc w:val="center"/>
      </w:pPr>
      <w:r>
        <w:rPr>
          <w:rFonts w:ascii="宋体" w:hAnsi="宋体" w:eastAsia="宋体"/>
          <w:b/>
          <w:sz w:val="36"/>
        </w:rPr>
        <w:t>智联计算系统测试方案（正式修订版）</w:t>
      </w:r>
    </w:p>
    <w:p>
      <w:r>
        <w:rPr>
          <w:rFonts w:ascii="宋体" w:hAnsi="宋体" w:eastAsia="宋体"/>
          <w:b w:val="0"/>
          <w:sz w:val="21"/>
        </w:rPr>
        <w:t>本文档仅保留当前负责的两个验收指标相关测试用例：业务目标成功率和意图解析参数提取准确率。测试业务参数采用固定输入，任务开始与结束时间由系统工单字段填写，不采用人工计时；页面需展示每个任务的指标结果、阈值、是否达标和汇总成功率计算过程。</w:t>
      </w:r>
    </w:p>
    <w:p>
      <w:r>
        <w:rPr>
          <w:rFonts w:ascii="宋体" w:hAnsi="宋体" w:eastAsia="宋体"/>
          <w:b w:val="0"/>
          <w:sz w:val="21"/>
        </w:rPr>
        <w:t>业务目标成功率采用节点同业务参数历史基线作为比较对象。矩阵乘法吞吐量越高越好，单任务达标条件为实际吞吐量不低于节点基线的 80%；视频AI推理时延越低越好，统一解释为业务能力保持率不低于 80%，等价为实际 P90 帧推理时延不超过节点基线 P90 时延的 1.25 倍。该裕量用于覆盖容器化运行、网络转发和系统调度带来的正常波动，不用于容忍同一 GPU 多任务争用。</w:t>
      </w:r>
    </w:p>
    <w:p>
      <w:r>
        <w:rPr>
          <w:rFonts w:ascii="宋体" w:hAnsi="宋体" w:eastAsia="宋体"/>
          <w:b/>
          <w:sz w:val="28"/>
        </w:rPr>
        <w:t>3.1.5 矩阵乘法计算业务目标成功率测试</w:t>
      </w:r>
    </w:p>
    <w:p>
      <w:r>
        <w:rPr>
          <w:rFonts w:ascii="宋体" w:hAnsi="宋体" w:eastAsia="宋体"/>
          <w:b/>
          <w:sz w:val="22"/>
        </w:rPr>
        <w:t>表1-5 矩阵乘法计算业务目标成功率测试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1-5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验证高通量计算模态下矩阵乘法计算业务目标成功率，并证明系统能够展示单任务计算速率指标和成功率计算过程。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组网拓扑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见本测试方案统一组网拓扑。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按统一组网拓扑完成智联计算系统部署，管理端、前端、任务编排服务、节点代理和数据库均正常运行。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已准备矩阵乘法计算任务模板，业务数据按 source → compute → sink 链路流转。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正式验收前可清理历史测评轮次、失败/取消工单和残留容器实例，避免历史脏数据进入当前轮次统计；如需保留历史工单作为参考，应按验收轮次编号筛选当前轮次。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4. 已在参与调度的算力节点上完成相同固定参数的历史基线测试：系统通过节点代理在目标节点启动基线容器，使用与正式业务一致的镜像、GPU 计算路径和固定矩阵参数重复 3 次，取中位数作为该节点基线；同时记录原始样本、标准差、后端类型和 GPU 诊断信息，标准差超过中位数 10% 的节点不纳入本轮自动路由。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5. 测试参数固定为 matrix_size=1024、batch_count=50、observation_duration_sec=10、min_samples=5；单个工单业务时间窗口不小于 5 分钟。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管理员登录系统，进入业务测评页面，选择“矩阵乘法计算任务”。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按需清理历史测评工单、失败记录和残留容器实例，确认当前验收轮次从新工单开始统计。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检查基线区域，确认参与调度的计算节点均有稳定基线值；如镜像、硬件、GPU 驱动或业务参数发生变化，应重新运行基线测试。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创建 30 个测评工单，系统生成当前验收轮次 matmul-formal-20260610-01，并写入固定业务参数。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图1-5-1 矩阵乘法任务基线和固定测评参数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setu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路由模块为每个工单写回 source、compute、sink 放置结果，compute 节点携带 GPU 分配信息；部署前由系统校验节点和 GPU 分配冲突。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6. 点击运行测评，系统按小批次执行本轮工单，正式测评时同一 GPU 同一时刻最多运行 1 个任务，避免 GPU 争用影响业务目标判定。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7. 业务计算节点跳过预热阶段后持续采集吞吐样本，计算有效浮点运算吞吐量，计算方式为 (2 × N³ × 本轮计算批次数) / 本轮耗时 / 1e9。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8. 系统上报单任务实际计算速率、节点基线、达标阈值、采样点数和运行结果。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9. 在工单列表中查看每个任务的实际指标、阈值和是否达标。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图1-5-2 矩阵乘法任务单工单指标结果表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resul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10. 系统按“业务目标成功率 = 达标任务数 / 可评价任务数 × 100%”汇总展示，当前轮次 30/30 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图1-5-3 矩阵乘法任务业务目标成功率汇总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evidence-tab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11. 展开工单详情，检查业务输入、路由放置、GPU 分配、部署状态、计算输出和结果文件。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图1-5-4 矩阵乘法工单详情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order-detail-overview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业务目标成功率不小于 90%，且已评估任务数不少于 30 个。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当前轮次 matmul-formal-20260610-01 共 30 个工单，30 个可评价且全部达标，业务目标成功率为 100.0%，满足验收要求。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3.1.6 视频AI推理业务目标成功率测试</w:t>
      </w:r>
    </w:p>
    <w:p>
      <w:r>
        <w:rPr>
          <w:rFonts w:ascii="宋体" w:hAnsi="宋体" w:eastAsia="宋体"/>
          <w:b/>
          <w:sz w:val="22"/>
        </w:rPr>
        <w:t>表1-6 视频AI推理业务目标成功率测试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1-6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验证低时延转发模态下视频AI推理业务目标成功率，并证明系统能够展示单任务帧推理时延、检测框和成功率计算过程。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组网拓扑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见本测试方案统一组网拓扑。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按统一组网拓扑完成智联计算系统部署，管理端、前端、任务编排服务、节点代理和数据库均正常运行。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已准备视频AI推理任务模板，业务数据按 source → compute → sink 链路流转。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已准备固定测试视频 bottle-detection.mp4 和 YOLOv5n ONNX 权重文件，测试方案验收时使用镜像内置固定文件。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4. 正式验收前可清理历史测评轮次、失败/取消工单和残留容器实例，避免旧工单、旧结果或已停止容器影响当前轮次展示和资源占用。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5. 已在参与调度的算力节点上完成相同视频参数的历史基线测试：系统通过节点代理在目标节点启动基线容器，使用与正式业务一致的固定视频、YOLOv5n 权重、GPU 推理后端和视频参数，先进行 3 轮外层预热，再正式测量 5 轮，每轮内部跳过 warmup_frames 后统计 measured_frames 的 P90 帧推理时延，取 5 轮中位数作为该节点基线；标准差超过中位数 10% 的节点不纳入本轮自动路由。仅开发调试路径产生的 CPU 或模拟推理结果不得作为正式基线。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6. 测试参数固定为 frame_count=100、frame_stride=30、warmup_frames=10、measured_frames=30；单个工单业务时间窗口不小于 5 分钟。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管理员登录系统，进入业务测评页面，选择“视频AI推理任务”。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按需清理历史测评工单、失败记录和残留容器实例，确认当前验收轮次从新工单开始统计。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检查基线区域，确认参与调度的计算节点均有当前视频参数对应的稳定基线时延。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创建 30 个测评工单，系统生成当前验收轮次 video-formal-20260610-01，并写入固定视频输入参数。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图1-6-1 视频AI推理任务基线和固定测评参数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setu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路由模块写回 source、compute、sink 放置结果，compute 节点携带 GPU 分配信息；部署系统对 GPU 冲突进行兜底校验。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6. 点击运行测评，系统按小批次执行本轮工单，正式测评时同一 GPU 同一时刻最多运行 1 个视频推理任务，避免并发争用影响帧推理时延。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7. source 节点读取固定测试视频并按 frame_stride 抽帧发送给 compute 节点。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8. compute 节点加载 YOLOv5n 权重，跳过 warmup_frames 后统计 measured_frames 的逐帧推理时延，并生成中文分类标签和检测框。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9. sink 节点汇总并上报 frame_latency_p90_ms、有效帧数、检测类别、画框坐标和带框预览图。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10. 在工单列表中查看每个任务的 P90 帧推理时延、阈值和是否达标；视频时延越低越好，达标阈值按“节点基准 P90 时延 ÷ 0.8”计算，即最多允许比基线高 25%。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图1-6-2 视频AI推理任务单工单帧时延结果表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resul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11. 系统按“业务目标成功率 = 达标任务数 / 可评价任务数 × 100%”汇总展示，当前轮次 30/30 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图1-6-3 视频AI推理任务业务目标成功率汇总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evidence-tabl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12. 展开工单详情，检查业务输入、路由放置、GPU 分配、部署状态、检测类别、画框坐标和带框预览图。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图1-6-4 视频AI推理工单详情带框预览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order-detail-result-preview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业务目标成功率不小于 90%，且已评估任务数不少于 30 个。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当前轮次 video-formal-20260610-01 共 30 个工单，30 个可评价且全部达标，业务目标成功率为 100.0%；工单详情可展示 YOLO 检测框、中文类别标签、GPU 分配和帧时延元数据。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3.2.1 用户意图解析功能测试</w:t>
      </w:r>
    </w:p>
    <w:p>
      <w:r>
        <w:rPr>
          <w:rFonts w:ascii="宋体" w:hAnsi="宋体" w:eastAsia="宋体"/>
          <w:b/>
          <w:sz w:val="22"/>
        </w:rPr>
        <w:t>表2-1 用户意图解析功能测试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2-1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验证用户通过对话输入业务需求后，系统能够生成结构化解析结果，并完成工单提交。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系统管理端和用户端模块部署正常，用户已完成登录。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后端意图解析工作流可正常运行，已配置支持的业务类型、节点名称和参数校验规则。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用户进入意图对话页面。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输入固定业务请求：从 compute-1 到 compute-2 创建矩阵乘法任务，填写业务开始和结束时间，并说明路由策略倾向。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系统返回结构化解析结果，包括业务类型、源节点、目的节点、业务时间窗口、任务参数和模态标签。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用户确认提交任务，系统生成工单并在工单中心展示任务状态。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图2-1-1 用户意图对话与参数解析结果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chat-p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系统能正常返回生成解析结果即可。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当前系统已实现意图对话、参数草稿、确认提交、工单生成和路由请求记录，可在页面展示结构化参数和工单详情。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3.2.2 意图解析参数提取准确率测试</w:t>
      </w:r>
    </w:p>
    <w:p>
      <w:r>
        <w:rPr>
          <w:rFonts w:ascii="宋体" w:hAnsi="宋体" w:eastAsia="宋体"/>
          <w:b/>
          <w:sz w:val="22"/>
        </w:rPr>
        <w:t>表2-2 意图解析参数提取准确率测试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2-2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验证固定数据集下意图解析参数提取准确率达到不低于 90% 的验收要求。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管理员已登录系统，意图评测页面可正常访问。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已准备固定意图解析数据集，数据集覆盖多类业务模态、路由策略倾向、口语化表达、缺字段和错误节点等情况。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大模型/智能体评测所需模型配置可用；规则解析仅作为大模型不可用时的兜底回归。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管理员进入意图评测页面，确认固定数据集规模和验收目标。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选择支持批量推理的大模型，运行智能体/大模型意图解析评测。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系统异步完成数据集评测，展示评测编号、模型名称、总样本数、正确样本数和准确率。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系统按样本类型和字段展示准确率统计，便于定位失败样本和易错字段。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图2-2-1 意图解析参数提取准确率评测看板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evaluation-dashboar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打开评测样本列表，查看样本输入、解析结果、期望结果、字段判定和失败字段。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图2-2-2 意图解析评测样本明细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evaluation-sample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参数提取准确率不小于 90%。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已使用 qwen3.7-plus 对 360 条固定数据集完成大模型/智能体批量评测，正确 348 条，准确率 96.7%，达到 ≥90% 验收目标；评测编号为 intent-eval-20260608-174844-8ca41b57。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sectPr>
      <w:pgSz w:w="11906" w:h="16838"/>
      <w:pgMar w:top="1152" w:right="1152" w:bottom="1152" w:left="1152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1E52FC"/>
    <w:multiLevelType w:val="singleLevel"/>
    <w:tmpl w:val="931E52FC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37C693E"/>
    <w:multiLevelType w:val="multilevel"/>
    <w:tmpl w:val="037C693E"/>
    <w:lvl w:ilvl="0" w:tentative="0">
      <w:start w:val="1"/>
      <w:numFmt w:val="decimalEnclosedCircle"/>
      <w:lvlText w:val="%1"/>
      <w:lvlJc w:val="left"/>
      <w:pPr>
        <w:ind w:left="360" w:hanging="360"/>
      </w:pPr>
      <w:rPr>
        <w:rFonts w:hint="default" w:ascii="宋体" w:hAnsi="宋体" w:cs="宋体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92C2FA7"/>
    <w:multiLevelType w:val="multilevel"/>
    <w:tmpl w:val="292C2FA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670"/>
    <w:rsid w:val="000E4670"/>
    <w:rsid w:val="00265288"/>
    <w:rsid w:val="00905783"/>
    <w:rsid w:val="00FA5404"/>
    <w:rsid w:val="D1FEB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link w:val="7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</w:rPr>
  </w:style>
  <w:style w:type="table" w:styleId="5">
    <w:name w:val="Table Grid"/>
    <w:basedOn w:val="4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标题 3 字符"/>
    <w:basedOn w:val="6"/>
    <w:link w:val="2"/>
    <w:uiPriority w:val="9"/>
    <w:rPr>
      <w:rFonts w:ascii="Times New Roman" w:hAnsi="Times New Roman" w:eastAsia="宋体"/>
      <w:b/>
      <w:sz w:val="32"/>
      <w:szCs w:val="24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672</Words>
  <Characters>3834</Characters>
  <Lines>31</Lines>
  <Paragraphs>8</Paragraphs>
  <TotalTime>0</TotalTime>
  <ScaleCrop>false</ScaleCrop>
  <LinksUpToDate>false</LinksUpToDate>
  <CharactersWithSpaces>4498</CharactersWithSpaces>
  <Application>WPS Office_6.13.2.8918_F1E327BC-269C-435d-A152-05C5408002CA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2026-05-26T11:40:00Z</dcterms:created>
  <dc:creator>lord deer</dc:creator>
  <cp:lastModifiedBy>张嘉梁</cp:lastModifiedBy>
  <dcterms:modified xsi:type="dcterms:W3CDTF">2026-06-08T15:26:31Z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2052-6.13.2.8918</vt:lpwstr>
  </property>
  <property fmtid="{D5CDD505-2E9C-101B-9397-08002B2CF9AE}" pid="3" name="ICV">
    <vt:lpwstr>7797F5A7EBECD6B4A76E266A0F2E97E6_42</vt:lpwstr>
  </property>
</Properties>
</file>