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40"/>
        <w:jc w:val="center"/>
      </w:pPr>
      <w:r>
        <w:rPr>
          <w:rFonts w:ascii="宋体" w:hAnsi="宋体" w:eastAsia="宋体"/>
          <w:b/>
          <w:sz w:val="36"/>
        </w:rPr>
        <w:t>智联计算系统测试方案（正式修订版）</w:t>
      </w:r>
    </w:p>
    <w:p>
      <w:r>
        <w:rPr>
          <w:rFonts w:ascii="宋体" w:hAnsi="宋体" w:eastAsia="宋体"/>
          <w:b w:val="0"/>
          <w:sz w:val="21"/>
        </w:rPr>
        <w:t>本文档仅保留当前负责的两个验收指标相关测试用例：业务目标成功率和意图解析参数提取准确率。测试业务参数采用固定输入，任务开始与结束时间由系统工单字段填写，不采用人工计时；页面需展示每个任务的指标结果、阈值、是否达标和汇总成功率计算过程。</w:t>
      </w:r>
    </w:p>
    <w:p>
      <w:r>
        <w:rPr>
          <w:rFonts w:ascii="宋体" w:hAnsi="宋体" w:eastAsia="宋体"/>
          <w:b/>
          <w:sz w:val="28"/>
        </w:rPr>
        <w:t>3.1.5 矩阵乘法计算业务目标成功率测试</w:t>
      </w:r>
    </w:p>
    <w:p>
      <w:r>
        <w:rPr>
          <w:rFonts w:ascii="宋体" w:hAnsi="宋体" w:eastAsia="宋体"/>
          <w:b/>
          <w:sz w:val="22"/>
        </w:rPr>
        <w:t>表1-5 矩阵乘法计算业务目标成功率测试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1-5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验证高通量计算模态下矩阵乘法计算业务目标成功率，并证明系统能够展示单任务计算速率指标和成功率计算过程。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已准备矩阵乘法计算任务模板，业务数据按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已在参与调度的算力节点上完成相同固定参数的历史基线测试。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测试参数固定为 matrix_size=1024、batch_count=50、observation_duration_sec=10、min_samples=5；单个工单业务时间窗口不小于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管理员登录系统，进入业务测评页面，选择“矩阵乘法计算任务”。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检查基线区域，确认参与调度的计算节点均有稳定基线值。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创建 30 个压测工单，系统生成当前验收轮次 matmul-formal-20260610-01，并写入固定业务参数。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图1-5-1 矩阵乘法任务基线和固定压测参数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setu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路由模块为每个工单写回 source、compute、sink 放置结果，compute 节点携带 GPU 分配信息；外部路由系统未接入时可使用内置随机路由策略完成闭环演示。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点击自动执行，系统按计算节点和 GPU 编号形成执行槽位，单槽位单任务并发，避免 GPU 争用影响业务目标判定。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业务计算节点跳过预热阶段后持续采集吞吐样本，计算有效浮点运算吞吐量，计算方式为 (2 × N³ × 本轮计算批次数) / 本轮耗时 / 1e9。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系统上报单任务实际计算速率、节点基线、达标阈值、采样点数和运行结果。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在工单列表中查看每个任务的实际指标、阈值和是否达标。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图1-5-2 矩阵乘法任务单工单指标结果表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图1-5-3 矩阵乘法任务业务目标成功率汇总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evidence-tab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展开工单详情，检查业务输入、路由放置、GPU 分配、部署状态、计算输出和结果文件。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图1-5-4 矩阵乘法工单详情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order-detail-overview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matmul-formal-20260610-01 共 30 个工单，30 个可评价且全部达标，业务目标成功率为 100.0%，满足验收要求。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3.1.6 视频AI推理业务目标成功率测试</w:t>
      </w:r>
    </w:p>
    <w:p>
      <w:r>
        <w:rPr>
          <w:rFonts w:ascii="宋体" w:hAnsi="宋体" w:eastAsia="宋体"/>
          <w:b/>
          <w:sz w:val="22"/>
        </w:rPr>
        <w:t>表1-6 视频AI推理业务目标成功率测试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1-6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验证低时延转发模态下视频AI推理业务目标成功率，并证明系统能够展示单任务帧推理时延、检测框和成功率计算过程。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已准备视频AI推理任务模板，业务数据按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已准备固定测试视频 bottle-detection.mp4 和 YOLOv5n ONNX 权重文件，测试方案验收时使用镜像内置固定文件。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已在参与调度的算力节点上完成相同视频参数的历史基线测试。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5. 测试参数固定为 frame_count=100、frame_stride=30、warmup_frames=10、measured_frames=30；单个工单业务时间窗口不小于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管理员登录系统，进入业务测评页面，选择“视频AI推理任务”。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检查基线区域，确认参与调度的计算节点均有当前视频参数对应的稳定基线时延。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创建 30 个压测工单，系统生成当前验收轮次 video-formal-20260610-01，并写入固定视频输入参数。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图1-6-1 视频AI推理任务基线和固定压测参数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setu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路由模块写回 source、compute、sink 放置结果，compute 节点携带 GPU 分配信息；部署系统对 GPU 冲突进行兜底校验。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点击自动执行，系统按计算节点和 GPU 编号形成执行槽位，单槽位单任务并发，避免同一 GPU 被多个视频推理任务争用。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source 节点读取固定测试视频并按 frame_stride 抽帧发送给 compute 节点。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compute 节点加载 YOLOv5n 权重，跳过 warmup_frames 后统计 measured_frames 的逐帧推理时延，并生成中文分类标签和检测框。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sink 节点汇总并上报 frame_latency_p90_ms、有效帧数、检测类别、画框坐标和带框预览图。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在工单列表中查看每个任务的 P90 帧推理时延、阈值和是否达标。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图1-6-2 视频AI推理任务单工单帧时延结果表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resul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图1-6-3 视频AI推理任务业务目标成功率汇总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evidence-tab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11. 展开工单详情，检查业务输入、路由放置、GPU 分配、部署状态、检测类别、画框坐标和带框预览图。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图1-6-4 视频AI推理工单详情带框预览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order-detail-result-preview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video-formal-20260610-01 共 30 个工单，30 个可评价且全部达标，业务目标成功率为 100.0%；工单详情可展示 YOLO 检测框、中文类别标签、GPU 分配和帧时延元数据。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3.2.1 用户意图解析功能测试</w:t>
      </w:r>
    </w:p>
    <w:p>
      <w:r>
        <w:rPr>
          <w:rFonts w:ascii="宋体" w:hAnsi="宋体" w:eastAsia="宋体"/>
          <w:b/>
          <w:sz w:val="22"/>
        </w:rPr>
        <w:t>表2-1 用户意图解析功能测试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2-1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验证用户通过对话输入业务需求后，系统能够生成结构化解析结果，并完成工单提交。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系统管理端和用户端模块部署正常，用户已完成登录。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后端意图解析工作流可正常运行，已配置支持的业务类型、节点名称和参数校验规则。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用户进入意图对话页面。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输入固定业务请求：从 compute-1 到 compute-2 创建矩阵乘法任务，填写业务开始和结束时间，并说明路由策略倾向。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系统返回结构化解析结果，包括业务类型、源节点、目的节点、业务时间窗口、任务参数和模态标签。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用户确认提交任务，系统生成工单并在工单中心展示任务状态。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图2-1-1 用户意图对话与参数解析结果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chat-p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系统能正常返回生成解析结果即可。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当前系统已实现意图对话、参数草稿、确认提交、工单生成和路由请求记录，可在页面展示结构化参数和工单详情。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3.2.2 意图解析参数提取准确率测试</w:t>
      </w:r>
    </w:p>
    <w:p>
      <w:r>
        <w:rPr>
          <w:rFonts w:ascii="宋体" w:hAnsi="宋体" w:eastAsia="宋体"/>
          <w:b/>
          <w:sz w:val="22"/>
        </w:rPr>
        <w:t>表2-2 意图解析参数提取准确率测试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2-2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验证固定数据集下意图解析参数提取准确率达到不低于 90% 的验收要求。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管理员已登录系统，意图评测页面可正常访问。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已准备固定意图解析数据集，数据集覆盖多类业务模态、路由策略倾向、口语化表达、缺字段和错误节点等情况。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大模型/智能体评测所需模型配置可用；规则解析仅作为大模型不可用时的兜底回归。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管理员进入意图评测页面，确认固定数据集规模和验收目标。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选择支持批量推理的大模型，运行智能体/大模型意图解析评测。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系统异步完成数据集评测，展示评测编号、模型名称、总样本数、正确样本数和准确率。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系统按样本类型和字段展示准确率统计，便于定位失败样本和易错字段。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图2-2-1 意图解析参数提取准确率评测看板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dashboar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打开评测样本列表，查看样本输入、解析结果、期望结果、字段判定和失败字段。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图2-2-2 意图解析评测样本明细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sampl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参数提取准确率不小于 90%。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已使用 qwen3.7-plus 对 360 条固定数据集完成大模型/智能体批量评测，正确 348 条，准确率 96.7%，达到 ≥90% 验收目标；评测编号为 intent-eval-20260608-174844-8ca41b57。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sectPr>
      <w:pgSz w:w="11906" w:h="16838"/>
      <w:pgMar w:top="1152" w:right="1152" w:bottom="1152" w:left="1152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1E52FC"/>
    <w:multiLevelType w:val="singleLevel"/>
    <w:tmpl w:val="931E52F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37C693E"/>
    <w:multiLevelType w:val="multilevel"/>
    <w:tmpl w:val="037C693E"/>
    <w:lvl w:ilvl="0" w:tentative="0">
      <w:start w:val="1"/>
      <w:numFmt w:val="decimalEnclosedCircle"/>
      <w:lvlText w:val="%1"/>
      <w:lvlJc w:val="left"/>
      <w:pPr>
        <w:ind w:left="360" w:hanging="360"/>
      </w:pPr>
      <w:rPr>
        <w:rFonts w:hint="default" w:ascii="宋体" w:hAnsi="宋体" w:cs="宋体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92C2FA7"/>
    <w:multiLevelType w:val="multilevel"/>
    <w:tmpl w:val="292C2FA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670"/>
    <w:rsid w:val="000E4670"/>
    <w:rsid w:val="00265288"/>
    <w:rsid w:val="00905783"/>
    <w:rsid w:val="00FA5404"/>
    <w:rsid w:val="D1FEB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link w:val="7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</w:rPr>
  </w:style>
  <w:style w:type="table" w:styleId="5">
    <w:name w:val="Table Grid"/>
    <w:basedOn w:val="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标题 3 字符"/>
    <w:basedOn w:val="6"/>
    <w:link w:val="2"/>
    <w:uiPriority w:val="9"/>
    <w:rPr>
      <w:rFonts w:ascii="Times New Roman" w:hAnsi="Times New Roman" w:eastAsia="宋体"/>
      <w:b/>
      <w:sz w:val="32"/>
      <w:szCs w:val="24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672</Words>
  <Characters>3834</Characters>
  <Lines>31</Lines>
  <Paragraphs>8</Paragraphs>
  <TotalTime>0</TotalTime>
  <ScaleCrop>false</ScaleCrop>
  <LinksUpToDate>false</LinksUpToDate>
  <CharactersWithSpaces>4498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2026-05-26T11:40:00Z</dcterms:created>
  <dc:creator>lord deer</dc:creator>
  <cp:lastModifiedBy>张嘉梁</cp:lastModifiedBy>
  <dcterms:modified xsi:type="dcterms:W3CDTF">2026-06-08T15:26:31Z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7797F5A7EBECD6B4A76E266A0F2E97E6_42</vt:lpwstr>
  </property>
</Properties>
</file>