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2469727"/>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2469727"/>
                    </a:xfrm>
                    <a:prstGeom prst="rect"/>
                  </pic:spPr>
                </pic:pic>
              </a:graphicData>
            </a:graphic>
          </wp:inline>
        </w:drawing>
      </w:r>
    </w:p>
    <w:p>
      <w:pPr>
        <w:jc w:val="center"/>
      </w:pPr>
      <w:r>
        <w:rPr>
          <w:i/>
          <w:color w:val="666666"/>
          <w:sz w:val="18"/>
        </w:rPr>
        <w:t>Abb. 2 (LF1): Berichtsseite LF1 – Anteil ohne Hauptschulabschluss je Bundesland: Balken-Rangliste, Deutschlandkarte auf Bundeslandebene (Blasengröße = Quote) sowie Land- und Stadtstaat-Slicer.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131358"/>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131358"/>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sowie Slicer für Bundesland und Ost/West.</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666671"/>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666671"/>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730051"/>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730051"/>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2600693"/>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2600693"/>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2204436"/>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2204436"/>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723596"/>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723596"/>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2943908"/>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2943908"/>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076389"/>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076389"/>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zwei geografische Deutschlandkarten (Bundeslandebene auf LF1, Kreisebene auf LF2; Blasengröße = Quote ohne HSA), auf jeder Seite Slicer (Bundesland, Ost/West, Stadt/Landkreis bzw. Stadtstaat/Flächenland), ein Einkommens-Schieberegler (LF9, Between-Modus) sowie Drilldown über die Region-Hierarchie (Land → Regierungsbezirk → Kreis). Alle Visuals cross-filtern sich gegenseitig; auf LF8 lässt sich der Stadtstaaten-Confounder per Slicer live entfernen, worauf die Korrelation ins Negative kippt.</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