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9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neun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63670"/>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63670"/>
                    </a:xfrm>
                    <a:prstGeom prst="rect"/>
                  </pic:spPr>
                </pic:pic>
              </a:graphicData>
            </a:graphic>
          </wp:inline>
        </w:drawing>
      </w:r>
    </w:p>
    <w:p>
      <w:pPr>
        <w:jc w:val="center"/>
      </w:pPr>
      <w:r>
        <w:rPr>
          <w:i/>
          <w:color w:val="666666"/>
          <w:sz w:val="18"/>
        </w:rPr>
        <w:t>Abb. 2 (LF1): Berichtsseite LF1 – Anteil ohne Hauptschulabschluss je Bundesland: Balken-Rangliste 2023/24 (Spitzenreiter Sachsen-Anhalt hervorgehoben) und Zwei-Jahres-Trend als Linien, dazu ein Schuljahr-Slicer.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98972"/>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98972"/>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der Spitzenreiter Anhalt-Bitterfeld ist im Balken hervorgehoben.</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364260"/>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364260"/>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184788"/>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184788"/>
                    </a:xfrm>
                    <a:prstGeom prst="rect"/>
                  </pic:spPr>
                </pic:pic>
              </a:graphicData>
            </a:graphic>
          </wp:inline>
        </w:drawing>
      </w:r>
    </w:p>
    <w:p>
      <w:pPr>
        <w:jc w:val="center"/>
      </w:pPr>
      <w:r>
        <w:rPr>
          <w:i/>
          <w:color w:val="666666"/>
          <w:sz w:val="18"/>
        </w:rPr>
        <w:t>Abb. 5 (LF4): Berichtsseite LF4 – Abweichung zwischen den Geschlechtern (ohne HSA 2,6 pp, Abitur 7,8 pp) mit Bundesland-Filter (Standard: Deutschland).</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 Über den Bundesland-Filter der Seite lässt sich das je Land nachvollziehen: die Abweichung ohne HSA reicht von 1,6 pp (Saarland) bis 4,8 pp (Sachsen-Anhalt), die Richtung bleibt überall gleich.</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(Antwort: wer stellt die Abgänge ohne Hauptschulabschluss?): </w:t>
      </w:r>
      <w:r>
        <w:rPr>
          <w:sz w:val="22"/>
        </w:rPr>
        <w:t>Die eigentliche Antwort liefert eine zweite, neu erschlossene offene Quelle (Destatis 21111-12 – Absolvierende/Abgehende nach Schulart und Abschlussart, Landesebene 2023): Von den 55.705 Abgängen ohne Hauptschulabschluss in Deutschland entfallen 41,9 % (23.324) auf Förderschulen, 21,5 % auf integrierte Gesamtschulen, 15,5 % auf Schularten mit mehreren Bildungsgängen und 12,7 % auf Hauptschulen – von Gymnasien (G8/G9) nur rund 3 %. Der Schulartmix prägt die Abschlussverteilung also massiv.</w:t>
      </w:r>
    </w:p>
    <w:p>
      <w:pPr>
        <w:jc w:val="center"/>
      </w:pPr>
      <w:r>
        <w:drawing>
          <wp:inline xmlns:a="http://schemas.openxmlformats.org/drawingml/2006/main" xmlns:pic="http://schemas.openxmlformats.org/drawingml/2006/picture">
            <wp:extent cx="5760720" cy="3298972"/>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98972"/>
                    </a:xfrm>
                    <a:prstGeom prst="rect"/>
                  </pic:spPr>
                </pic:pic>
              </a:graphicData>
            </a:graphic>
          </wp:inline>
        </w:drawing>
      </w:r>
    </w:p>
    <w:p>
      <w:pPr>
        <w:jc w:val="center"/>
      </w:pPr>
      <w:r>
        <w:rPr>
          <w:i/>
          <w:color w:val="666666"/>
          <w:sz w:val="18"/>
        </w:rPr>
        <w:t>Abb. 6 (LF5): Berichtsseite LF5 – links die Zusammensetzung der Schülerschaft nach Schulart (Input, DE 2023), rechts welche Schulart die Abgänge ohne Hauptschulabschluss stellt (Antwort, Destatis 21111-12; rechtes Diagramm je Bundesland filterbar, linkes bleibt bundesweit).</w:t>
      </w:r>
    </w:p>
    <w:p>
      <w:r>
        <w:rPr>
          <w:b/>
          <w:sz w:val="22"/>
        </w:rPr>
        <w:t xml:space="preserve">Interpretation: </w:t>
      </w:r>
      <w:r>
        <w:rPr>
          <w:sz w:val="22"/>
        </w:rPr>
        <w:t>Erst die Kreuzung von Schulart und Abschlussart beantwortet die Leitfrage direkt: nicht die Größe einer Schulart entscheidet, sondern ihr Bildungsauftrag. Förderschulen und integrierte Gesamtschulen stellen zusammen rund zwei Drittel aller Abgänge ohne Hauptschulabschluss, während Gymnasien fast ausschließlich zur Hochschulreife führen. Die links gezeigte, gymnasiallastige Schülerstruktur ist die Input-Seite, die rechte Verteilung die tatsächliche Wirkung je Schulart. Ein Bundesland-Filter wirkt bewusst nur auf das rechte Diagramm – so lässt sich die Schulart-Struktur der Abgänge ohne HSA je Land betrachten (z. B. Bayern mit deutlich stärkerer Hauptschul-Komponente), während links die bundesweite Schülerstruktur als feste Referenz bestehen bleibt (die Schülerzahlen-Quelle liegt nur für Deutschland vor).</w:t>
      </w:r>
    </w:p>
    <w:p>
      <w:r>
        <w:rPr>
          <w:b/>
          <w:sz w:val="22"/>
        </w:rPr>
        <w:t xml:space="preserve">Warum so / Vorbehalt: </w:t>
      </w:r>
      <w:r>
        <w:rPr>
          <w:sz w:val="22"/>
        </w:rPr>
        <w:t>Die linke Sicht (Schüleranteil je Schulart) schließt im Nenner die Sammelkategorie 'Insgesamt' aus, sonst zählt die Gesamtsumme doppelt. Die rechte Antwort stammt aus einer separaten Fakttabelle (fact_abgaenge_schulart) und liegt nur auf Landesebene vor (keine Kreise); ihre Schulart-Kategorien (u. a. Gymnasien G8/G9, Förderschulen) folgen der Schulstatistik und sind nicht 1:1 mit der Schülerzahlen-Dimension. Der Ankerwert (Deutschland, ohne HSA, Summe über Schularten = 55.705) ist mit der übrigen Story konsistent.</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314334"/>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314334"/>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587008"/>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587008"/>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759830"/>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759830"/>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298972"/>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298972"/>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eine geografische Deutschlandkarte auf Kreisebene (LF2, Blasengröße = Quote ohne HSA), gezielt eingesetzte Slicer (Schuljahr auf LF1; Bundesland-Einzelauswahl auf LF5–LF7 und LF9), ein Einkommens-Schieberegler (LF9, Between-Modus) sowie Drilldown über die Region-Hierarchie (Land → Regierungsbezirk → Kreis). Die Visuals einer Seite cross-filtern sich; auf LF8 ist der Stadtstaaten-Confounder über die farbliche Trennung der Punkte (Stadtstaat vs. Flächenland) direkt ablesbar – ohne Stadtstaaten kippt die Korrelation ins Negative (im Text ausgewiesen).</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