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53"/>
          <w:sz-cs w:val="53"/>
          <w:b/>
          <w:spacing w:val="0"/>
          <w:color w:val="0D121F"/>
        </w:rPr>
        <w:t xml:space="preserve">Data Integrity Studio (DXC) - Knowledge Transfer Guide</w:t>
      </w:r>
    </w:p>
    <w:p>
      <w:pPr>
        <w:spacing w:after="293"/>
      </w:pP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Audience: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New team members with no prior project context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Project type: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Next.js 15 + React 19 QA comparison tool for Sisense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Location in repo: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/Regression testing - Shared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1. What this application does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This tool compares Sisense content between two environments (Regular/Legacy and Refactor/New). It supports: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Dashboard + widget inventory extraction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Widget JSON payload comparison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Data-level audit using JAQL query results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CSV export for inventory and audit output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2. Prerequisites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Node.js 18 or later (Node 20 recommended)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npm (comes with Node.js)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Sisense API tokens for both environments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Access to environment base URLs (Regular + Refactor)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3. How to download the project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Option A: Download ZIP from Git platform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the repository page in browser.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Click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Code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choose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Download ZIP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Extract ZIP and open terminal in the extracted folder.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Option B: Clone with Git (recommended)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 terminal.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git clone &lt;your-repo-url&gt;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cd "Regression testing - Shared"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4. Install and run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Install dependencies: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install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Start development server: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dev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Open: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http://localhost:3000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Important: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Do not commit real API tokens into Git. Keep tokens private and rotate if exposed.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5. First-time usage walkthrough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Home page modules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Master Informer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/dashfile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): fetches dashboard and widget inventory, then exports CSV.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Dashboard Inspector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/dashboard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): matches dashboards between environments and compares matched widgets.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Widget Inspector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/widget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): direct widget-level payload comparison and preview.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Data Audit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/data-audit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): JAQL output comparison to validate row-level results.</w:t>
      </w:r>
    </w:p>
    <w:p>
      <w:pPr>
        <w:spacing w:after="320"/>
      </w:pPr>
      <w:r>
        <w:rPr>
          <w:rFonts w:ascii="Arial" w:hAnsi="Arial" w:cs="Arial"/>
          <w:sz w:val="32"/>
          <w:sz-cs w:val="32"/>
          <w:b/>
          <w:spacing w:val="0"/>
          <w:color w:val="0D121F"/>
        </w:rPr>
        <w:t xml:space="preserve">Recommended operating sequence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 to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Master Informer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to inventory dashboard/widget IDs.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Go to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Dashboard Inspector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to match dashboards and run widget checks.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If needed, jump into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Widget Inspector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for detailed JSON differences.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</w:t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Data Audit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to compare actual output rows and export report.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6. Environment inputs needed by users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0E0E0E"/>
        </w:rPr>
        <w:t xml:space="preserve">On relevant screens, provide these values for both environments: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Base URL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(example: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https://your-sisense-host/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API Token (JWT)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Dashboard ID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(where required)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Widget ID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(where required)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7. Common commands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dev server: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dev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Build production bundle: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build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production server locally: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start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Lint: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lint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8. Troubleshooting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401/403 from Sisense APIs: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Token invalid/expired or wrong tenant access.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No dashboards returned: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Verify URL, token scope, and network/VPN access.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Comparison mismatch is high: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Confirm correct dashboard/widget IDs and matching environments.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Data Audit context missing: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Run Widget Inspector comparison first, then open Data Audit.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0E0E0E"/>
        </w:rPr>
        <w:t xml:space="preserve">Port in use: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run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npm run dev -- -p 3001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 and open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http://localhost:3001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9. Security and operational notes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Never share raw JWT tokens in chat, screenshots, or documentation.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Use placeholders in docs: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&lt;REGULAR_TOKEN&gt;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,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&lt;REFACTOR_TOKEN&gt;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If a token was exposed, revoke and regenerate it immediately.</w:t>
      </w:r>
    </w:p>
    <w:p>
      <w:pPr>
        <w:spacing w:after="309"/>
      </w:pPr>
      <w:r>
        <w:rPr>
          <w:rFonts w:ascii="Arial" w:hAnsi="Arial" w:cs="Arial"/>
          <w:sz w:val="37"/>
          <w:sz-cs w:val="37"/>
          <w:b/>
          <w:spacing w:val="0"/>
          <w:color w:val="0D121F"/>
        </w:rPr>
        <w:t xml:space="preserve">10. Handover checklist (for KT session)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Confirm Node.js and npm installed.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Run app locally and open homepage.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Demonstrate all 4 modules in sequence.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Show one successful CSV export.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Explain token handling and security rule.</w:t>
      </w:r>
    </w:p>
    <w:p>
      <w:pPr>
        <w:ind w:left="720" w:first-line="-720"/>
      </w:pPr>
      <w:r>
        <w:rPr>
          <w:rFonts w:ascii="Arial" w:hAnsi="Arial" w:cs="Arial"/>
          <w:sz w:val="29"/>
          <w:sz-cs w:val="29"/>
          <w:color w:val="0E0E0E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Share this guide path: </w:t>
      </w:r>
      <w:r>
        <w:rPr>
          <w:rFonts w:ascii="Menlo" w:hAnsi="Menlo" w:cs="Menlo"/>
          <w:sz w:val="29"/>
          <w:sz-cs w:val="29"/>
          <w:spacing w:val="0"/>
          <w:color w:val="0E0E0E"/>
        </w:rPr>
        <w:t xml:space="preserve">public/Data_Integrity_Studio_KT_Guide.docx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>.</w:t>
      </w:r>
    </w:p>
    <w:p>
      <w:pPr>
        <w:spacing w:after="293"/>
      </w:pPr>
      <w:r>
        <w:rPr>
          <w:rFonts w:ascii="Arial" w:hAnsi="Arial" w:cs="Arial"/>
          <w:sz w:val="29"/>
          <w:sz-cs w:val="29"/>
          <w:i/>
          <w:spacing w:val="0"/>
          <w:color w:val="0E0E0E"/>
        </w:rPr>
        <w:t xml:space="preserve">Document prepared for onboarding and knowledge transfer.</w:t>
      </w:r>
      <w:r>
        <w:rPr>
          <w:rFonts w:ascii="Arial" w:hAnsi="Arial" w:cs="Arial"/>
          <w:sz w:val="29"/>
          <w:sz-cs w:val="29"/>
          <w:spacing w:val="0"/>
          <w:color w:val="0E0E0E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