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image/png" PartName="/word/media/document_image_rId12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a6f638a" w14:textId="7a6f638a">
      <w:pPr>
        <w:pStyle w:val="TitleDoc"/>
        <w15:collapsed w:val="false"/>
      </w:pPr>
      <w:r>
        <w:t>Real Estate Price Prediction with Elastic-net Regression</w:t>
      </w:r>
    </w:p>
    <w:p>
      <w:pPr>
        <w:pStyle w:val="Citationintense"/>
      </w:pPr>
      <w:r>
        <w:t>Input Data file: data/Dataset7Obs.csv</w:t>
      </w:r>
    </w:p>
    <w:p>
      <w:pPr>
        <w:pStyle w:val="Titre2"/>
      </w:pPr>
      <w:r>
        <w:t>Basic summary statistics</w:t>
      </w:r>
    </w:p>
    <w:tbl>
      <w:tblPr>
        <w:jc w:val="left"/>
        <w:tblLayout w:type="fixed"/>
      </w:tblPr>
      <w:tblGrid>
        <w:gridCol w:w="2160"/>
        <w:gridCol w:w="720"/>
        <w:gridCol w:w="1728"/>
        <w:gridCol w:w="1728"/>
        <w:gridCol w:w="1728"/>
        <w:gridCol w:w="1728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/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Mean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Std Dev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Min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Max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SellingPrice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364285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101916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185000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450000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40597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1109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39006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42308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30408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13137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14015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50094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GrossBldgAreaSF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6408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1123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5400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8400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OfficeSF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1189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555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768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2400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MezzanineYes1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YearBuilt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1999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2010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OverheadDoors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006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PavedParkingSF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007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7890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5653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1800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17088</w:t>
            </w:r>
          </w:p>
        </w:tc>
      </w:tr>
    </w:tbl>
    <w:p>
      <w:pPr>
        <w:pStyle w:val="Normal"/>
      </w:pPr>
      <w:r>
        <w:t> NOTE - No summary statistics are provided for categorical variables.</w:t>
      </w:r>
    </w:p>
    <w:p>
      <w:pPr>
        <w:pStyle w:val="Titre2"/>
      </w:pPr>
      <w:r>
        <w:t>Correlations Between Predictors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3657600"/>
            <wp:effectExtent l="0" t="0" r="0" b="0"/>
            <wp:docPr id="8" name="/tmp/Rtmpm1fo3a/file6fdf354e4289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9" name="/tmp/Rtmpm1fo3a/file6fdf354e4289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Tuning Parameter Selection Using LOOCV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13" name="/tmp/Rtmpm1fo3a/file6fdf4e1253ae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14" name="/tmp/Rtmpm1fo3a/file6fdf4e1253ae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t>
From above plot, lambda =100.00 and s =0.05 gives the minimum RMSE model.</w:t>
      </w:r>
    </w:p>
    <w:p>
      <w:br w:type="page"/>
    </w:p>
    <w:p>
      <w:pPr>
        <w:pStyle w:val="Titre2"/>
      </w:pPr>
      <w:r>
        <w:t>Variable Importance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4572000" cy="3657600"/>
            <wp:effectExtent l="0" t="0" r="0" b="0"/>
            <wp:docPr id="19" name="/tmp/Rtmpm1fo3a/file6fdf2069774f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20" name="/tmp/Rtmpm1fo3a/file6fdf2069774f/plot0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45720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br w:type="page"/>
    </w:p>
    <w:p>
      <w:pPr>
        <w:pStyle w:val="Titre2"/>
      </w:pPr>
      <w:r>
        <w:t>Standardized Model Coefficients</w:t>
      </w:r>
    </w:p>
    <w:tbl>
      <w:tblPr>
        <w:jc w:val="left"/>
        <w:tblLayout w:type="fixed"/>
      </w:tblPr>
      <w:tblGrid>
        <w:gridCol w:w="288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Variable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Estimate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SellingDate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SiteAreaSF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0.115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GrossBldgAreaSF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0.058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OfficeSF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YearBuilt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OverheadDoors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LandToBldgArea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0.020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PavedParkingSF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MezzanineYes1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0.000</w:t>
            </w:r>
          </w:p>
        </w:tc>
      </w:tr>
    </w:tbl>
    <w:p>
      <w:pPr>
        <w:pStyle w:val="Normal"/>
      </w:pPr>
      <w:r>
        <w:t> NOTE std. errors are calculated using bootstrapping which is the only way to determine coef. errors for a penalized regression. But the errors should be only used for reference. It is yet unclear how meaningful the std. errors are in penalized regression.</w:t>
      </w:r>
    </w:p>
    <w:p>
      <w:pPr>
        <w:pStyle w:val="Titre2"/>
      </w:pPr>
      <w:r>
        <w:t>Model Prediction</w:t>
      </w:r>
    </w:p>
    <w:tbl>
      <w:tblPr>
        <w:jc w:val="left"/>
        <w:tblLayout w:type="fixed"/>
      </w:tblPr>
      <w:tblGrid>
        <w:gridCol w:w="2160"/>
        <w:gridCol w:w="2160"/>
        <w:gridCol w:w="2160"/>
      </w:tblGrid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Predicted Value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Prediction Error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Arial" w:hAnsi="Arial" w:cs="Arial"/>
                <w:b w:val="true"/>
                <w:color w:val="000000"/>
                <w:sz w:val="20"/>
              </w:rPr>
              <w:t xml:space="preserve">R2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366869.386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1.063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Arial" w:hAnsi="Arial" w:cs="Arial"/>
                <w:color w:val="000000"/>
                <w:sz w:val="20"/>
              </w:rPr>
              <w:t xml:space="preserve"/>
            </w:r>
            <w:r>
              <w:rPr>
                <w:rFonts w:ascii="Arial" w:hAnsi="Arial" w:cs="Arial"/>
                <w:color w:val="000000"/>
                <w:sz w:val="20"/>
              </w:rPr>
              <w:t xml:space="preserve">0.266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Relationship Target="media/document_image_rId12.png" Type="http://schemas.openxmlformats.org/officeDocument/2006/relationships/image" Id="rId12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