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Testing Validation Report</w:t>
      </w:r>
    </w:p>
    <w:p>
      <w:r>
        <w:t>Scope: semantic model, rendering, parameters, interactions, performance. Environment: Power BI Desktop 2.158.1304.0 (x64), Windows 11.</w:t>
      </w:r>
    </w:p>
    <w:p>
      <w:pPr>
        <w:pStyle w:val="Heading1"/>
      </w:pPr>
      <w:r>
        <w:t>1. Automated model tests (build/run_tests.py, live Desktop model)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Expected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Functionality</w:t>
            </w:r>
          </w:p>
        </w:tc>
        <w:tc>
          <w:tcPr>
            <w:tcW w:type="dxa" w:w="1728"/>
          </w:tcPr>
          <w:p>
            <w:r>
              <w:t>Total Sales reconciles to Excel</w:t>
            </w:r>
          </w:p>
        </w:tc>
        <w:tc>
          <w:tcPr>
            <w:tcW w:type="dxa" w:w="1728"/>
          </w:tcPr>
          <w:p>
            <w:r>
              <w:t>1247941.61</w:t>
            </w:r>
          </w:p>
        </w:tc>
        <w:tc>
          <w:tcPr>
            <w:tcW w:type="dxa" w:w="1728"/>
          </w:tcPr>
          <w:p>
            <w:r>
              <w:t>1247941.61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Functionality</w:t>
            </w:r>
          </w:p>
        </w:tc>
        <w:tc>
          <w:tcPr>
            <w:tcW w:type="dxa" w:w="1728"/>
          </w:tcPr>
          <w:p>
            <w:r>
              <w:t>Total Target reconciles to Excel</w:t>
            </w:r>
          </w:p>
        </w:tc>
        <w:tc>
          <w:tcPr>
            <w:tcW w:type="dxa" w:w="1728"/>
          </w:tcPr>
          <w:p>
            <w:r>
              <w:t>1623770.12</w:t>
            </w:r>
          </w:p>
        </w:tc>
        <w:tc>
          <w:tcPr>
            <w:tcW w:type="dxa" w:w="1728"/>
          </w:tcPr>
          <w:p>
            <w:r>
              <w:t>1623770.12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Functionality</w:t>
            </w:r>
          </w:p>
        </w:tc>
        <w:tc>
          <w:tcPr>
            <w:tcW w:type="dxa" w:w="1728"/>
          </w:tcPr>
          <w:p>
            <w:r>
              <w:t>Distinct orders = 500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500.0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Functionality</w:t>
            </w:r>
          </w:p>
        </w:tc>
        <w:tc>
          <w:tcPr>
            <w:tcW w:type="dxa" w:w="1728"/>
          </w:tcPr>
          <w:p>
            <w:r>
              <w:t>Gross Profit = Sales - COGS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Cross-filtering</w:t>
            </w:r>
          </w:p>
        </w:tc>
        <w:tc>
          <w:tcPr>
            <w:tcW w:type="dxa" w:w="1728"/>
          </w:tcPr>
          <w:p>
            <w:r>
              <w:t>Region filter (South) vs Excel</w:t>
            </w:r>
          </w:p>
        </w:tc>
        <w:tc>
          <w:tcPr>
            <w:tcW w:type="dxa" w:w="1728"/>
          </w:tcPr>
          <w:p>
            <w:r>
              <w:t>299231.47</w:t>
            </w:r>
          </w:p>
        </w:tc>
        <w:tc>
          <w:tcPr>
            <w:tcW w:type="dxa" w:w="1728"/>
          </w:tcPr>
          <w:p>
            <w:r>
              <w:t>299231.47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Cross-filtering</w:t>
            </w:r>
          </w:p>
        </w:tc>
        <w:tc>
          <w:tcPr>
            <w:tcW w:type="dxa" w:w="1728"/>
          </w:tcPr>
          <w:p>
            <w:r>
              <w:t>Year filter via Date table (2024) vs Excel</w:t>
            </w:r>
          </w:p>
        </w:tc>
        <w:tc>
          <w:tcPr>
            <w:tcW w:type="dxa" w:w="1728"/>
          </w:tcPr>
          <w:p>
            <w:r>
              <w:t>476169.33</w:t>
            </w:r>
          </w:p>
        </w:tc>
        <w:tc>
          <w:tcPr>
            <w:tcW w:type="dxa" w:w="1728"/>
          </w:tcPr>
          <w:p>
            <w:r>
              <w:t>476169.33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Cross-filtering</w:t>
            </w:r>
          </w:p>
        </w:tc>
        <w:tc>
          <w:tcPr>
            <w:tcW w:type="dxa" w:w="1728"/>
          </w:tcPr>
          <w:p>
            <w:r>
              <w:t>Category totals add to grand total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-0.0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Functionality</w:t>
            </w:r>
          </w:p>
        </w:tc>
        <w:tc>
          <w:tcPr>
            <w:tcW w:type="dxa" w:w="1728"/>
          </w:tcPr>
          <w:p>
            <w:r>
              <w:t>Sales PY (2024) equals 2023 sales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Parameters</w:t>
            </w:r>
          </w:p>
        </w:tc>
        <w:tc>
          <w:tcPr>
            <w:tcW w:type="dxa" w:w="1728"/>
          </w:tcPr>
          <w:p>
            <w:r>
              <w:t>Scenario at defaults equals baseline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Parameters</w:t>
            </w:r>
          </w:p>
        </w:tc>
        <w:tc>
          <w:tcPr>
            <w:tcW w:type="dxa" w:w="1728"/>
          </w:tcPr>
          <w:p>
            <w:r>
              <w:t>Price Change what-if has 31 steps (-15%..+15%)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Parameters</w:t>
            </w:r>
          </w:p>
        </w:tc>
        <w:tc>
          <w:tcPr>
            <w:tcW w:type="dxa" w:w="1728"/>
          </w:tcPr>
          <w:p>
            <w:r>
              <w:t>Metric Selector field parameter has 6 fields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Parameters</w:t>
            </w:r>
          </w:p>
        </w:tc>
        <w:tc>
          <w:tcPr>
            <w:tcW w:type="dxa" w:w="1728"/>
          </w:tcPr>
          <w:p>
            <w:r>
              <w:t>View By field parameter has 6 fields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Parameters</w:t>
            </w:r>
          </w:p>
        </w:tc>
        <w:tc>
          <w:tcPr>
            <w:tcW w:type="dxa" w:w="1728"/>
          </w:tcPr>
          <w:p>
            <w:r>
              <w:t>What-if math: +10% price =&gt; sales x1.10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Drill-through</w:t>
            </w:r>
          </w:p>
        </w:tc>
        <w:tc>
          <w:tcPr>
            <w:tcW w:type="dxa" w:w="1728"/>
          </w:tcPr>
          <w:p>
            <w:r>
              <w:t>Drill-through key (Sales Rep) resolves for every rep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Parameters</w:t>
            </w:r>
          </w:p>
        </w:tc>
        <w:tc>
          <w:tcPr>
            <w:tcW w:type="dxa" w:w="1728"/>
          </w:tcPr>
          <w:p>
            <w:r>
              <w:t>Dynamic title measures evaluate to text</w:t>
            </w:r>
          </w:p>
        </w:tc>
        <w:tc>
          <w:tcPr>
            <w:tcW w:type="dxa" w:w="1728"/>
          </w:tcPr>
          <w:p>
            <w:r>
              <w:t>5 non-empty strings</w:t>
            </w:r>
          </w:p>
        </w:tc>
        <w:tc>
          <w:tcPr>
            <w:tcW w:type="dxa" w:w="1728"/>
          </w:tcPr>
          <w:p>
            <w:r>
              <w:t>{'[t]': 'Top region: South ($299,231)', '[e]': 'Sales by Region', '[s]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/>
    <w:p>
      <w:r>
        <w:t>Result: 15 of 15 passed. Totals reconcile to the Excel source (Total Sales $1,247,941.61; Target $1,623,770.12; 500 orders).</w:t>
      </w:r>
    </w:p>
    <w:p>
      <w:r>
        <w:t>Test-authoring note: one test initially failed because it matched a what-if value by exact float equality (GENERATESERIES yields 0.1000000000000003); the model was correct and the test now matches within a tolerance.</w:t>
      </w:r>
    </w:p>
    <w:p>
      <w:pPr>
        <w:pStyle w:val="Heading1"/>
      </w:pPr>
      <w:r>
        <w:t>2. Static validation</w:t>
      </w:r>
    </w:p>
    <w:p>
      <w:pPr>
        <w:pStyle w:val="ListBullet"/>
      </w:pPr>
      <w:r>
        <w:t>powerbi-report-author validate on SalesPerformance.Report: succeeded, 0 errors, 0 warnings (after fixing unknown formatting properties and slicer/textbox heights it reported).</w:t>
      </w:r>
    </w:p>
    <w:p>
      <w:pPr>
        <w:pStyle w:val="ListBullet"/>
      </w:pPr>
      <w:r>
        <w:t>TMDL loaded into Power BI Desktop and the Power BI modeling MCP: 7 tables, 41 measures, 1 relationship.</w:t>
      </w:r>
    </w:p>
    <w:p>
      <w:pPr>
        <w:pStyle w:val="Heading1"/>
      </w:pPr>
      <w:r>
        <w:t>3. Rendering review (Desktop screenshots, all 6 pages)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Finding</w:t>
            </w:r>
          </w:p>
        </w:tc>
        <w:tc>
          <w:tcPr>
            <w:tcW w:type="dxa" w:w="4320"/>
          </w:tcPr>
          <w:p>
            <w:r>
              <w:t>Resolution</w:t>
            </w:r>
          </w:p>
        </w:tc>
      </w:tr>
      <w:tr>
        <w:tc>
          <w:tcPr>
            <w:tcW w:type="dxa" w:w="4320"/>
          </w:tcPr>
          <w:p>
            <w:r>
              <w:t>Nav and bookmark button labels clipped</w:t>
            </w:r>
          </w:p>
        </w:tc>
        <w:tc>
          <w:tcPr>
            <w:tcW w:type="dxa" w:w="4320"/>
          </w:tcPr>
          <w:p>
            <w:r>
              <w:t>Added explicit zero padding and 44px height; re-captured, labels fully visible</w:t>
            </w:r>
          </w:p>
        </w:tc>
      </w:tr>
      <w:tr>
        <w:tc>
          <w:tcPr>
            <w:tcW w:type="dxa" w:w="4320"/>
          </w:tcPr>
          <w:p>
            <w:r>
              <w:t>Field-parameter chart showed all six measures at once</w:t>
            </w:r>
          </w:p>
        </w:tc>
        <w:tc>
          <w:tcPr>
            <w:tcW w:type="dxa" w:w="4320"/>
          </w:tcPr>
          <w:p>
            <w:r>
              <w:t>Parameter slicers given a single-select default (Sales, Region); chart now shows one metric by one dimension</w:t>
            </w:r>
          </w:p>
        </w:tc>
      </w:tr>
      <w:tr>
        <w:tc>
          <w:tcPr>
            <w:tcW w:type="dxa" w:w="4320"/>
          </w:tcPr>
          <w:p>
            <w:r>
              <w:t>KPI values abbreviated ($1M, $2K)</w:t>
            </w:r>
          </w:p>
        </w:tc>
        <w:tc>
          <w:tcPr>
            <w:tcW w:type="dxa" w:w="4320"/>
          </w:tcPr>
          <w:p>
            <w:r>
              <w:t>Display units set to none; values now exact</w:t>
            </w:r>
          </w:p>
        </w:tc>
      </w:tr>
      <w:tr>
        <w:tc>
          <w:tcPr>
            <w:tcW w:type="dxa" w:w="4320"/>
          </w:tcPr>
          <w:p>
            <w:r>
              <w:t>Key influencers: 'not enough data'</w:t>
            </w:r>
          </w:p>
        </w:tc>
        <w:tc>
          <w:tcPr>
            <w:tcW w:type="dxa" w:w="4320"/>
          </w:tcPr>
          <w:p>
            <w:r>
              <w:t>Cause: all 500 orders missed target so one class had no members. Re-defined Target Status (On Track &gt;= 75% of target); visual now analyses</w:t>
            </w:r>
          </w:p>
        </w:tc>
      </w:tr>
      <w:tr>
        <w:tc>
          <w:tcPr>
            <w:tcW w:type="dxa" w:w="4320"/>
          </w:tcPr>
          <w:p>
            <w:r>
              <w:t>Azure Maps blocked by tenant switch</w:t>
            </w:r>
          </w:p>
        </w:tc>
        <w:tc>
          <w:tcPr>
            <w:tcW w:type="dxa" w:w="4320"/>
          </w:tcPr>
          <w:p>
            <w:r>
              <w:t>Replaced with treemap; limitation documented</w:t>
            </w:r>
          </w:p>
        </w:tc>
      </w:tr>
      <w:tr>
        <w:tc>
          <w:tcPr>
            <w:tcW w:type="dxa" w:w="4320"/>
          </w:tcPr>
          <w:p>
            <w:r>
              <w:t>Decomposition tree rendered blank at 222px</w:t>
            </w:r>
          </w:p>
        </w:tc>
        <w:tc>
          <w:tcPr>
            <w:tcW w:type="dxa" w:w="4320"/>
          </w:tcPr>
          <w:p>
            <w:r>
              <w:t>Enlarged to 600x452; root node and expand control render</w:t>
            </w:r>
          </w:p>
        </w:tc>
      </w:tr>
    </w:tbl>
    <w:p/>
    <w:p>
      <w:pPr>
        <w:pStyle w:val="Heading1"/>
      </w:pPr>
      <w:r>
        <w:t>4. Functional areas and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What was verified</w:t>
            </w:r>
          </w:p>
        </w:tc>
        <w:tc>
          <w:tcPr>
            <w:tcW w:type="dxa" w:w="2880"/>
          </w:tcPr>
          <w:p>
            <w:r>
              <w:t>Not verified</w:t>
            </w:r>
          </w:p>
        </w:tc>
      </w:tr>
      <w:tr>
        <w:tc>
          <w:tcPr>
            <w:tcW w:type="dxa" w:w="2880"/>
          </w:tcPr>
          <w:p>
            <w:r>
              <w:t>Functionality</w:t>
            </w:r>
          </w:p>
        </w:tc>
        <w:tc>
          <w:tcPr>
            <w:tcW w:type="dxa" w:w="2880"/>
          </w:tcPr>
          <w:p>
            <w:r>
              <w:t>Measures reconcile to source; every page renders data; dynamic title measures return text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Cross-filtering</w:t>
            </w:r>
          </w:p>
        </w:tc>
        <w:tc>
          <w:tcPr>
            <w:tcW w:type="dxa" w:w="2880"/>
          </w:tcPr>
          <w:p>
            <w:r>
              <w:t>Region, Year and Category filter contexts return source-matching totals (DAX level)</w:t>
            </w:r>
          </w:p>
        </w:tc>
        <w:tc>
          <w:tcPr>
            <w:tcW w:type="dxa" w:w="2880"/>
          </w:tcPr>
          <w:p>
            <w:r>
              <w:t>Clicking visuals in Desktop to confirm highlight behaviour</w:t>
            </w:r>
          </w:p>
        </w:tc>
      </w:tr>
      <w:tr>
        <w:tc>
          <w:tcPr>
            <w:tcW w:type="dxa" w:w="2880"/>
          </w:tcPr>
          <w:p>
            <w:r>
              <w:t>Parameters</w:t>
            </w:r>
          </w:p>
        </w:tc>
        <w:tc>
          <w:tcPr>
            <w:tcW w:type="dxa" w:w="2880"/>
          </w:tcPr>
          <w:p>
            <w:r>
              <w:t>Field parameters have 6 fields each and drive the explorer (default selection renders correctly); what-if math verified for +10% price; scenario equals baseline at defaults</w:t>
            </w:r>
          </w:p>
        </w:tc>
        <w:tc>
          <w:tcPr>
            <w:tcW w:type="dxa" w:w="2880"/>
          </w:tcPr>
          <w:p>
            <w:r>
              <w:t>Moving the what-if slicers interactively in the UI</w:t>
            </w:r>
          </w:p>
        </w:tc>
      </w:tr>
      <w:tr>
        <w:tc>
          <w:tcPr>
            <w:tcW w:type="dxa" w:w="2880"/>
          </w:tcPr>
          <w:p>
            <w:r>
              <w:t>Drill-through</w:t>
            </w:r>
          </w:p>
        </w:tc>
        <w:tc>
          <w:tcPr>
            <w:tcW w:type="dxa" w:w="2880"/>
          </w:tcPr>
          <w:p>
            <w:r>
              <w:t>Page binding, filter and Back button validate; every rep key resolves (7 reps)</w:t>
            </w:r>
          </w:p>
        </w:tc>
        <w:tc>
          <w:tcPr>
            <w:tcW w:type="dxa" w:w="2880"/>
          </w:tcPr>
          <w:p>
            <w:r>
              <w:t>Right-click drill-through gesture in Desktop</w:t>
            </w:r>
          </w:p>
        </w:tc>
      </w:tr>
      <w:tr>
        <w:tc>
          <w:tcPr>
            <w:tcW w:type="dxa" w:w="2880"/>
          </w:tcPr>
          <w:p>
            <w:r>
              <w:t>Bookmarks</w:t>
            </w:r>
          </w:p>
        </w:tc>
        <w:tc>
          <w:tcPr>
            <w:tcW w:type="dxa" w:w="2880"/>
          </w:tcPr>
          <w:p>
            <w:r>
              <w:t>3 bookmark files, index and button targets pass validator checks</w:t>
            </w:r>
          </w:p>
        </w:tc>
        <w:tc>
          <w:tcPr>
            <w:tcW w:type="dxa" w:w="2880"/>
          </w:tcPr>
          <w:p>
            <w:r>
              <w:t>Clicking each button and the reverse transitions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Mobile layout files validate</w:t>
            </w:r>
          </w:p>
        </w:tc>
        <w:tc>
          <w:tcPr>
            <w:tcW w:type="dxa" w:w="2880"/>
          </w:tcPr>
          <w:p>
            <w:r>
              <w:t>Phone preview / mobile app rendering</w:t>
            </w:r>
          </w:p>
        </w:tc>
      </w:tr>
      <w:tr>
        <w:tc>
          <w:tcPr>
            <w:tcW w:type="dxa" w:w="2880"/>
          </w:tcPr>
          <w:p>
            <w:r>
              <w:t>Paginated report</w:t>
            </w:r>
          </w:p>
        </w:tc>
        <w:tc>
          <w:tcPr>
            <w:tcW w:type="dxa" w:w="2880"/>
          </w:tcPr>
          <w:p>
            <w:r>
              <w:t>RDL is well-formed XML; the same DAX datasets run against the model (Year=2024: 193 orders, $476,169 sales); sample PDF produced</w:t>
            </w:r>
          </w:p>
        </w:tc>
        <w:tc>
          <w:tcPr>
            <w:tcW w:type="dxa" w:w="2880"/>
          </w:tcPr>
          <w:p>
            <w:r>
              <w:t>Opening the RDL in Power BI Report Builder or the service; the sample PDF is a reportlab rendering of the same queries, not a Report Builder export</w:t>
            </w:r>
          </w:p>
        </w:tc>
      </w:tr>
    </w:tbl>
    <w:p/>
    <w:p>
      <w:pPr>
        <w:pStyle w:val="Heading1"/>
      </w:pPr>
      <w:r>
        <w:t>5. Performance</w:t>
      </w:r>
    </w:p>
    <w:p>
      <w:r>
        <w:t>Heaviest page-style query (Year x Quarter x Region x Category with four measures), five runs, wall-clock through the pbi CLI: 2125, 2102, 2274, 1861, 1999 ms; median 2102 ms. These timings include CLI process start-up (about 1.4 s on trivial queries), so engine time is well below these figures. They are an upper bound, not a benchmark. Dataset is 500 rows.</w:t>
      </w:r>
    </w:p>
    <w:p>
      <w:r>
        <w:t>Responsive behaviour: pages are authored at 1280x720 with FitToPage; screenshots were taken in a single window size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